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4E6D9">
      <w:pPr>
        <w:spacing w:line="360" w:lineRule="auto"/>
        <w:jc w:val="center"/>
        <w:outlineLvl w:val="0"/>
        <w:rPr>
          <w:b/>
          <w:sz w:val="36"/>
          <w:szCs w:val="36"/>
        </w:rPr>
      </w:pPr>
      <w:r>
        <w:rPr>
          <w:b/>
          <w:sz w:val="36"/>
          <w:szCs w:val="36"/>
        </w:rPr>
        <w:t>采购需求</w:t>
      </w:r>
    </w:p>
    <w:p w14:paraId="7C1AB136">
      <w:pPr>
        <w:pStyle w:val="4"/>
      </w:pPr>
    </w:p>
    <w:p w14:paraId="73719023">
      <w:pPr>
        <w:pStyle w:val="8"/>
        <w:numPr>
          <w:ilvl w:val="0"/>
          <w:numId w:val="1"/>
        </w:numPr>
        <w:spacing w:line="360" w:lineRule="auto"/>
        <w:ind w:firstLineChars="0"/>
        <w:contextualSpacing/>
        <w:rPr>
          <w:rFonts w:ascii="宋体" w:hAnsi="宋体" w:cs="宋体"/>
          <w:b/>
          <w:sz w:val="24"/>
          <w:szCs w:val="24"/>
          <w:highlight w:val="none"/>
        </w:rPr>
      </w:pPr>
      <w:r>
        <w:rPr>
          <w:rFonts w:hint="eastAsia" w:ascii="宋体" w:hAnsi="宋体" w:cs="宋体"/>
          <w:b/>
          <w:sz w:val="24"/>
          <w:szCs w:val="24"/>
          <w:highlight w:val="none"/>
        </w:rPr>
        <w:t>采购标的</w:t>
      </w:r>
    </w:p>
    <w:tbl>
      <w:tblPr>
        <w:tblStyle w:val="6"/>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56"/>
        <w:gridCol w:w="813"/>
        <w:gridCol w:w="4901"/>
      </w:tblGrid>
      <w:tr w14:paraId="6E8C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67" w:type="dxa"/>
            <w:shd w:val="clear" w:color="auto" w:fill="auto"/>
            <w:vAlign w:val="center"/>
          </w:tcPr>
          <w:p w14:paraId="12C22BA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56" w:type="dxa"/>
            <w:shd w:val="clear" w:color="auto" w:fill="auto"/>
            <w:vAlign w:val="center"/>
          </w:tcPr>
          <w:p w14:paraId="62BA31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13" w:type="dxa"/>
            <w:shd w:val="clear" w:color="auto" w:fill="auto"/>
            <w:vAlign w:val="center"/>
          </w:tcPr>
          <w:p w14:paraId="713ADC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901" w:type="dxa"/>
            <w:shd w:val="clear" w:color="auto" w:fill="auto"/>
            <w:vAlign w:val="center"/>
          </w:tcPr>
          <w:p w14:paraId="6356BE6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简要技术需求或服务要求</w:t>
            </w:r>
          </w:p>
        </w:tc>
      </w:tr>
      <w:tr w14:paraId="4D25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767" w:type="dxa"/>
            <w:shd w:val="clear" w:color="auto" w:fill="auto"/>
            <w:noWrap/>
            <w:vAlign w:val="center"/>
          </w:tcPr>
          <w:p w14:paraId="4A0173D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bCs/>
                <w:color w:val="000000"/>
                <w:kern w:val="0"/>
                <w:sz w:val="24"/>
                <w:szCs w:val="24"/>
                <w:highlight w:val="none"/>
              </w:rPr>
              <w:t>1</w:t>
            </w:r>
          </w:p>
        </w:tc>
        <w:tc>
          <w:tcPr>
            <w:tcW w:w="1356" w:type="dxa"/>
            <w:shd w:val="clear" w:color="auto" w:fill="auto"/>
            <w:vAlign w:val="center"/>
          </w:tcPr>
          <w:p w14:paraId="7A7594B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远程临床试验系统</w:t>
            </w:r>
          </w:p>
        </w:tc>
        <w:tc>
          <w:tcPr>
            <w:tcW w:w="813" w:type="dxa"/>
            <w:shd w:val="clear" w:color="auto" w:fill="auto"/>
            <w:vAlign w:val="center"/>
          </w:tcPr>
          <w:p w14:paraId="2BE1BE84">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套</w:t>
            </w:r>
          </w:p>
        </w:tc>
        <w:tc>
          <w:tcPr>
            <w:tcW w:w="4901" w:type="dxa"/>
            <w:shd w:val="clear" w:color="auto" w:fill="auto"/>
            <w:noWrap/>
            <w:vAlign w:val="center"/>
          </w:tcPr>
          <w:p w14:paraId="17EBACA5">
            <w:pPr>
              <w:widowControl/>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远程临床试验系统需要深度契合临床试验从启动、执行到监查的全流程需求，以 “打破地域限制、提升数据价值、保障试验合规” 为核心目标，形成从试验生态搭建、信息管理、随访干预到 DCT 专属支撑的完整能力体系，全方位覆盖患者参与、数据处理、风险管控、合规保障等关键环节。</w:t>
            </w:r>
          </w:p>
        </w:tc>
      </w:tr>
    </w:tbl>
    <w:p w14:paraId="086E9AE8">
      <w:pPr>
        <w:wordWrap w:val="0"/>
        <w:topLinePunct/>
        <w:adjustRightInd w:val="0"/>
        <w:spacing w:line="360" w:lineRule="auto"/>
        <w:jc w:val="left"/>
        <w:textAlignment w:val="baseline"/>
        <w:rPr>
          <w:rFonts w:ascii="宋体" w:hAnsi="宋体" w:cs="宋体"/>
          <w:sz w:val="24"/>
        </w:rPr>
      </w:pPr>
    </w:p>
    <w:p w14:paraId="7F1471BC">
      <w:pPr>
        <w:pStyle w:val="5"/>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2CDD52F">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18209318">
      <w:pPr>
        <w:pStyle w:val="3"/>
        <w:spacing w:line="360" w:lineRule="auto"/>
        <w:ind w:firstLine="480" w:firstLineChars="200"/>
        <w:rPr>
          <w:rFonts w:hAnsi="宋体" w:cs="宋体"/>
          <w:highlight w:val="none"/>
        </w:rPr>
      </w:pPr>
      <w:r>
        <w:rPr>
          <w:rFonts w:hint="eastAsia" w:hAnsi="宋体" w:cs="宋体"/>
          <w:bCs/>
          <w:highlight w:val="none"/>
        </w:rPr>
        <w:t>1.交货时间：签订合同后30日内完成交货。</w:t>
      </w:r>
    </w:p>
    <w:p w14:paraId="64094519">
      <w:pPr>
        <w:pStyle w:val="3"/>
        <w:spacing w:line="360" w:lineRule="auto"/>
        <w:ind w:firstLine="480" w:firstLineChars="200"/>
        <w:rPr>
          <w:rFonts w:hAnsi="宋体" w:cs="宋体"/>
          <w:bCs/>
        </w:rPr>
      </w:pPr>
      <w:r>
        <w:rPr>
          <w:rFonts w:hint="eastAsia" w:hAnsi="宋体" w:cs="宋体"/>
          <w:bCs/>
        </w:rPr>
        <w:t>2.交货地点：采购人指定地点</w:t>
      </w:r>
    </w:p>
    <w:p w14:paraId="3B490926">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776312BD">
      <w:pPr>
        <w:pStyle w:val="4"/>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17502C01">
      <w:pPr>
        <w:pStyle w:val="4"/>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66421D2A">
      <w:pPr>
        <w:widowControl/>
        <w:spacing w:line="360" w:lineRule="auto"/>
        <w:ind w:firstLine="480" w:firstLineChars="200"/>
        <w:contextualSpacing/>
        <w:jc w:val="left"/>
        <w:rPr>
          <w:rFonts w:ascii="宋体" w:hAnsi="宋体"/>
          <w:sz w:val="24"/>
        </w:rPr>
      </w:pPr>
      <w:r>
        <w:rPr>
          <w:rFonts w:hint="eastAsia" w:ascii="宋体" w:hAnsi="宋体" w:cs="宋体"/>
          <w:sz w:val="24"/>
        </w:rPr>
        <w:t>1.</w:t>
      </w:r>
      <w:r>
        <w:rPr>
          <w:rFonts w:hint="eastAsia" w:ascii="宋体" w:hAnsi="宋体"/>
          <w:sz w:val="24"/>
        </w:rPr>
        <w:t>采购标的的其他技术、服务等要求：</w:t>
      </w:r>
    </w:p>
    <w:p w14:paraId="48A6BD7A">
      <w:pPr>
        <w:spacing w:line="360" w:lineRule="auto"/>
        <w:ind w:firstLine="480" w:firstLineChars="200"/>
        <w:jc w:val="left"/>
        <w:rPr>
          <w:rFonts w:ascii="宋体" w:hAnsi="宋体"/>
          <w:sz w:val="24"/>
        </w:rPr>
      </w:pPr>
      <w:r>
        <w:rPr>
          <w:rFonts w:hint="eastAsia" w:ascii="宋体" w:hAnsi="宋体"/>
          <w:sz w:val="24"/>
        </w:rPr>
        <w:t>1.1标注“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225C8B0">
      <w:pPr>
        <w:spacing w:line="360" w:lineRule="auto"/>
        <w:ind w:firstLine="480" w:firstLineChars="200"/>
        <w:jc w:val="left"/>
        <w:rPr>
          <w:rFonts w:ascii="宋体" w:hAnsi="宋体"/>
          <w:sz w:val="24"/>
          <w:highlight w:val="none"/>
        </w:rPr>
      </w:pPr>
      <w:r>
        <w:rPr>
          <w:rFonts w:hint="eastAsia" w:ascii="宋体" w:hAnsi="宋体"/>
          <w:sz w:val="24"/>
          <w:highlight w:val="none"/>
        </w:rPr>
        <w:t>1.2对于技术规格中标注“</w:t>
      </w:r>
      <w:r>
        <w:rPr>
          <w:rFonts w:hint="eastAsia" w:ascii="宋体" w:hAnsi="宋体" w:cs="宋体"/>
          <w:bCs/>
          <w:kern w:val="0"/>
          <w:sz w:val="24"/>
          <w:highlight w:val="none"/>
        </w:rPr>
        <w:t>▲</w:t>
      </w:r>
      <w:r>
        <w:rPr>
          <w:rFonts w:hint="eastAsia" w:ascii="宋体" w:hAnsi="宋体"/>
          <w:sz w:val="24"/>
          <w:highlight w:val="none"/>
        </w:rPr>
        <w:t xml:space="preserve">”的技术指标，投标人须在投标文件中按照招标文件要求提供证明材料。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 </w:t>
      </w:r>
    </w:p>
    <w:p w14:paraId="1BC1A2E7">
      <w:pPr>
        <w:spacing w:line="360" w:lineRule="auto"/>
        <w:ind w:firstLine="482" w:firstLineChars="200"/>
        <w:rPr>
          <w:rFonts w:ascii="宋体" w:hAnsi="宋体" w:cs="宋体"/>
          <w:b/>
          <w:bCs/>
          <w:sz w:val="24"/>
        </w:rPr>
      </w:pPr>
      <w:r>
        <w:rPr>
          <w:rFonts w:hint="eastAsia" w:ascii="宋体" w:hAnsi="宋体" w:cs="宋体"/>
          <w:b/>
          <w:bCs/>
          <w:sz w:val="24"/>
        </w:rPr>
        <w:t>（五）采购标的的验收标准</w:t>
      </w:r>
    </w:p>
    <w:p w14:paraId="6985E96F">
      <w:pPr>
        <w:spacing w:line="360" w:lineRule="auto"/>
        <w:ind w:firstLine="480" w:firstLineChars="200"/>
        <w:rPr>
          <w:rFonts w:hint="default" w:ascii="宋体" w:hAnsi="宋体" w:cs="宋体"/>
          <w:sz w:val="24"/>
        </w:rPr>
      </w:pPr>
      <w:r>
        <w:rPr>
          <w:rFonts w:hint="eastAsia" w:ascii="宋体" w:hAnsi="宋体" w:cs="宋体"/>
          <w:sz w:val="24"/>
          <w:lang w:val="en-US" w:eastAsia="zh-CN"/>
        </w:rPr>
        <w:t>1.</w:t>
      </w:r>
      <w:r>
        <w:rPr>
          <w:rFonts w:hint="default" w:ascii="宋体" w:hAnsi="宋体" w:cs="宋体"/>
          <w:sz w:val="24"/>
        </w:rPr>
        <w:t>供应商所交付的软件系统应</w:t>
      </w:r>
      <w:r>
        <w:rPr>
          <w:rFonts w:hint="eastAsia" w:ascii="宋体" w:hAnsi="宋体" w:cs="宋体"/>
          <w:sz w:val="24"/>
          <w:lang w:val="en-US" w:eastAsia="zh-CN"/>
        </w:rPr>
        <w:t>按照合同约定交付</w:t>
      </w:r>
      <w:r>
        <w:rPr>
          <w:rFonts w:hint="default" w:ascii="宋体" w:hAnsi="宋体" w:cs="宋体"/>
          <w:sz w:val="24"/>
        </w:rPr>
        <w:t>产品，功能完整、稳定可运行。</w:t>
      </w:r>
    </w:p>
    <w:p w14:paraId="4690FB8B">
      <w:pPr>
        <w:spacing w:line="360" w:lineRule="auto"/>
        <w:ind w:firstLine="480" w:firstLineChars="200"/>
        <w:rPr>
          <w:rFonts w:hint="default" w:ascii="宋体" w:hAnsi="宋体" w:cs="宋体"/>
          <w:sz w:val="24"/>
        </w:rPr>
      </w:pPr>
      <w:r>
        <w:rPr>
          <w:rFonts w:hint="eastAsia" w:ascii="宋体" w:hAnsi="宋体" w:cs="宋体"/>
          <w:sz w:val="24"/>
          <w:lang w:val="en-US" w:eastAsia="zh-CN"/>
        </w:rPr>
        <w:t>2.</w:t>
      </w:r>
      <w:r>
        <w:rPr>
          <w:rFonts w:hint="default" w:ascii="宋体" w:hAnsi="宋体" w:cs="宋体"/>
          <w:sz w:val="24"/>
        </w:rPr>
        <w:t>软件安装、配置、授权、调试完成后，应在采购方指定环境中正常运行，并满足合同规定的功能及性能指标。</w:t>
      </w:r>
    </w:p>
    <w:p w14:paraId="03F8BEAE">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default" w:ascii="宋体" w:hAnsi="宋体" w:cs="宋体"/>
          <w:sz w:val="24"/>
        </w:rPr>
        <w:t>验收应包括：安装验收、功能验收、性能与安全验收、文档验收、培训与服务验收等部分。</w:t>
      </w:r>
    </w:p>
    <w:p w14:paraId="13889AB6">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0C372C00">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18DC9129">
      <w:pPr>
        <w:spacing w:line="360" w:lineRule="auto"/>
        <w:ind w:firstLine="482" w:firstLineChars="200"/>
        <w:contextualSpacing/>
        <w:rPr>
          <w:rFonts w:ascii="宋体" w:hAnsi="宋体" w:cs="宋体"/>
          <w:b/>
          <w:bCs/>
          <w:sz w:val="24"/>
        </w:rPr>
      </w:pPr>
      <w:r>
        <w:rPr>
          <w:rFonts w:hint="eastAsia" w:ascii="宋体" w:hAnsi="宋体" w:cs="宋体"/>
          <w:b/>
          <w:bCs/>
          <w:sz w:val="24"/>
        </w:rPr>
        <w:t>1.需满足国家相关标准、行业标准、地方标准或者其他标准、规范：</w:t>
      </w:r>
    </w:p>
    <w:p w14:paraId="11843CE3">
      <w:pPr>
        <w:spacing w:line="360" w:lineRule="auto"/>
        <w:ind w:firstLine="480" w:firstLineChars="200"/>
        <w:jc w:val="left"/>
        <w:rPr>
          <w:rFonts w:ascii="宋体" w:hAnsi="宋体" w:cs="宋体"/>
          <w:kern w:val="0"/>
          <w:sz w:val="24"/>
        </w:rPr>
      </w:pP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3EB9BE93">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310BA56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1.系统功能要求说明</w:t>
      </w:r>
    </w:p>
    <w:p w14:paraId="423F274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远程临床试验系统需要深度契合临床试验从启动、执行到监查的全流程需求，以 “打破地域限制、提升数据价值、保障试验合规” 为核心目标，形成从试验生态搭建、信息管理、随访干预到 DCT 专属支撑的完整能力体系，全方位覆盖患者参与、数据处理、风险管控、合规保障等关键环节。</w:t>
      </w:r>
    </w:p>
    <w:p w14:paraId="2583D75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2.患者端</w:t>
      </w:r>
    </w:p>
    <w:p w14:paraId="6F85BC1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2.1支持平台：微信小程序/APP(IOS、Android、鸿蒙等)</w:t>
      </w:r>
    </w:p>
    <w:p w14:paraId="6C5FBEE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2.2功能要求</w:t>
      </w:r>
    </w:p>
    <w:p w14:paraId="59E9F5F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2.2.1患者信息服务</w:t>
      </w:r>
      <w:r>
        <w:rPr>
          <w:rFonts w:hint="eastAsia" w:ascii="宋体" w:hAnsi="宋体" w:cs="宋体"/>
          <w:kern w:val="0"/>
          <w:sz w:val="24"/>
          <w:lang w:val="en-US" w:eastAsia="zh-CN"/>
        </w:rPr>
        <w:tab/>
      </w:r>
    </w:p>
    <w:p w14:paraId="0D9ACC7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2.2.1.1基础信息管理：支持患者基础信息的录入操作，提供多维度信息查询功能，确保信息检索便捷性</w:t>
      </w:r>
    </w:p>
    <w:p w14:paraId="0B86E19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2.2.1.2就诊人服务管理：实现就诊人的新增录入、信息查询、资料修改等全流程操作，保障就诊人信息管理的完整性</w:t>
      </w:r>
    </w:p>
    <w:p w14:paraId="03F5D0E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2.2.1.3精准患者运营：包含目标患者精准定位、专属患者管理辅助、项目匹配筛选、患者意向动态跟踪等功能，助力高效患者管理</w:t>
      </w:r>
    </w:p>
    <w:p w14:paraId="31B0D96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2.2.2知情同意书管理</w:t>
      </w:r>
      <w:r>
        <w:rPr>
          <w:rFonts w:hint="eastAsia" w:ascii="宋体" w:hAnsi="宋体" w:cs="宋体"/>
          <w:kern w:val="0"/>
          <w:sz w:val="24"/>
          <w:lang w:val="en-US" w:eastAsia="zh-CN"/>
        </w:rPr>
        <w:tab/>
      </w:r>
    </w:p>
    <w:p w14:paraId="67BFA26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2.2.2.1知情文书全流程服务：提供定制化知情同意书模板及独立管理机制，保障知情信息清晰展示与患者理解；支持签署操作执行与过程记录留存，同时实现阅读进度自动保存及在线咨询通道，解决患者签署疑问</w:t>
      </w:r>
    </w:p>
    <w:p w14:paraId="2FA68DA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2.2.3远程随访服务</w:t>
      </w:r>
      <w:r>
        <w:rPr>
          <w:rFonts w:hint="eastAsia" w:ascii="宋体" w:hAnsi="宋体" w:cs="宋体"/>
          <w:kern w:val="0"/>
          <w:sz w:val="24"/>
          <w:lang w:val="en-US" w:eastAsia="zh-CN"/>
        </w:rPr>
        <w:tab/>
      </w:r>
    </w:p>
    <w:p w14:paraId="41784B1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2.2.3.1随访全周期管理：可定制专属随访文档，设置多节点随访提醒，系统自动推送随访问卷至患者端；支持患者通过随机分配的接收渠道在线完成随访填写；医生端可实时在线审核问卷内容，并通过消息通知功能同步审核结果</w:t>
      </w:r>
    </w:p>
    <w:p w14:paraId="1CD70B4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2.2.4远程诊疗服务</w:t>
      </w:r>
      <w:r>
        <w:rPr>
          <w:rFonts w:hint="eastAsia" w:ascii="宋体" w:hAnsi="宋体" w:cs="宋体"/>
          <w:kern w:val="0"/>
          <w:sz w:val="24"/>
          <w:lang w:val="en-US" w:eastAsia="zh-CN"/>
        </w:rPr>
        <w:tab/>
      </w:r>
    </w:p>
    <w:p w14:paraId="7CEC8A2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▲2.2.4.1在线问诊服务：集成图文、语音、视频等多种问诊方式，自动记录问诊过程中的关键信息，形成完整问诊档案</w:t>
      </w:r>
      <w:r>
        <w:rPr>
          <w:rFonts w:hint="eastAsia" w:ascii="宋体" w:hAnsi="宋体" w:cs="宋体"/>
          <w:b/>
          <w:bCs/>
          <w:kern w:val="0"/>
          <w:sz w:val="24"/>
          <w:lang w:val="en-US" w:eastAsia="zh-CN"/>
        </w:rPr>
        <w:t>（提供软件功能截图并加盖公章）</w:t>
      </w:r>
    </w:p>
    <w:p w14:paraId="1387C05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▲2.2.4.2电子处方管理：覆盖电子处方开具、专业审核流程，支持处方信息同步传递至药房及患者端，提供处方查询、用药追溯服务；同时推送用药提醒及专业用药指导，保障用药安全</w:t>
      </w:r>
      <w:r>
        <w:rPr>
          <w:rFonts w:hint="eastAsia" w:ascii="宋体" w:hAnsi="宋体" w:cs="宋体"/>
          <w:b/>
          <w:bCs/>
          <w:kern w:val="0"/>
          <w:sz w:val="24"/>
          <w:lang w:val="en-US" w:eastAsia="zh-CN"/>
        </w:rPr>
        <w:t>（提供软件功能截图并加盖公章）</w:t>
      </w:r>
    </w:p>
    <w:p w14:paraId="62E8278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2.2.5患者教育服务</w:t>
      </w:r>
      <w:r>
        <w:rPr>
          <w:rFonts w:hint="eastAsia" w:ascii="宋体" w:hAnsi="宋体" w:cs="宋体"/>
          <w:kern w:val="0"/>
          <w:sz w:val="24"/>
          <w:lang w:val="en-US" w:eastAsia="zh-CN"/>
        </w:rPr>
        <w:tab/>
      </w:r>
    </w:p>
    <w:p w14:paraId="1FFCE8E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2.2.5.1医生端运营管理：支持医生创建并管理患教群聊，实现健康专栏内容创作与发布，可设置专栏付费权限；提供在线讲座发起功能，支持讲座过程中的医患互动管理</w:t>
      </w:r>
    </w:p>
    <w:p w14:paraId="08E2087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2.2.5.2患者端学习服务：患者可加入对应患教群聊参与交流，浏览并学习健康专栏内容，自主报名参与在线讲座，获取专业健康知识</w:t>
      </w:r>
    </w:p>
    <w:p w14:paraId="2E06BB5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2.2.6 AI智能健康服务</w:t>
      </w:r>
      <w:r>
        <w:rPr>
          <w:rFonts w:hint="eastAsia" w:ascii="宋体" w:hAnsi="宋体" w:cs="宋体"/>
          <w:kern w:val="0"/>
          <w:sz w:val="24"/>
          <w:lang w:val="en-US" w:eastAsia="zh-CN"/>
        </w:rPr>
        <w:tab/>
      </w:r>
    </w:p>
    <w:p w14:paraId="2DCF3BA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▲2.2.6.1智能健康咨询：提供 7x24 小时智能问答服务，基于患者健康数据生成个性化健康建议，定向推送适配的健康知识内容</w:t>
      </w:r>
      <w:r>
        <w:rPr>
          <w:rFonts w:hint="eastAsia" w:ascii="宋体" w:hAnsi="宋体" w:cs="宋体"/>
          <w:b/>
          <w:bCs/>
          <w:kern w:val="0"/>
          <w:sz w:val="24"/>
          <w:lang w:val="en-US" w:eastAsia="zh-CN"/>
        </w:rPr>
        <w:t>（提供软件功能截图并加盖公章）</w:t>
      </w:r>
    </w:p>
    <w:p w14:paraId="09A615C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2.2.6.2医学报告解读：针对化验单：实现数据深度解析与通俗解读，分析指标变化趋势并给出健康建议，支持报告生成与多渠道分享；针对体检报告：提供全面指标解读，开展健康风险评估，对比历史体检数据并跟踪健康变化，生成标准化报告并支持分享</w:t>
      </w:r>
      <w:r>
        <w:rPr>
          <w:rFonts w:hint="eastAsia" w:ascii="宋体" w:hAnsi="宋体" w:cs="宋体"/>
          <w:b/>
          <w:bCs/>
          <w:kern w:val="0"/>
          <w:sz w:val="24"/>
          <w:lang w:val="en-US" w:eastAsia="zh-CN"/>
        </w:rPr>
        <w:t>（提供软件功能截图并加盖公章）</w:t>
      </w:r>
    </w:p>
    <w:p w14:paraId="122F460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▲2.2.6.3用药智能指导：支持药品信息快速查询，结合患者病情与用药史提供个性化用药建议及服药提醒，实时预警潜在药物不良反应</w:t>
      </w:r>
      <w:r>
        <w:rPr>
          <w:rFonts w:hint="eastAsia" w:ascii="宋体" w:hAnsi="宋体" w:cs="宋体"/>
          <w:b/>
          <w:bCs/>
          <w:kern w:val="0"/>
          <w:sz w:val="24"/>
          <w:lang w:val="en-US" w:eastAsia="zh-CN"/>
        </w:rPr>
        <w:t>（提供软件功能截图并加盖公章）</w:t>
      </w:r>
    </w:p>
    <w:p w14:paraId="5137812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2.2.6.4智能食物分析：具备食物图像识别功能，精准分析食物营养成分构成，基于用户健康状况给出饮食建议及健康提示，辅助管理日常饮食</w:t>
      </w:r>
    </w:p>
    <w:p w14:paraId="25D5908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3.研究者端</w:t>
      </w:r>
    </w:p>
    <w:p w14:paraId="3B9E0D8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3.1支持平台：Web等</w:t>
      </w:r>
    </w:p>
    <w:p w14:paraId="1CDB3BD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3.2功能要求</w:t>
      </w:r>
    </w:p>
    <w:p w14:paraId="37230C6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3.2.1临床研究数据采集与协同治理</w:t>
      </w:r>
    </w:p>
    <w:p w14:paraId="00308DC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项目核心信息与协作组织管控：负责临床研究项目核心基础信息（含项目编号、研究范畴、预期周期）的动态维护与更新，同步对参与项目的协作组织（如合作医疗机构、检测实验室）信息进行分类管控，明确项目与组织的协作边界及信息交互规则，保障跨主体信息一致性</w:t>
      </w:r>
    </w:p>
    <w:p w14:paraId="031B35B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3.2.1.2项目团队协作统筹：整合项目团队成员的身份档案、岗位分工及项目角色定位，依据角色差异化配置系统操作权限（如数据查看权、审核决策权），实时更新成员工作状态（如参与中、暂离岗）；支持团队协作所需研究资料（如方案手册、培训课件）的在线检索、分类查阅及批量导出，降低跨成员信息沟通成本</w:t>
      </w:r>
    </w:p>
    <w:p w14:paraId="7AA19A7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3.2.1.3 cCRF 表单智能设计与版本管控：提供 cCRF（病例报告表）表单草案的拖拽式设计、在线编辑功能，支持多版本表单的迭代保存与差异对比视图，自动生成表单发布履历（含发布人、发布时间、字段增减、逻辑调整说明），确保 cCRF 设计全流程可追溯、可审计</w:t>
      </w:r>
    </w:p>
    <w:p w14:paraId="34F3776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3.2.1.4实验室关联数据管控：创建并维护实验室检查项目对应的标记核查表，定义检查指标（如生化指标、免疫指标）与系统数据字段的映射规则；设定各检查项目的正常值参考范围，配置数据检查值的自动核查逻辑（如超出范围即时预警、异常值标记），从源头保障实验室数据精准性</w:t>
      </w:r>
    </w:p>
    <w:p w14:paraId="7C77556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数据管理-数据统计：根据项目研究需求，构建数据统计规则，涵盖基础算术运算、多条件嵌套运算等类型，可直接关联表单字段实现数据自动生成（如受试者年龄自动计算），替代人工计算环节，减少数据计算误差</w:t>
      </w:r>
    </w:p>
    <w:p w14:paraId="5CC2849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3.2.1.6数据管理-页面交互逻辑定制：可针对系统页面元素（如输入框、选项按钮）配置条件化显示/隐藏规则（如 “已入组” 状态下才显示随访相关字段），设定数据录入的格式验证（如日期格式 “YYYY-MM-DD”）、数值范围约束（如体重 40-150kg）；同步支持研究流程中的页面引导跳转，优化研究者数据录入体验</w:t>
      </w:r>
    </w:p>
    <w:p w14:paraId="1D3262C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3.2.1.7数据管理-DVP 全流程配置：定义数据验证计划（DVP）的各类验证规则（如数据完整性、逻辑一致性），将规则与具体项目、表单进行关联匹配；规划验证执行步骤与责任人，明确异常数据的分级处理机制（如轻微异常提示整改、严重异常冻结数据），留存验证规则的版本记录及操作审计日志</w:t>
      </w:r>
    </w:p>
    <w:p w14:paraId="5722D51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3.2.1.8医学编码标准化治理：维护医学编码词典库并支持定期更新迭代，基于词典库为研究数据提供自动编码推荐；支持编码结果的人工复核与有效性校验，提供多条件组合的编码查询检索功能（如按编码类型、对应病症），完整留存编码版本信息与修改追溯记录</w:t>
      </w:r>
    </w:p>
    <w:p w14:paraId="7B1BB3D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3.2.1.9受试者全周期动态管控：展示受试者信息总览列表并支持新增录入，配置访视时间窗口参数（如 ±3 天弹性区间）；实现受试者脱敏 SD 数据的权限分级管控，支持脱敏数据快照存储与加密管理；提供提取与录入受试者关键信息（如基本信息、病史数据），同步包含受试者信息概况查看、数据质疑发起/跟踪、信息导出及访视沟通记录存档功能</w:t>
      </w:r>
    </w:p>
    <w:p w14:paraId="32AEC97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3.2.1.10结构化病例数据多端采集：可根据不同研究项目或专病研究需求，搭建专属定制化数据采集模版；研究者可完成结构化病例数据录入与提交，打破终端限制，提升数据采集灵活性</w:t>
      </w:r>
    </w:p>
    <w:p w14:paraId="545DE37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3.2.1.11数据疑问闭环治理：支持依据数据异常自动触发或人工手动创建疑问，将疑问精准分配至对应数据负责人并实时跟踪处理进度（如待处理、处理中、已解决）；记录疑问从发起、核实、处理到关闭的完整流程，提供疑问类型、处理时长等维度的统计分析，形成疑问管理闭环</w:t>
      </w:r>
    </w:p>
    <w:p w14:paraId="676D040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3.2.1.12研究隐私信息防护与维护：提供研究相关隐私信息（如受试者身份证号、联系方式）的新增、删除、修改、查询等基础维护功能，明确不同角色对隐私信息的访问权限范围，通过数据加密存储、访问操作日志留痕等手段，防止隐私信息未授权获取或滥用</w:t>
      </w:r>
    </w:p>
    <w:p w14:paraId="50F2CCA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3.2.1.13研究文件全生命周期治理：搭建研究文件的层级目录体系，支持各类文件（如研究方案、伦理批件）的上传、分类存储与版本管理；基于用户角色精准配置文件访问权限（如只读、编辑、审批），提供关键词、文件类型等多维度检索功能，完整记录文件上传、下载、修改等操作的审计日志</w:t>
      </w:r>
    </w:p>
    <w:p w14:paraId="795561A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3.2.1.14系统基础模板配置：包含用户信息管理（如信息维护、账号状态管控）与权限授权管理（如权限分配、回收）两大核心模块，为系统其他功能模块提供标准化基础配置支撑，保障系统整体运行规范性</w:t>
      </w:r>
    </w:p>
    <w:p w14:paraId="608FF4E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3.2.1.15系统安全与运维保障：涵盖系统安全策略配置（如密码复杂度要求、登录超时设置）、安全风险实时监测、基础系统运维（如服务器状态监控、数据备份）、功能参数配置、报告生成与导出、信息资源维护、用户账号管理等功能；支持系统部署后的功能测试与性能验证，保障系统长期稳定安全运行</w:t>
      </w:r>
    </w:p>
    <w:p w14:paraId="1778EEA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3.2.2项目立项规范化治理</w:t>
      </w:r>
    </w:p>
    <w:p w14:paraId="1B73E9B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3.2.2.1立项信息在线填报通道：为医疗新技术临床应用、科研课题开展等类型的临床研究项目，提供专属在线立项信息填报入口；项目负责人可在此模块录入项目基本信息、研究背景与价值、研究目标、预期成果等内容，实现立项信息电子化管理，提升填报效率并减少人工录入失误</w:t>
      </w:r>
    </w:p>
    <w:p w14:paraId="7ACE02A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3.2.2.2立项附件标准化治理：系统根据项目类型（如药物临床试验、医疗器械试验）及对应标准操作程序（SOP），自动匹配生成需上传的附件清单，清晰划分必传附件（如伦理初审意见、研究者资质证明）与非必传附件（如合作意向书）；对上传文件的格式（如 PDF、Word）、大小进行限制，确保附件资料规范完整</w:t>
      </w:r>
    </w:p>
    <w:p w14:paraId="0DE51D7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3.2.2.3立项形式审查流程：管理人员通过系统在线审阅项目申请信息、附件材料及团队成员资质信息，审查中可实时标记问题点，通过系统电子流程将意见反馈至项目负责人；项目负责人可及时查看反馈意见并针对性整改，缩短立项审查周期</w:t>
      </w:r>
    </w:p>
    <w:p w14:paraId="1FFA8CE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3.2.2.4科学性审查组织协调：支持按项目类型、研究领域（如内科、外科、儿科）等条件筛选项目并导出列表，自动生成标准化审查表格并支持打印；为科学性审查专家提供统一规范的审查材料，辅助管理人员有序组织审查会议，保障科学性审查高效推进</w:t>
      </w:r>
    </w:p>
    <w:p w14:paraId="2F8A427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3.2.2.5立项审批流程管控：针对已通过科学性审查与伦理审查的项目，科研管理人员可在系统内完成立项审批确认，系统自动记录审批过程关键信息（如审批人、审批意见、审批时间），确保立项审批严谨可追溯，推动项目正式进入实施阶段</w:t>
      </w:r>
    </w:p>
    <w:p w14:paraId="4229B36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3.2.3伦理审查系统协同对接</w:t>
      </w:r>
    </w:p>
    <w:p w14:paraId="070D3AA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3.2.3.1跨系统深度集成：实现与伦理审查管理系统的无缝深度对接，打破信息孤岛，构建一体化业务处理环境；支持两系统间数据自动同步传输与共享（如立项信息、附件材料），减少人工录入环节，提升业务处理准确性与效率</w:t>
      </w:r>
    </w:p>
    <w:p w14:paraId="2A21FD8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3.2.3.2项目信息自动同步：项目完成立项审批后，系统自动将项目完整信息（如研究方案、团队信息）及所有附件材料同步至伦理审查系统，确保伦理审查系统实时获取最新项目资料，为伦理审查提供全面准确的信息支撑，避免信息传递延迟或遗漏</w:t>
      </w:r>
      <w:r>
        <w:rPr>
          <w:rFonts w:hint="eastAsia" w:ascii="宋体" w:hAnsi="宋体" w:cs="宋体"/>
          <w:b/>
          <w:bCs/>
          <w:kern w:val="0"/>
          <w:sz w:val="24"/>
          <w:lang w:val="en-US" w:eastAsia="zh-CN"/>
        </w:rPr>
        <w:t>（提供软件功能截图并加盖公章）</w:t>
      </w:r>
    </w:p>
    <w:p w14:paraId="708EFF0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3.2.3.3已登录用户免密访问：已登录本系统的用户，无需重复输入密码即可直接访问伦理审查系统，可在伦理系统内完成伦理申请提交、审查意见查阅、反馈回复等操作，减少跨系统切换登录的繁琐流程，提升工作效率</w:t>
      </w:r>
    </w:p>
    <w:p w14:paraId="26859E3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3.2.4人类遗传资源合规治理</w:t>
      </w:r>
    </w:p>
    <w:p w14:paraId="29637F9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3.2.4.1审批需求智能判定：系统依据国家人类遗传资源管理法规及项目研究内容（如是否涉及遗传资源采集、出境），自动判定项目是否需办理人类遗传资源审批及具体审批类型（如采集审批、出境审批），为项目负责人提供明确合规指引，避免因审批问题导致项目停滞</w:t>
      </w:r>
    </w:p>
    <w:p w14:paraId="5AD5833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3.2.4.2相关文件自动匹配与治理：根据医院是否为项目组长单位，系统自动匹配需签署的人类遗传资源相关文件类型（如组长单位责任承诺书、合作研究协议）；支持文件附件在线上传，方便项目团队提交材料，同时允许机构办下载文件盖章后回传系统，规范文件流转流程</w:t>
      </w:r>
    </w:p>
    <w:p w14:paraId="221A697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3.2.4.3人类遗传资源线上申请：若医院为人类遗传资源申请单位，项目团队可通过系统在线填写申请表格，上传人类遗传资源管理办公室要求的支撑附件（如研究方案、知情同意书模板）及相关批件扫描件，实现申请流程全线上化，便于管理部门集中审核</w:t>
      </w:r>
    </w:p>
    <w:p w14:paraId="7723CAF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3.2.4.4审批流程多签规则定制：支持根据人类遗传资源申请类型（如采集、保藏）、项目级别等因素，自定义设置多环节签署审批规则，可指定每个审批节点的负责部门（如科研处、法务处）与审核人员，适配不同场景审批需求</w:t>
      </w:r>
    </w:p>
    <w:p w14:paraId="31FCB16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3.2.5研究协议审查治理</w:t>
      </w:r>
    </w:p>
    <w:p w14:paraId="061634C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3.2.5.1各类协议在线审查：支持基本合作协议、委托研究协议、补充协议等多种类型研究协议的在线提交与审查；临床研究中心可独立开展协议合规性审查，院内相关部门（如法务处、财务处）通过系统会签，系统自动汇总各部门审查意见并展示，确保协议内容合法、权责清晰</w:t>
      </w:r>
    </w:p>
    <w:p w14:paraId="14A7AEB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3.2.5.2协议审查过程留痕：协议审查全流程中，系统自动记录各环节审核日期、协议当前版本号，以及首次沟通、部门审核、审查通过、协议签章等关键时间节点；完整留存各版本协议的修改痕迹（如修改内容、修改人、修改原因），便于协议历史追溯与管理</w:t>
      </w:r>
    </w:p>
    <w:p w14:paraId="12D5B69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3.2.6项目启动审核流程</w:t>
      </w:r>
    </w:p>
    <w:p w14:paraId="71E8076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3.2.6.1启动申请在线提交：研究者通过系统在线发起项目启动申请，上传启动所需支撑材料（如最终版研究方案、研究人员资质证明、伦理批件），无需线下提交纸质材料，简化申请流程，加快启动审核进度</w:t>
      </w:r>
    </w:p>
    <w:p w14:paraId="1E3720E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3.2.6.2启动审核决策与记录：项目管理人员结合启动申请材料、项目准备情况（如人员培训完成度、物资到位情况），在系统内在线完成审核，明确同意或不同意启动的决策意见；系统完整记录审核结果、理由及时间，确保审核规范可追溯</w:t>
      </w:r>
    </w:p>
    <w:p w14:paraId="10D273B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3.2.7项目实施过程治理</w:t>
      </w:r>
    </w:p>
    <w:p w14:paraId="5563734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3.2.7.1实施人员权限管控：针对临床研究实施阶段的参与人员（如主要研究者、数据录入员），精细化配置数据查看、修改、删除等操作权限；严格按人员角色与职责分配权限，防止数据泄露与越权操作，保障研究数据安全</w:t>
      </w:r>
    </w:p>
    <w:p w14:paraId="7A7973D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▲3.2.7.2受试者全流程状态维护：覆盖受试者从招募登记、知情同意签署、筛选评估、入组/排除判定、定期随访到研究完成/脱落的全周期状态管理；系统实时记录受试者各阶段状态变更时间与原因（如脱落原因 “失访”“不良反应”），方便研究人员动态跟踪</w:t>
      </w:r>
      <w:r>
        <w:rPr>
          <w:rFonts w:hint="eastAsia" w:ascii="宋体" w:hAnsi="宋体" w:cs="宋体"/>
          <w:b/>
          <w:bCs/>
          <w:kern w:val="0"/>
          <w:sz w:val="24"/>
          <w:lang w:val="en-US" w:eastAsia="zh-CN"/>
        </w:rPr>
        <w:t>（提供软件功能截图并加盖公章）</w:t>
      </w:r>
    </w:p>
    <w:p w14:paraId="1337FCF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3.2.7.3实施进度查询与导出：支持查询受试者筛选通过率、实际入组人数、随访完成率等核心进度数据；查询结果可导出为 EXCEL 格式，便于项目管理人员与研究团队分析进度偏差，及时调整执行计划</w:t>
      </w:r>
    </w:p>
    <w:p w14:paraId="7C32991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3.2.7.4项目变更备案线上处理：实施过程中，若需变更研究方案、调整团队成员或更新文档，项目团队通过系统在线发起备案申请，上传变更说明及支撑材料（如变更理由、伦理批准文件）；机构管理人员在线审核备案材料，实现备案流程线上闭环，保障实施合规</w:t>
      </w:r>
    </w:p>
    <w:p w14:paraId="2750561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3.2.8受试者诊疗协同治理</w:t>
      </w:r>
    </w:p>
    <w:p w14:paraId="1F9A319E">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▲3.2.8.1跨系统诊疗信息对接：通过与医院 HIS（医院信息系统）、LIS（实验室信息系统）、互联网医院等对接，为受试者开通跨系统免费诊疗服务；受试者诊疗数据（如门诊病历、检查报告）实时共享，为研究者提供全面健康数据，提升受试者诊疗便捷性</w:t>
      </w:r>
      <w:r>
        <w:rPr>
          <w:rFonts w:hint="eastAsia" w:ascii="宋体" w:hAnsi="宋体" w:cs="宋体"/>
          <w:b/>
          <w:bCs/>
          <w:kern w:val="0"/>
          <w:sz w:val="24"/>
          <w:lang w:val="en-US" w:eastAsia="zh-CN"/>
        </w:rPr>
        <w:t>（提供软件功能截图并加盖公章）</w:t>
      </w:r>
    </w:p>
    <w:p w14:paraId="0B26B8C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3.2.8.2关键信息自动推送：项目启动后，系统自动向诊疗系统（如医生工作站）推送项目核心信息（如项目名称、免费诊疗范围），研究者无需重复录入即可开展跨系统诊疗随访；自动推送授权诊疗人员名单，精准控制免费医嘱开具权限，确保诊疗规范安全</w:t>
      </w:r>
    </w:p>
    <w:p w14:paraId="5088C01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3.2.8.3受试者诊疗信息操作：支持受试者诊疗信息登记录入、历史数据提取及在线查看，方便研究人员实时掌握诊疗动态，为研究数据采集与分析提供支撑</w:t>
      </w:r>
    </w:p>
    <w:p w14:paraId="5513324E">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3.2.8.4诊疗费用自动核算：对接医院医疗收费系统，实现免费医嘱费用实时共享与统计；系统自动核算受试者研究期间诊疗费用，完成项目费用结算，确保费用统计精准、结算及时</w:t>
      </w:r>
    </w:p>
    <w:p w14:paraId="03B4579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3.2.9项目结题流程治理</w:t>
      </w:r>
    </w:p>
    <w:p w14:paraId="49E6576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3.2.9.1结题资料线上提交：支持项目团队在线提交结题所需全套资料（如研究总结报告、数据统计分析报告、成果说明、受试者完成情况表）；实现结题资料电子化收集，减少纸质材料整理工作量，提升结题效率</w:t>
      </w:r>
    </w:p>
    <w:p w14:paraId="3FB5022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3.2.9.2结题审核与报告导出：管理人员根据结题申请材料、项目实施情况（如数据完整性、合规性），审核是否同意结题；审核通过后，结题报告可在线预览与导出，便于存档与成果申报</w:t>
      </w:r>
    </w:p>
    <w:p w14:paraId="28222A4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3.2.10项目档案精细化治理</w:t>
      </w:r>
    </w:p>
    <w:p w14:paraId="574ABD1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3.2.10.1项目文件中心-中心列表：展示项目已开展工作的各中心（如分中心医院）信息，按中心分类管理对应文件（如分中心启动材料、结题报告），实现文件与中心精准关联，便于按中心检索</w:t>
      </w:r>
    </w:p>
    <w:p w14:paraId="35FA36A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3.2.10.2文件管理-概览视图：提供文件管理概览可视化界面，直观展示各中心需收集文件类别（如伦理文件、财务文件）帮助管理人员快速掌握收集进度</w:t>
      </w:r>
    </w:p>
    <w:p w14:paraId="66D7D7B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3.2.10.3文件管理-上传记录：支持 PDF、Word、Excel、JPG 等格式文件上传，系统自动记录每份文件的上传时间、上传人及所属中心，形成上传台账，确保文件来源可追溯</w:t>
      </w:r>
    </w:p>
    <w:p w14:paraId="49E7945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3.2.10.4文件管理-在线预览：支持已上传文件在线预览，无需下载即可查看内容，避免格式兼容问题，提升查阅便捷性</w:t>
      </w:r>
    </w:p>
    <w:p w14:paraId="2790904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3.2.10.5文件管理-内容提取与录入：按照模版文件上传后，系统自动识别提取关键信息（如受试者编号、检查结果）；支持人工手动录入或校正 导入结果，确保信息精准录入数据库</w:t>
      </w:r>
    </w:p>
    <w:p w14:paraId="00F569A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3.2.10.6文件管理-操作痕迹追踪：完整记录文件内容录入、编辑、删除、核查等操作，包括操作人、时间、内容变更对比，形成操作轨迹，保障修改可追溯</w:t>
      </w:r>
    </w:p>
    <w:p w14:paraId="62A0C2B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3.2.10.7文件核查-系统自动核查：基于预设核查规则（如数据完整性、文件格式合规性），系统自动批量核查已录入文件内容，发现问题后记录类型（如信息缺失）、位置及原因</w:t>
      </w:r>
    </w:p>
    <w:p w14:paraId="1AF8AB91">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3.2.10.8文件核查-AI 智能核查：系统内置临床研究文件知识库（含法规、SOP），利用 AI 算法结合知识库核查文件合规性与逻辑性，辅助人工发现潜在问题</w:t>
      </w:r>
    </w:p>
    <w:p w14:paraId="481E65B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3.2.10.9文件管理-批量下载：汇总展示所有文件上传记录，支持按中心、类型、时间筛选后批量下载，减少单文件多次下载操作，提升获取效率</w:t>
      </w:r>
    </w:p>
    <w:p w14:paraId="217D347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3.2.10.10 Issues 管理-问题发起：人工核查文件内容时，发现问题（如数据矛盾）可在线发起 Issues，填写描述、关联文件、设置优先级（高/中/低），指定负责人</w:t>
      </w:r>
    </w:p>
    <w:p w14:paraId="552627A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3.2.10.11 Issues 管理-问题解决：CTA（临床研究助理）接收 Issues 通知，核实后在线填写解决方案并回复，完成问题关闭；需澄清时可反馈补充需求，形成闭环</w:t>
      </w:r>
    </w:p>
    <w:p w14:paraId="43673FE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3.2.10.12 Issues 管理-统计分析：按文件类型、问题类别（数据错误/信息缺失）、解决状态统计 Issues 频次与分布，生成报表，为优化文件管理提供数据支撑</w:t>
      </w:r>
    </w:p>
    <w:p w14:paraId="52C1213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3.2.10.13文件库结构化搭建：通过 Excel 模板导入批量创建项目文件清单及内容字段（如文件名称、必填项）；支持按项目阶段/类型搭建多套文件库，适配不同管理场景</w:t>
      </w:r>
    </w:p>
    <w:p w14:paraId="5DF0420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3.2.10.14核查规则批量搭建：通过 Excel 模板导入批量配置文件核查规则，一次性导入多条规则（如字段格式、数据范围），替代手动逐条配置，提升效率</w:t>
      </w:r>
    </w:p>
    <w:p w14:paraId="3EB7D89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3.2.10.15页面逻辑灵活配置：根据文件收集需求，自定义页面显示逻辑，控制字段数量、位置及顺序，适配不同文件录入场景</w:t>
      </w:r>
    </w:p>
    <w:p w14:paraId="5A32D28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3.2.11项目质控全流程治理</w:t>
      </w:r>
    </w:p>
    <w:p w14:paraId="215F720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3.2.11.1质控数据统计与可视化：支持自定义配置质控指标（如数据错误率、访视合规率），查询质控详细记录；提供分类报表及柱状图、饼图等可视化图表，支持外部质控备案管理，辅助质控人员掌握项目质量</w:t>
      </w:r>
    </w:p>
    <w:p w14:paraId="229BCC1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3.2.11.2质控报告模板配置：依据临研中心 SOP 配置系统通用及项目专属质控模板；支持质控指标新增/修改、模板版本管理（版本号、生效状态），为质控提供标准化框架</w:t>
      </w:r>
    </w:p>
    <w:p w14:paraId="710C319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3.2.11.3质控流程闭环管理：实现质控计划制定、审核与发布，支持按文件分册或独立模块质控；涵盖预约申请、日程安排、研究者在线填报质控信息/附件；针对问题支持研究者整改回复、质控人员复核；允许项目自查且无需整改复核，形成质控闭环</w:t>
      </w:r>
    </w:p>
    <w:p w14:paraId="50B48B7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3.2.12项目经费精细化治理</w:t>
      </w:r>
    </w:p>
    <w:p w14:paraId="252B89A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3.2.12.1经费入账自动化：依据医院经费管理规则，系统自动完成管理费计算与入账，记录入账金额、时间、项目编号，为经费核算提供准确基础数据</w:t>
      </w:r>
    </w:p>
    <w:p w14:paraId="5509B7D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3.2.12.2经费支出审核管控：支持在线提交经费支出申请并上传依据（如合同、发票）；管理人员在线审核合理性，对接院内财务系统核算实际费用，实现支出线上审批与实时核算，强化管控</w:t>
      </w:r>
    </w:p>
    <w:p w14:paraId="76E80AC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3.2.12.3经费信息查询统计：支持查询协议金额、入账金额、支出金额、余额等数据，按时间/支出类型统计分析，结果可导出报表，为经费决策提供支持</w:t>
      </w:r>
    </w:p>
    <w:p w14:paraId="6DBEB4C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3.2.13多维度统计报表治理</w:t>
      </w:r>
    </w:p>
    <w:p w14:paraId="79BC8AE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3.2.13.1项目数据可视化统计：查看本院所有项目实施进度（入组率、结题率）、科室分布、参研患者动态（随访完成率、脱落率），以图表直观展示；展示质控问题分布（类型占比），帮助管理人员掌握项目态势</w:t>
      </w:r>
    </w:p>
    <w:p w14:paraId="01FF00D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3.2.13.2项目数据查看与导出：在线查看项目时间进度表（关键节点完成时间）、合同收支明细、经费到账/发放记录；数据支持导出为 Excel/PDF，便于分析、汇报或存档</w:t>
      </w:r>
    </w:p>
    <w:p w14:paraId="178E97B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3.2.14科研信息发布与查询</w:t>
      </w:r>
    </w:p>
    <w:p w14:paraId="230EEE1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3.2.14.1标准化文件治理：在线发布科研制度、SOP、模板文件，支持版本更新与历史归档；用户可检索下载最新文件，确保使用规范文件</w:t>
      </w:r>
    </w:p>
    <w:p w14:paraId="5487409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3.2.14.2保密文档安全查看：临研中心发布的保密 SOP，仅授权用户可在线浏览，限制下载、复制、外传，通过技术手段保障信息安全</w:t>
      </w:r>
    </w:p>
    <w:p w14:paraId="71E2D12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3.2.14.3多元化信息发布：针对通知、公告、学术活动，支持 HTML 编辑排版、插入图片/附件，设置发布范围（全院/科室）与有效期，满足多样化发布需求</w:t>
      </w:r>
    </w:p>
    <w:p w14:paraId="7C213A3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3.2.15科研辅助治理</w:t>
      </w:r>
    </w:p>
    <w:p w14:paraId="765F1DB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3.2.15.1院内公告维护：支持医院管理部门（如科研处）发布内部公告（会议通知、政策调整），设置生效/失效时间，按部门/角色定向推送，确保信息高效传达</w:t>
      </w:r>
    </w:p>
    <w:p w14:paraId="13A0484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3.2.15.2研究人员信息治理：登记本院具备临研资质的人员信息（含临研中心、临床科室），维护简历、项目经历；按资质分配系统权限，支持资格证书（如 GCP 证书）上传、过期提醒与更新，构建人员信息库</w:t>
      </w:r>
    </w:p>
    <w:p w14:paraId="4DF2895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3.2.15.3培训记录治理：在线登记已完成培训课程（主题、时间、讲师）及参与人员，系统自动将记录关联至人员简历，便于跟踪培训情况，支撑资质评估</w:t>
      </w:r>
    </w:p>
    <w:p w14:paraId="5DF07B5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3.2.15.4系统操作痕迹查看：记录用户登录（时间、IP）、功能操作（模块、内容、结果），形成操作日志；管理员可查询日志，及时发现异常操作，保障系统安全</w:t>
      </w:r>
    </w:p>
    <w:p w14:paraId="12491B1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3.2.16系统基础配置治理</w:t>
      </w:r>
    </w:p>
    <w:p w14:paraId="24B2DE4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3.2.16.1角色功能授权配置：根据临研项目管理要求与流程，对各类角色（研究者、监查员、管理员）的业务权限个性化配置，确保权限与职责匹配，避免冗余或缺失</w:t>
      </w:r>
    </w:p>
    <w:p w14:paraId="3948414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3.2.16.2用户账号全周期治理：支持账号创建、信息修改、启用/停用；优化自助服务，允许项目人员自行申请账号、修改信息、重置密码，减少管理员负担</w:t>
      </w:r>
    </w:p>
    <w:p w14:paraId="214A617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3.2.16.3标准化数据与流程治理：配置标准化数据字典（疾病编码、药物名称）并定期更新；注册审查/审批流程并设置参数（节点、时限），确保数据规范、流程顺畅</w:t>
      </w:r>
    </w:p>
    <w:p w14:paraId="3322CA5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3.2.17临床研究全流程一体化治理</w:t>
      </w:r>
    </w:p>
    <w:p w14:paraId="4EBAAB9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3.2.17.1研究项目信息化管控：在现有临研项目管理系统基础上，拓展研究者发起临床研究（IIT）信息化模块，强化制度与 SOP 的系统内标准化执行，规范研究各环节，提升管理效率与合规性</w:t>
      </w:r>
    </w:p>
    <w:p w14:paraId="1D7A6FB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3.2.17.2一体化管理平台构建：搭建统一入口的一体化平台，整合立项、伦理审查、经费管理、实施、受试者管理、免费诊疗与结算、结题等全流程功能，实现数据互通、业务协同，提供一站式工作环境</w:t>
      </w:r>
    </w:p>
    <w:p w14:paraId="5F57D1E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3.2.18药物管理</w:t>
      </w:r>
    </w:p>
    <w:p w14:paraId="04F6834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3.2.18.1 药品信息管理：面向本院的管理，符合GCP中心药房、卫星药房、多级药房管理模式，支持试验相关药品信息维护，基本信息自动同步到HIS药品字典。</w:t>
      </w:r>
    </w:p>
    <w:p w14:paraId="45BEFAA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3.2.18.2 药品出入库管理：支持CRA提交入库申请，药物管理员接收入库，接收入库时批量生成条码。支持有/无编码药、有/无包装药的差异化管理。支持药物管理员根据研究者开立的处方发药。支持药物出库管理。支持药物按处方回收。支持药物自动隔离、手动隔离。支持药物返还申办方、申办方接收。支持中心药房与科室药房之间、中心药房与分药房之间进行调拨。面向药物管理员，展示所有待发药处方信息、待回收处方信息，可根据日期、项目进行进行</w:t>
      </w:r>
    </w:p>
    <w:p w14:paraId="22B825CE">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3.2.18.3 药品库存管理：总览各药房的药物库存信息，支持按药房、按项目、按药物查询药物库存。支持低库存设置、预警。支持药物出库、隔离和低库存预警等记录查询，支持按药房对各项目的药物进行库存盘点。支持日报、月报、季报和年报的统计查询</w:t>
      </w:r>
    </w:p>
    <w:p w14:paraId="158A933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4.系统接口对接</w:t>
      </w:r>
    </w:p>
    <w:p w14:paraId="7C38C31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4.1 HIS对接</w:t>
      </w:r>
    </w:p>
    <w:p w14:paraId="000B27C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4.1.1入组患者筛选：通过大数据和AI智能筛选出针对不同临床试验适合入组的患者</w:t>
      </w:r>
    </w:p>
    <w:p w14:paraId="23B330F0">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4.1.2患者就诊记录：调用患者线下历史诊疗记录数据(脱敏数据)</w:t>
      </w:r>
    </w:p>
    <w:p w14:paraId="57DB32B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4.1.3患者历史检查数据：患者历史线下检查数据结果</w:t>
      </w:r>
    </w:p>
    <w:p w14:paraId="29339DFA">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4.1.4患者历史检验数据：患者历史线下检验数据结果</w:t>
      </w:r>
    </w:p>
    <w:p w14:paraId="70362F5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4.2互联网医院对接</w:t>
      </w:r>
    </w:p>
    <w:p w14:paraId="3C07187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4.2.1患者就诊记录：历史就诊记录查看</w:t>
      </w:r>
    </w:p>
    <w:p w14:paraId="20DA65D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4.2.2患者绿通预约号源：绿通预约号源</w:t>
      </w:r>
    </w:p>
    <w:p w14:paraId="7009020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4.2.3患者远程就诊对接：支持对接通过系统完成远程就诊功能</w:t>
      </w:r>
    </w:p>
    <w:p w14:paraId="30605CA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4.2.4心理评功能对接：支持对接完成心理评估功能</w:t>
      </w:r>
    </w:p>
    <w:p w14:paraId="3A601DF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4.2.5心理诊室量表结果解读预约：心理诊室量表结果预约号源可以进行线上解读</w:t>
      </w:r>
    </w:p>
    <w:p w14:paraId="2684C1A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4.3 LIS对接</w:t>
      </w:r>
    </w:p>
    <w:p w14:paraId="52D4DA8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4.3.1获取项目列表：获取支持患者开具的项目</w:t>
      </w:r>
    </w:p>
    <w:p w14:paraId="667D1BC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4.3.2预约时间：自动预约患者检查时间</w:t>
      </w:r>
    </w:p>
    <w:p w14:paraId="2862659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4.3.3查询结果：自动拉取患者检查结果</w:t>
      </w:r>
    </w:p>
    <w:p w14:paraId="176AD75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4.4量表系统对接</w:t>
      </w:r>
    </w:p>
    <w:p w14:paraId="08EE6C6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4.4.1量表列表：拉取系统支持的量表在研究端展示供挑选使用</w:t>
      </w:r>
    </w:p>
    <w:p w14:paraId="0D3E6FBC">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4.4.2量表答题页面：对接量表答题流程和步骤</w:t>
      </w:r>
    </w:p>
    <w:p w14:paraId="0205ACDD">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4.4.3量表结果展示：可以对接展示量表结果</w:t>
      </w:r>
    </w:p>
    <w:p w14:paraId="3D8DF14E">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4.5 CA签章</w:t>
      </w:r>
    </w:p>
    <w:p w14:paraId="618620B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4.5.1 CA申请：根据资料申请CA签章</w:t>
      </w:r>
    </w:p>
    <w:p w14:paraId="222A252E">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4.5.2 CA签字：给提交的数据进行CA签章</w:t>
      </w:r>
    </w:p>
    <w:p w14:paraId="5D5B2962">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4.5.3证书管理：CA签章的证书管理</w:t>
      </w:r>
    </w:p>
    <w:p w14:paraId="69FD3D37">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4.6 GCP对接</w:t>
      </w:r>
    </w:p>
    <w:p w14:paraId="3AB619AF">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4.6.1项目同步：项目基础数据同步</w:t>
      </w:r>
    </w:p>
    <w:p w14:paraId="7EF93154">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4.6.2入组人员同步：项目入组人员同步</w:t>
      </w:r>
    </w:p>
    <w:p w14:paraId="6143EB3B">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4.6.3实验数据同步：实验过程数据和结果数据同步</w:t>
      </w:r>
    </w:p>
    <w:p w14:paraId="45E5A9D9">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5.其它说明</w:t>
      </w:r>
    </w:p>
    <w:p w14:paraId="0FFA8F65">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5.1项目实施过程中由于要和第三系统对接，第三方系统需要收取的接口开发费均由中标人承担(投标人需在投标前自行沟通确定此部分费用)，此部分费用已经包含在招标总价中，采购人不再为系统接口对接支付任何费用。</w:t>
      </w:r>
      <w:r>
        <w:rPr>
          <w:rFonts w:hint="eastAsia" w:ascii="宋体" w:hAnsi="宋体" w:cs="宋体"/>
          <w:b/>
          <w:bCs/>
          <w:kern w:val="0"/>
          <w:sz w:val="24"/>
          <w:lang w:val="en-US" w:eastAsia="zh-CN"/>
        </w:rPr>
        <w:t>(提供承诺书并加投标人单位盖公章)</w:t>
      </w:r>
    </w:p>
    <w:p w14:paraId="25B55846">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5.2系统免费维保期限≥3年，系统维保期间，必须至少安排三名驻场工程师5*8小时工时(一名高级或以上职称工程师，两名中级或以上职称工程师)保障系统运行，驻场工程师的驻场办公场地由采购方安排，驻场工程师必须按照采购方对信息技术人员的相关要求统一执行(比如上下班时间，着装要求，保密制度等)。</w:t>
      </w:r>
      <w:r>
        <w:rPr>
          <w:rFonts w:hint="eastAsia" w:ascii="宋体" w:hAnsi="宋体" w:cs="宋体"/>
          <w:b/>
          <w:bCs/>
          <w:kern w:val="0"/>
          <w:sz w:val="24"/>
          <w:lang w:val="en-US" w:eastAsia="zh-CN"/>
        </w:rPr>
        <w:t>(提供承诺书并加投标人单位盖公章)</w:t>
      </w:r>
    </w:p>
    <w:p w14:paraId="5575A858">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▲5.3定制化开发支持，根据产品使用过程中的反馈，进行定制化开发需求，</w:t>
      </w:r>
      <w:bookmarkStart w:id="0" w:name="_GoBack"/>
      <w:bookmarkEnd w:id="0"/>
      <w:r>
        <w:rPr>
          <w:rFonts w:hint="eastAsia" w:ascii="宋体" w:hAnsi="宋体" w:cs="宋体"/>
          <w:kern w:val="0"/>
          <w:sz w:val="24"/>
          <w:lang w:val="en-US" w:eastAsia="zh-CN"/>
        </w:rPr>
        <w:t>供应商应当免费为采购人提供定制化开发。(提供承诺书并加投标人单位盖公章)</w:t>
      </w:r>
      <w:r>
        <w:rPr>
          <w:rFonts w:hint="eastAsia" w:ascii="宋体" w:hAnsi="宋体" w:cs="宋体"/>
          <w:kern w:val="0"/>
          <w:sz w:val="24"/>
          <w:lang w:val="en-US" w:eastAsia="zh-CN"/>
        </w:rPr>
        <w:t xml:space="preserve">  </w:t>
      </w:r>
    </w:p>
    <w:p w14:paraId="08F81843">
      <w:pPr>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5.4知识产权归属与交付：远程临床试验系统及其开发过程中产生的全部源代码、文档、数据库结构、接口规范、构建脚本、运行镜像、配置说明、密钥管理方案及其他一切相关衍生成果的知识产权归采购人所有；或采购人应享有对上述成果的永久、不可撤销、可再许可的独占使用权（以采购人与中标人最终签署的合同为准）。供应商应在系统验收合格后10个工作日内无偿向采购人交付完整、可编译、可构建的源代码及其依赖说明、完整开发。与部署文档、测试用例与测试报告、数据库导出脚本、运行镜像与构建环境说明，并配合办理必要的权利移转或许可手续，签署并出具权利移转/许可的书面证明材料。供应商不得就该软件及衍生成果向第三方主张任何权利或设置任何限制，且不得在未取得采购人书面同意的情况下保留阻碍采购人使用、维护或再开发所需的任何信息或工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5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styleId="5">
    <w:name w:val="Body Text 2"/>
    <w:basedOn w:val="1"/>
    <w:semiHidden/>
    <w:unhideWhenUsed/>
    <w:qFormat/>
    <w:uiPriority w:val="99"/>
    <w:pPr>
      <w:spacing w:after="120" w:line="480" w:lineRule="auto"/>
    </w:pPr>
  </w:style>
  <w:style w:type="paragraph" w:customStyle="1" w:styleId="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2025-10-20T05:03:57Z</dcterms:created>
  <dc:creator>June</dc:creator>
  <cp:lastModifiedBy>周连妹</cp:lastModifiedBy>
  <dcterms:modified xsi:type="dcterms:W3CDTF">2025-10-20T05:04:29Z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FD49F7F230924CEC9B70D9F5319D4029_12</vt:lpwstr>
  </property>
</Properties>
</file>