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2ED6">
      <w:pPr>
        <w:pStyle w:val="3"/>
        <w:tabs>
          <w:tab w:val="left" w:pos="1630"/>
        </w:tabs>
        <w:spacing w:line="460" w:lineRule="exact"/>
        <w:ind w:left="8"/>
        <w:jc w:val="center"/>
        <w:rPr>
          <w:color w:val="auto"/>
          <w:spacing w:val="0"/>
          <w:highlight w:val="none"/>
        </w:rPr>
      </w:pPr>
      <w:r>
        <w:rPr>
          <w:b/>
          <w:bCs/>
          <w:color w:val="auto"/>
          <w:spacing w:val="0"/>
          <w:highlight w:val="none"/>
        </w:rPr>
        <w:t>采购需求</w:t>
      </w:r>
    </w:p>
    <w:p w14:paraId="619BBEDB">
      <w:pPr>
        <w:pStyle w:val="2"/>
        <w:spacing w:before="11"/>
        <w:rPr>
          <w:color w:val="auto"/>
          <w:spacing w:val="0"/>
          <w:sz w:val="33"/>
          <w:highlight w:val="none"/>
        </w:rPr>
      </w:pPr>
    </w:p>
    <w:p w14:paraId="17F1DF93">
      <w:pPr>
        <w:pStyle w:val="2"/>
        <w:spacing w:before="1"/>
        <w:ind w:left="121"/>
        <w:rPr>
          <w:b/>
          <w:bCs/>
          <w:color w:val="auto"/>
          <w:spacing w:val="0"/>
          <w:highlight w:val="none"/>
        </w:rPr>
      </w:pPr>
      <w:r>
        <w:rPr>
          <w:b/>
          <w:bCs/>
          <w:color w:val="auto"/>
          <w:spacing w:val="0"/>
          <w:highlight w:val="none"/>
        </w:rPr>
        <w:t>一、采购标的</w:t>
      </w:r>
    </w:p>
    <w:p w14:paraId="5AA95775">
      <w:pPr>
        <w:pStyle w:val="8"/>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采购标的（货物需求一览表或简要服务内容及数量） </w:t>
      </w:r>
    </w:p>
    <w:tbl>
      <w:tblPr>
        <w:tblStyle w:val="6"/>
        <w:tblW w:w="71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73"/>
        <w:gridCol w:w="1928"/>
        <w:gridCol w:w="2160"/>
      </w:tblGrid>
      <w:tr w14:paraId="22B1E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72760196">
            <w:pPr>
              <w:jc w:val="center"/>
              <w:rPr>
                <w:b/>
                <w:bCs/>
                <w:color w:val="auto"/>
                <w:spacing w:val="0"/>
                <w:sz w:val="24"/>
                <w:szCs w:val="24"/>
                <w:highlight w:val="none"/>
              </w:rPr>
            </w:pPr>
            <w:r>
              <w:rPr>
                <w:rFonts w:hint="eastAsia"/>
                <w:b/>
                <w:bCs/>
                <w:color w:val="auto"/>
                <w:spacing w:val="0"/>
                <w:sz w:val="24"/>
                <w:szCs w:val="24"/>
                <w:highlight w:val="none"/>
              </w:rPr>
              <w:t>包号</w:t>
            </w:r>
          </w:p>
        </w:tc>
        <w:tc>
          <w:tcPr>
            <w:tcW w:w="2273" w:type="dxa"/>
            <w:tcBorders>
              <w:top w:val="single" w:color="auto" w:sz="4" w:space="0"/>
              <w:left w:val="single" w:color="auto" w:sz="4" w:space="0"/>
              <w:bottom w:val="single" w:color="auto" w:sz="4" w:space="0"/>
              <w:right w:val="single" w:color="auto" w:sz="4" w:space="0"/>
            </w:tcBorders>
            <w:vAlign w:val="center"/>
          </w:tcPr>
          <w:p w14:paraId="56451CD8">
            <w:pPr>
              <w:widowControl/>
              <w:jc w:val="center"/>
              <w:rPr>
                <w:b/>
                <w:bCs/>
                <w:color w:val="auto"/>
                <w:spacing w:val="0"/>
                <w:sz w:val="24"/>
                <w:szCs w:val="24"/>
                <w:highlight w:val="none"/>
              </w:rPr>
            </w:pPr>
            <w:r>
              <w:rPr>
                <w:rFonts w:hint="eastAsia"/>
                <w:b/>
                <w:bCs/>
                <w:color w:val="auto"/>
                <w:spacing w:val="0"/>
                <w:sz w:val="24"/>
                <w:szCs w:val="24"/>
                <w:highlight w:val="none"/>
              </w:rPr>
              <w:t>采购内容</w:t>
            </w:r>
          </w:p>
        </w:tc>
        <w:tc>
          <w:tcPr>
            <w:tcW w:w="1928" w:type="dxa"/>
            <w:tcBorders>
              <w:top w:val="single" w:color="auto" w:sz="4" w:space="0"/>
              <w:left w:val="single" w:color="auto" w:sz="4" w:space="0"/>
              <w:bottom w:val="single" w:color="auto" w:sz="4" w:space="0"/>
              <w:right w:val="single" w:color="auto" w:sz="4" w:space="0"/>
            </w:tcBorders>
            <w:vAlign w:val="center"/>
          </w:tcPr>
          <w:p w14:paraId="19E1DB14">
            <w:pPr>
              <w:widowControl/>
              <w:jc w:val="center"/>
              <w:rPr>
                <w:b/>
                <w:bCs/>
                <w:color w:val="auto"/>
                <w:spacing w:val="0"/>
                <w:sz w:val="24"/>
                <w:szCs w:val="24"/>
                <w:highlight w:val="none"/>
              </w:rPr>
            </w:pPr>
            <w:r>
              <w:rPr>
                <w:rFonts w:hint="eastAsia"/>
                <w:b/>
                <w:bCs/>
                <w:color w:val="auto"/>
                <w:spacing w:val="0"/>
                <w:sz w:val="24"/>
                <w:szCs w:val="24"/>
                <w:highlight w:val="none"/>
              </w:rPr>
              <w:t>数量</w:t>
            </w:r>
          </w:p>
        </w:tc>
        <w:tc>
          <w:tcPr>
            <w:tcW w:w="2160" w:type="dxa"/>
            <w:tcBorders>
              <w:top w:val="single" w:color="auto" w:sz="4" w:space="0"/>
              <w:left w:val="single" w:color="auto" w:sz="4" w:space="0"/>
              <w:bottom w:val="single" w:color="auto" w:sz="4" w:space="0"/>
              <w:right w:val="single" w:color="auto" w:sz="4" w:space="0"/>
            </w:tcBorders>
            <w:vAlign w:val="center"/>
          </w:tcPr>
          <w:p w14:paraId="553BAA1D">
            <w:pPr>
              <w:widowControl/>
              <w:jc w:val="center"/>
              <w:rPr>
                <w:rFonts w:hint="eastAsia" w:eastAsia="宋体"/>
                <w:b/>
                <w:bCs/>
                <w:color w:val="auto"/>
                <w:spacing w:val="0"/>
                <w:sz w:val="24"/>
                <w:szCs w:val="24"/>
                <w:highlight w:val="none"/>
                <w:lang w:val="en-US" w:eastAsia="zh-CN"/>
              </w:rPr>
            </w:pPr>
            <w:r>
              <w:rPr>
                <w:rFonts w:hint="eastAsia"/>
                <w:b/>
                <w:bCs/>
                <w:color w:val="auto"/>
                <w:spacing w:val="0"/>
                <w:sz w:val="24"/>
                <w:szCs w:val="24"/>
                <w:highlight w:val="none"/>
                <w:lang w:val="en-US" w:eastAsia="zh-CN"/>
              </w:rPr>
              <w:t>服务期限</w:t>
            </w:r>
          </w:p>
        </w:tc>
      </w:tr>
      <w:tr w14:paraId="1A0B13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ADFF71F">
            <w:pP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2273" w:type="dxa"/>
            <w:tcBorders>
              <w:top w:val="single" w:color="auto" w:sz="4" w:space="0"/>
              <w:left w:val="single" w:color="auto" w:sz="4" w:space="0"/>
              <w:bottom w:val="single" w:color="auto" w:sz="4" w:space="0"/>
              <w:right w:val="single" w:color="auto" w:sz="4" w:space="0"/>
            </w:tcBorders>
            <w:vAlign w:val="center"/>
          </w:tcPr>
          <w:p w14:paraId="314E7E14">
            <w:pPr>
              <w:widowControl/>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锅炉托管服务</w:t>
            </w:r>
          </w:p>
        </w:tc>
        <w:tc>
          <w:tcPr>
            <w:tcW w:w="1928" w:type="dxa"/>
            <w:tcBorders>
              <w:top w:val="single" w:color="auto" w:sz="4" w:space="0"/>
              <w:left w:val="single" w:color="auto" w:sz="4" w:space="0"/>
              <w:bottom w:val="single" w:color="auto" w:sz="4" w:space="0"/>
              <w:right w:val="single" w:color="auto" w:sz="4" w:space="0"/>
            </w:tcBorders>
            <w:vAlign w:val="center"/>
          </w:tcPr>
          <w:p w14:paraId="73FE803A">
            <w:pPr>
              <w:pStyle w:val="4"/>
              <w:jc w:val="center"/>
              <w:rPr>
                <w:color w:val="auto"/>
                <w:spacing w:val="0"/>
                <w:sz w:val="24"/>
                <w:szCs w:val="24"/>
                <w:highlight w:val="none"/>
                <w:lang w:eastAsia="zh-CN"/>
              </w:rPr>
            </w:pPr>
            <w:r>
              <w:rPr>
                <w:rFonts w:hint="eastAsia"/>
                <w:color w:val="auto"/>
                <w:spacing w:val="0"/>
                <w:sz w:val="24"/>
                <w:szCs w:val="24"/>
                <w:highlight w:val="none"/>
                <w:lang w:eastAsia="zh-CN"/>
              </w:rPr>
              <w:t>一项</w:t>
            </w:r>
          </w:p>
        </w:tc>
        <w:tc>
          <w:tcPr>
            <w:tcW w:w="2160" w:type="dxa"/>
            <w:tcBorders>
              <w:top w:val="single" w:color="auto" w:sz="4" w:space="0"/>
              <w:left w:val="single" w:color="auto" w:sz="4" w:space="0"/>
              <w:bottom w:val="single" w:color="auto" w:sz="4" w:space="0"/>
              <w:right w:val="single" w:color="auto" w:sz="4" w:space="0"/>
            </w:tcBorders>
            <w:vAlign w:val="center"/>
          </w:tcPr>
          <w:p w14:paraId="4394BC33">
            <w:pPr>
              <w:pStyle w:val="4"/>
              <w:jc w:val="center"/>
              <w:rPr>
                <w:rFonts w:hint="default"/>
                <w:color w:val="auto"/>
                <w:spacing w:val="0"/>
                <w:sz w:val="24"/>
                <w:szCs w:val="24"/>
                <w:highlight w:val="none"/>
                <w:lang w:val="en-US" w:eastAsia="zh-CN"/>
              </w:rPr>
            </w:pPr>
            <w:r>
              <w:rPr>
                <w:rFonts w:hint="eastAsia"/>
                <w:color w:val="auto"/>
                <w:spacing w:val="0"/>
                <w:sz w:val="24"/>
                <w:szCs w:val="24"/>
                <w:highlight w:val="none"/>
                <w:lang w:val="en-US" w:eastAsia="zh-CN"/>
              </w:rPr>
              <w:t>三年</w:t>
            </w:r>
          </w:p>
        </w:tc>
      </w:tr>
    </w:tbl>
    <w:p w14:paraId="2E8CF5C7">
      <w:pPr>
        <w:pStyle w:val="8"/>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09F8464C">
      <w:pPr>
        <w:pStyle w:val="8"/>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0FC993B5">
      <w:pPr>
        <w:pStyle w:val="5"/>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23382"/>
      <w:bookmarkStart w:id="1" w:name="_Toc14802"/>
      <w:bookmarkStart w:id="2" w:name="_Toc24278"/>
      <w:r>
        <w:rPr>
          <w:rFonts w:hint="eastAsia"/>
          <w:b w:val="0"/>
          <w:color w:val="auto"/>
          <w:spacing w:val="0"/>
          <w:sz w:val="24"/>
          <w:szCs w:val="24"/>
          <w:highlight w:val="none"/>
          <w:lang w:eastAsia="zh-CN"/>
        </w:rPr>
        <w:t>1.1采购项目（标的）实施的时间：</w:t>
      </w:r>
      <w:bookmarkEnd w:id="0"/>
      <w:bookmarkEnd w:id="1"/>
      <w:bookmarkEnd w:id="2"/>
      <w:r>
        <w:rPr>
          <w:rFonts w:hint="eastAsia"/>
          <w:b w:val="0"/>
          <w:color w:val="auto"/>
          <w:spacing w:val="0"/>
          <w:sz w:val="24"/>
          <w:szCs w:val="24"/>
          <w:highlight w:val="none"/>
          <w:lang w:eastAsia="zh-CN"/>
        </w:rPr>
        <w:t>服务期3年，合同一年一签。</w:t>
      </w:r>
    </w:p>
    <w:p w14:paraId="27D48CC9">
      <w:pPr>
        <w:pStyle w:val="5"/>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8853"/>
      <w:bookmarkStart w:id="4" w:name="_Toc19535"/>
      <w:bookmarkStart w:id="5" w:name="_Toc30936"/>
      <w:r>
        <w:rPr>
          <w:rFonts w:hint="eastAsia"/>
          <w:b w:val="0"/>
          <w:color w:val="auto"/>
          <w:spacing w:val="0"/>
          <w:sz w:val="24"/>
          <w:szCs w:val="24"/>
          <w:highlight w:val="none"/>
          <w:lang w:eastAsia="zh-CN"/>
        </w:rPr>
        <w:t>1.2采购项目（标的）实施的地点：北京小汤山医院指定地点</w:t>
      </w:r>
      <w:bookmarkEnd w:id="3"/>
      <w:bookmarkEnd w:id="4"/>
      <w:bookmarkEnd w:id="5"/>
    </w:p>
    <w:p w14:paraId="033835BE">
      <w:pPr>
        <w:pStyle w:val="8"/>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color w:val="auto"/>
          <w:spacing w:val="0"/>
          <w:sz w:val="24"/>
          <w:szCs w:val="24"/>
          <w:highlight w:val="none"/>
          <w:lang w:val="en-US" w:eastAsia="zh-CN"/>
        </w:rPr>
        <w:t>详见“采购合同”</w:t>
      </w:r>
    </w:p>
    <w:p w14:paraId="1AEAE793">
      <w:pPr>
        <w:pStyle w:val="8"/>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354BDD4B">
      <w:pPr>
        <w:pStyle w:val="8"/>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427D384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02B61879">
      <w:pP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本次招标采购是为北京小汤山医院提供锅炉托管服务，供应商应根据招标文件所提出的技术规格和服务要求以先进的技术、优良的服务和优惠的价格，充分显示自己的竞争实力。</w:t>
      </w:r>
    </w:p>
    <w:p w14:paraId="0F0EC791">
      <w:pP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420CE2D7">
      <w:pPr>
        <w:spacing w:line="360" w:lineRule="auto"/>
        <w:ind w:firstLine="480" w:firstLineChars="200"/>
        <w:contextualSpacing/>
        <w:rPr>
          <w:rFonts w:hint="eastAsia"/>
          <w:color w:val="auto"/>
          <w:spacing w:val="0"/>
          <w:sz w:val="24"/>
          <w:szCs w:val="24"/>
          <w:highlight w:val="none"/>
          <w:lang w:eastAsia="zh-CN"/>
        </w:rPr>
      </w:pPr>
      <w:r>
        <w:rPr>
          <w:rFonts w:hint="eastAsia"/>
          <w:spacing w:val="0"/>
          <w:sz w:val="24"/>
          <w:lang w:eastAsia="zh-CN"/>
        </w:rPr>
        <w:t>供应商应保证所提供的服务符合国家相关法律法规的要求。</w:t>
      </w:r>
    </w:p>
    <w:p w14:paraId="2330E56C">
      <w:pP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33C2A04E">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2833C04B">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07ED6DC5">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6881C8EE">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5F0A3D2B">
      <w:pP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479FC47C">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w:t>
      </w:r>
      <w:r>
        <w:rPr>
          <w:rFonts w:hint="eastAsia"/>
          <w:color w:val="auto"/>
          <w:spacing w:val="0"/>
          <w:sz w:val="24"/>
          <w:highlight w:val="none"/>
          <w:lang w:val="en-US" w:eastAsia="zh-CN"/>
        </w:rPr>
        <w:t>的</w:t>
      </w:r>
      <w:r>
        <w:rPr>
          <w:color w:val="auto"/>
          <w:spacing w:val="0"/>
          <w:sz w:val="24"/>
          <w:highlight w:val="none"/>
          <w:lang w:eastAsia="zh-CN"/>
        </w:rPr>
        <w:t>要求；</w:t>
      </w:r>
    </w:p>
    <w:p w14:paraId="17946030">
      <w:pPr>
        <w:widowControl/>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9EF2B4A">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3972165A">
      <w:pPr>
        <w:keepNext w:val="0"/>
        <w:keepLines w:val="0"/>
        <w:pageBreakBefore w:val="0"/>
        <w:widowControl/>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BF7FFF9">
      <w:pPr>
        <w:keepNext w:val="0"/>
        <w:keepLines w:val="0"/>
        <w:pageBreakBefore w:val="0"/>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1E62ACA8">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54E7EAF1">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4C5C32A9">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40336C4">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514ABAB2">
      <w:pPr>
        <w:keepNext w:val="0"/>
        <w:keepLines w:val="0"/>
        <w:pageBreakBefore w:val="0"/>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yellow"/>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1E75A7FB">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rPr>
        <w:t>项目背景</w:t>
      </w:r>
      <w:bookmarkStart w:id="6" w:name="OLE_LINK3"/>
    </w:p>
    <w:p w14:paraId="19CD3E9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1、医院锅炉现状</w:t>
      </w:r>
    </w:p>
    <w:p w14:paraId="7D58248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eastAsia="zh-CN"/>
        </w:rPr>
        <w:t>锅炉房内共</w:t>
      </w:r>
      <w:r>
        <w:rPr>
          <w:rStyle w:val="9"/>
          <w:rFonts w:hint="eastAsia" w:ascii="宋体" w:hAnsi="宋体" w:eastAsia="宋体" w:cs="宋体"/>
          <w:color w:val="auto"/>
          <w:sz w:val="24"/>
          <w:szCs w:val="24"/>
          <w:lang w:val="en-US" w:eastAsia="zh-CN"/>
        </w:rPr>
        <w:t>5台锅炉，</w:t>
      </w:r>
      <w:r>
        <w:rPr>
          <w:rStyle w:val="9"/>
          <w:rFonts w:hint="eastAsia" w:ascii="宋体" w:hAnsi="宋体" w:eastAsia="宋体" w:cs="宋体"/>
          <w:color w:val="auto"/>
          <w:sz w:val="24"/>
          <w:szCs w:val="24"/>
          <w:lang w:eastAsia="zh-CN"/>
        </w:rPr>
        <w:t>包含10吨热水锅炉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2吨蒸气锅炉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，4吨蒸汽锅炉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，6吨热水锅炉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，8吨热水锅炉</w:t>
      </w:r>
      <w:r>
        <w:rPr>
          <w:rStyle w:val="9"/>
          <w:rFonts w:hint="eastAsia" w:ascii="宋体" w:hAnsi="宋体" w:eastAsia="宋体" w:cs="宋体"/>
          <w:color w:val="auto"/>
          <w:sz w:val="24"/>
          <w:szCs w:val="24"/>
          <w:lang w:val="en-US" w:eastAsia="zh-CN"/>
        </w:rPr>
        <w:t>1台。</w:t>
      </w:r>
    </w:p>
    <w:p w14:paraId="6BAAAFC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另洗衣房内有3台蒸汽发生器（功率、燃料类型）。</w:t>
      </w:r>
    </w:p>
    <w:p w14:paraId="1E203078">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冬季供暖以及日常热水供应</w:t>
      </w:r>
      <w:r>
        <w:rPr>
          <w:rStyle w:val="9"/>
          <w:rFonts w:hint="eastAsia" w:ascii="宋体" w:hAnsi="宋体" w:eastAsia="宋体" w:cs="宋体"/>
          <w:color w:val="auto"/>
          <w:sz w:val="24"/>
          <w:szCs w:val="24"/>
          <w:lang w:eastAsia="zh-CN"/>
        </w:rPr>
        <w:t>范围为全院区，包含东院区和</w:t>
      </w:r>
      <w:r>
        <w:rPr>
          <w:rStyle w:val="9"/>
          <w:rFonts w:hint="eastAsia" w:ascii="宋体" w:hAnsi="宋体" w:eastAsia="宋体" w:cs="宋体"/>
          <w:color w:val="auto"/>
          <w:sz w:val="24"/>
          <w:szCs w:val="24"/>
          <w:lang w:val="en-US" w:eastAsia="zh-CN"/>
        </w:rPr>
        <w:t>西院区</w:t>
      </w:r>
      <w:r>
        <w:rPr>
          <w:rStyle w:val="9"/>
          <w:rFonts w:hint="eastAsia" w:ascii="宋体" w:hAnsi="宋体" w:eastAsia="宋体" w:cs="宋体"/>
          <w:color w:val="auto"/>
          <w:sz w:val="24"/>
          <w:szCs w:val="24"/>
        </w:rPr>
        <w:t>。</w:t>
      </w:r>
      <w:r>
        <w:rPr>
          <w:rStyle w:val="9"/>
          <w:rFonts w:hint="eastAsia" w:ascii="宋体" w:hAnsi="宋体" w:eastAsia="宋体" w:cs="宋体"/>
          <w:color w:val="auto"/>
          <w:sz w:val="24"/>
          <w:szCs w:val="24"/>
          <w:lang w:eastAsia="zh-CN"/>
        </w:rPr>
        <w:t>其中</w:t>
      </w:r>
      <w:r>
        <w:rPr>
          <w:rStyle w:val="9"/>
          <w:rFonts w:hint="eastAsia" w:ascii="宋体" w:hAnsi="宋体" w:eastAsia="宋体" w:cs="宋体"/>
          <w:color w:val="auto"/>
          <w:sz w:val="24"/>
          <w:szCs w:val="24"/>
        </w:rPr>
        <w:t>东院区建筑面积为60668.98平方米。西院区建筑面积为4581.62平方米。</w:t>
      </w:r>
    </w:p>
    <w:bookmarkEnd w:id="6"/>
    <w:p w14:paraId="01A843AC">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服务内容</w:t>
      </w:r>
    </w:p>
    <w:p w14:paraId="2CD00DE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1.锅炉运行管理锅炉本体及附属设备（水处理系统、分汽缸、</w:t>
      </w:r>
      <w:r>
        <w:rPr>
          <w:rStyle w:val="9"/>
          <w:rFonts w:hint="eastAsia" w:ascii="宋体" w:hAnsi="宋体" w:eastAsia="宋体" w:cs="宋体"/>
          <w:color w:val="auto"/>
          <w:sz w:val="24"/>
          <w:szCs w:val="24"/>
          <w:lang w:val="en-US" w:eastAsia="zh-CN"/>
        </w:rPr>
        <w:t>分水器、</w:t>
      </w:r>
      <w:r>
        <w:rPr>
          <w:rStyle w:val="9"/>
          <w:rFonts w:hint="eastAsia" w:ascii="宋体" w:hAnsi="宋体" w:eastAsia="宋体" w:cs="宋体"/>
          <w:color w:val="auto"/>
          <w:sz w:val="24"/>
          <w:szCs w:val="24"/>
        </w:rPr>
        <w:t>泵</w:t>
      </w:r>
      <w:r>
        <w:rPr>
          <w:rStyle w:val="9"/>
          <w:rFonts w:hint="eastAsia" w:ascii="宋体" w:hAnsi="宋体" w:eastAsia="宋体" w:cs="宋体"/>
          <w:color w:val="auto"/>
          <w:sz w:val="24"/>
          <w:szCs w:val="24"/>
          <w:lang w:val="en-US" w:eastAsia="zh-CN"/>
        </w:rPr>
        <w:t>房</w:t>
      </w:r>
      <w:r>
        <w:rPr>
          <w:rStyle w:val="9"/>
          <w:rFonts w:hint="eastAsia" w:ascii="宋体" w:hAnsi="宋体" w:eastAsia="宋体" w:cs="宋体"/>
          <w:color w:val="auto"/>
          <w:sz w:val="24"/>
          <w:szCs w:val="24"/>
        </w:rPr>
        <w:t>阀</w:t>
      </w:r>
      <w:r>
        <w:rPr>
          <w:rStyle w:val="9"/>
          <w:rFonts w:hint="eastAsia" w:ascii="宋体" w:hAnsi="宋体" w:eastAsia="宋体" w:cs="宋体"/>
          <w:color w:val="auto"/>
          <w:sz w:val="24"/>
          <w:szCs w:val="24"/>
          <w:lang w:val="en-US" w:eastAsia="zh-CN"/>
        </w:rPr>
        <w:t>门</w:t>
      </w:r>
      <w:r>
        <w:rPr>
          <w:rStyle w:val="9"/>
          <w:rFonts w:hint="eastAsia" w:ascii="宋体" w:hAnsi="宋体" w:eastAsia="宋体" w:cs="宋体"/>
          <w:color w:val="auto"/>
          <w:sz w:val="24"/>
          <w:szCs w:val="24"/>
        </w:rPr>
        <w:t>等）的日常运行维护。</w:t>
      </w:r>
    </w:p>
    <w:p w14:paraId="589328F6">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rPr>
        <w:t>负责锅炉的日常运行操作，根据医院的热能需求合理调整锅炉的运行参数，确保锅炉安全、稳定、高效运行。建立完善的运行记录制度，对锅炉的运行参数、燃料消耗等情况进行详细记录。定期检修、应急抢修、年度安全检测</w:t>
      </w:r>
      <w:r>
        <w:rPr>
          <w:rStyle w:val="9"/>
          <w:rFonts w:hint="eastAsia" w:ascii="宋体" w:hAnsi="宋体" w:eastAsia="宋体" w:cs="宋体"/>
          <w:color w:val="auto"/>
          <w:sz w:val="24"/>
          <w:szCs w:val="24"/>
          <w:lang w:eastAsia="zh-CN"/>
        </w:rPr>
        <w:t>。</w:t>
      </w:r>
    </w:p>
    <w:p w14:paraId="7F8A36B7">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2.维</w:t>
      </w:r>
      <w:r>
        <w:rPr>
          <w:rStyle w:val="9"/>
          <w:rFonts w:hint="eastAsia" w:ascii="宋体" w:hAnsi="宋体" w:eastAsia="宋体" w:cs="宋体"/>
          <w:color w:val="auto"/>
          <w:sz w:val="24"/>
          <w:szCs w:val="24"/>
          <w:lang w:eastAsia="zh-CN"/>
        </w:rPr>
        <w:t>修</w:t>
      </w:r>
      <w:r>
        <w:rPr>
          <w:rStyle w:val="9"/>
          <w:rFonts w:hint="eastAsia" w:ascii="宋体" w:hAnsi="宋体" w:eastAsia="宋体" w:cs="宋体"/>
          <w:color w:val="auto"/>
          <w:sz w:val="24"/>
          <w:szCs w:val="24"/>
        </w:rPr>
        <w:t>保养服务</w:t>
      </w:r>
    </w:p>
    <w:p w14:paraId="09340CB1">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定期对锅炉</w:t>
      </w:r>
      <w:r>
        <w:rPr>
          <w:rStyle w:val="9"/>
          <w:rFonts w:hint="eastAsia" w:ascii="宋体" w:hAnsi="宋体" w:eastAsia="宋体" w:cs="宋体"/>
          <w:color w:val="auto"/>
          <w:sz w:val="24"/>
          <w:szCs w:val="24"/>
          <w:lang w:eastAsia="zh-CN"/>
        </w:rPr>
        <w:t>及全院区（东院区、西院区）主管网</w:t>
      </w:r>
      <w:r>
        <w:rPr>
          <w:rStyle w:val="9"/>
          <w:rFonts w:hint="eastAsia" w:ascii="宋体" w:hAnsi="宋体" w:eastAsia="宋体" w:cs="宋体"/>
          <w:color w:val="auto"/>
          <w:sz w:val="24"/>
          <w:szCs w:val="24"/>
        </w:rPr>
        <w:t>进行全面检查和维</w:t>
      </w:r>
      <w:r>
        <w:rPr>
          <w:rStyle w:val="9"/>
          <w:rFonts w:hint="eastAsia" w:ascii="宋体" w:hAnsi="宋体" w:eastAsia="宋体" w:cs="宋体"/>
          <w:color w:val="auto"/>
          <w:sz w:val="24"/>
          <w:szCs w:val="24"/>
          <w:lang w:eastAsia="zh-CN"/>
        </w:rPr>
        <w:t>修</w:t>
      </w:r>
      <w:r>
        <w:rPr>
          <w:rStyle w:val="9"/>
          <w:rFonts w:hint="eastAsia" w:ascii="宋体" w:hAnsi="宋体" w:eastAsia="宋体" w:cs="宋体"/>
          <w:color w:val="auto"/>
          <w:sz w:val="24"/>
          <w:szCs w:val="24"/>
        </w:rPr>
        <w:t xml:space="preserve">保养，包括锅炉本体、附属设备、安全附件等的检查、清洗、润滑、调试等工作。按照国家相关标准和企业规定，及时更换易损件和老化部件，确保锅炉设备的完好率。 </w:t>
      </w:r>
    </w:p>
    <w:p w14:paraId="474913C6">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-2945765</wp:posOffset>
                </wp:positionH>
                <wp:positionV relativeFrom="paragraph">
                  <wp:posOffset>501015</wp:posOffset>
                </wp:positionV>
                <wp:extent cx="6350" cy="6350"/>
                <wp:effectExtent l="9525" t="9525" r="22225" b="12700"/>
                <wp:wrapNone/>
                <wp:docPr id="3" name="墨迹 3"/>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3" name="墨迹 3"/>
                            <w14:cNvContentPartPr>
                              <a14:cpLocks xmlns:a14="http://schemas.microsoft.com/office/drawing/2010/main" noGrp="1" noChangeAspect="1"/>
                            </w14:cNvContentPartPr>
                          </w14:nvContentPartPr>
                          <w14:xfrm>
                            <a:off x="-1937385" y="3418205"/>
                            <a:ext cx="6350" cy="6350"/>
                          </w14:xfrm>
                        </w14:contentPart>
                      </mc:Choice>
                    </mc:AlternateContent>
                  </a:graphicData>
                </a:graphic>
              </wp:anchor>
            </w:drawing>
          </mc:Choice>
          <mc:Fallback>
            <w:pict>
              <v:shape id="_x0000_s1026" o:spid="_x0000_s1026" o:spt="75" style="position:absolute;left:0pt;margin-left:-231.95pt;margin-top:39.45pt;height:0.5pt;width:0.5pt;z-index:251659264;mso-width-relative:page;mso-height-relative:page;" coordsize="21600,21600" o:gfxdata="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">
                <v:imagedata r:id="rId5" o:title=""/>
                <o:lock v:ext="edit"/>
              </v:shape>
            </w:pict>
          </mc:Fallback>
        </mc:AlternateContent>
      </w:r>
      <w:r>
        <w:rPr>
          <w:rStyle w:val="9"/>
          <w:rFonts w:hint="eastAsia" w:ascii="宋体" w:hAnsi="宋体" w:eastAsia="宋体" w:cs="宋体"/>
          <w:color w:val="auto"/>
          <w:sz w:val="24"/>
          <w:szCs w:val="24"/>
          <w:lang w:val="en-US" w:eastAsia="zh-CN"/>
        </w:rPr>
        <w:t>2.1</w:t>
      </w:r>
      <w:r>
        <w:rPr>
          <w:rStyle w:val="9"/>
          <w:rFonts w:hint="eastAsia" w:ascii="宋体" w:hAnsi="宋体" w:eastAsia="宋体" w:cs="宋体"/>
          <w:color w:val="auto"/>
          <w:sz w:val="24"/>
          <w:szCs w:val="24"/>
        </w:rPr>
        <w:t>日常维护：每日巡检锅炉本体、燃烧器、给水系统</w:t>
      </w:r>
      <w:r>
        <w:rPr>
          <w:rStyle w:val="9"/>
          <w:rFonts w:hint="eastAsia" w:ascii="宋体" w:hAnsi="宋体" w:eastAsia="宋体" w:cs="宋体"/>
          <w:color w:val="auto"/>
          <w:sz w:val="24"/>
          <w:szCs w:val="24"/>
          <w:lang w:eastAsia="zh-CN"/>
        </w:rPr>
        <w:t>、循环系、主管网，</w:t>
      </w:r>
      <w:r>
        <w:rPr>
          <w:rStyle w:val="9"/>
          <w:rFonts w:hint="eastAsia" w:ascii="宋体" w:hAnsi="宋体" w:eastAsia="宋体" w:cs="宋体"/>
          <w:color w:val="auto"/>
          <w:sz w:val="24"/>
          <w:szCs w:val="24"/>
        </w:rPr>
        <w:t>填写巡检记录表。</w:t>
      </w:r>
    </w:p>
    <w:p w14:paraId="60E3D6F0">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2.2</w:t>
      </w:r>
      <w:r>
        <w:rPr>
          <w:rStyle w:val="9"/>
          <w:rFonts w:hint="eastAsia" w:ascii="宋体" w:hAnsi="宋体" w:eastAsia="宋体" w:cs="宋体"/>
          <w:color w:val="auto"/>
          <w:sz w:val="24"/>
          <w:szCs w:val="24"/>
        </w:rPr>
        <w:t>定期保养：每季度清洗受热面、更换润滑油，每年进行全面检修</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并</w:t>
      </w:r>
      <w:r>
        <w:rPr>
          <w:rStyle w:val="9"/>
          <w:rFonts w:hint="eastAsia" w:ascii="宋体" w:hAnsi="宋体" w:eastAsia="宋体" w:cs="宋体"/>
          <w:color w:val="auto"/>
          <w:sz w:val="24"/>
          <w:szCs w:val="24"/>
          <w:lang w:eastAsia="zh-CN"/>
        </w:rPr>
        <w:t>做好热水锅炉停用期间的维护保养工作，确保锅炉不</w:t>
      </w:r>
      <w:r>
        <w:rPr>
          <w:rStyle w:val="9"/>
          <w:rFonts w:hint="eastAsia" w:ascii="宋体" w:hAnsi="宋体" w:eastAsia="宋体" w:cs="宋体"/>
          <w:color w:val="auto"/>
          <w:sz w:val="24"/>
          <w:szCs w:val="24"/>
          <w:lang w:val="en-US" w:eastAsia="zh-CN"/>
        </w:rPr>
        <w:t>产生</w:t>
      </w:r>
      <w:r>
        <w:rPr>
          <w:rStyle w:val="9"/>
          <w:rFonts w:hint="eastAsia" w:ascii="宋体" w:hAnsi="宋体" w:eastAsia="宋体" w:cs="宋体"/>
          <w:color w:val="auto"/>
          <w:sz w:val="24"/>
          <w:szCs w:val="24"/>
          <w:lang w:eastAsia="zh-CN"/>
        </w:rPr>
        <w:t>腐蚀。</w:t>
      </w:r>
    </w:p>
    <w:p w14:paraId="53D74E72">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lang w:val="en-US" w:eastAsia="zh-CN"/>
        </w:rPr>
        <w:t>2.3</w:t>
      </w:r>
      <w:r>
        <w:rPr>
          <w:rStyle w:val="9"/>
          <w:rFonts w:hint="eastAsia" w:ascii="宋体" w:hAnsi="宋体" w:eastAsia="宋体" w:cs="宋体"/>
          <w:color w:val="auto"/>
          <w:sz w:val="24"/>
          <w:szCs w:val="24"/>
        </w:rPr>
        <w:t>备件管理：提供常用备件清单（如燃烧器</w:t>
      </w:r>
      <w:r>
        <w:rPr>
          <w:rStyle w:val="9"/>
          <w:rFonts w:hint="eastAsia" w:ascii="宋体" w:hAnsi="宋体" w:eastAsia="宋体" w:cs="宋体"/>
          <w:color w:val="auto"/>
          <w:sz w:val="24"/>
          <w:szCs w:val="24"/>
          <w:lang w:val="en-US" w:eastAsia="zh-CN"/>
        </w:rPr>
        <w:t>配件、</w:t>
      </w:r>
      <w:r>
        <w:rPr>
          <w:rStyle w:val="9"/>
          <w:rFonts w:hint="eastAsia" w:ascii="宋体" w:hAnsi="宋体" w:eastAsia="宋体" w:cs="宋体"/>
          <w:color w:val="auto"/>
          <w:sz w:val="24"/>
          <w:szCs w:val="24"/>
        </w:rPr>
        <w:t>压力表</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温度计、阀门等</w:t>
      </w:r>
      <w:r>
        <w:rPr>
          <w:rStyle w:val="9"/>
          <w:rFonts w:hint="eastAsia" w:ascii="宋体" w:hAnsi="宋体" w:eastAsia="宋体" w:cs="宋体"/>
          <w:color w:val="auto"/>
          <w:sz w:val="24"/>
          <w:szCs w:val="24"/>
        </w:rPr>
        <w:t>），确保48小时内到货。</w:t>
      </w:r>
    </w:p>
    <w:p w14:paraId="31AAD091">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3.水质处理服务：对锅炉用水进行水质处理，确保水质符合</w:t>
      </w:r>
      <w:r>
        <w:rPr>
          <w:rStyle w:val="9"/>
          <w:rFonts w:hint="eastAsia" w:ascii="宋体" w:hAnsi="宋体" w:eastAsia="宋体" w:cs="宋体"/>
          <w:color w:val="auto"/>
          <w:sz w:val="24"/>
          <w:szCs w:val="24"/>
          <w:lang w:val="en-US" w:eastAsia="zh-CN"/>
        </w:rPr>
        <w:t>GB1576-2018工业锅炉水质标准</w:t>
      </w:r>
      <w:r>
        <w:rPr>
          <w:rStyle w:val="9"/>
          <w:rFonts w:hint="eastAsia" w:ascii="宋体" w:hAnsi="宋体" w:eastAsia="宋体" w:cs="宋体"/>
          <w:color w:val="auto"/>
          <w:sz w:val="24"/>
          <w:szCs w:val="24"/>
        </w:rPr>
        <w:t>。定期对水质进行检测和分析，根据检测结果调整水质处理方案，防止锅炉结垢和腐蚀。</w:t>
      </w:r>
      <w:r>
        <w:rPr>
          <w:rStyle w:val="9"/>
          <w:rFonts w:hint="eastAsia" w:ascii="宋体" w:hAnsi="宋体" w:eastAsia="宋体" w:cs="宋体"/>
          <w:color w:val="auto"/>
          <w:sz w:val="24"/>
          <w:szCs w:val="24"/>
          <w:lang w:eastAsia="zh-CN"/>
        </w:rPr>
        <w:t>水质管理：</w:t>
      </w:r>
      <w:r>
        <w:rPr>
          <w:rFonts w:hint="eastAsia" w:ascii="宋体" w:hAnsi="宋体" w:eastAsia="宋体" w:cs="宋体"/>
          <w:color w:val="auto"/>
          <w:sz w:val="24"/>
          <w:szCs w:val="24"/>
          <w:lang w:val="en-US" w:eastAsia="zh-CN"/>
        </w:rPr>
        <w:t>给</w:t>
      </w:r>
      <w:r>
        <w:rPr>
          <w:rStyle w:val="9"/>
          <w:rFonts w:hint="eastAsia" w:ascii="宋体" w:hAnsi="宋体" w:eastAsia="宋体" w:cs="宋体"/>
          <w:color w:val="auto"/>
          <w:sz w:val="24"/>
          <w:szCs w:val="24"/>
          <w:lang w:eastAsia="zh-CN"/>
        </w:rPr>
        <w:t>水硬度≤0.03mmol/L，</w:t>
      </w:r>
      <w:r>
        <w:rPr>
          <w:rStyle w:val="9"/>
          <w:rFonts w:hint="eastAsia" w:ascii="宋体" w:hAnsi="宋体" w:eastAsia="宋体" w:cs="宋体"/>
          <w:color w:val="auto"/>
          <w:sz w:val="24"/>
          <w:szCs w:val="24"/>
          <w:lang w:val="en-US" w:eastAsia="zh-CN"/>
        </w:rPr>
        <w:t>给水</w:t>
      </w:r>
      <w:r>
        <w:rPr>
          <w:rStyle w:val="9"/>
          <w:rFonts w:hint="eastAsia" w:ascii="宋体" w:hAnsi="宋体" w:eastAsia="宋体" w:cs="宋体"/>
          <w:color w:val="auto"/>
          <w:sz w:val="24"/>
          <w:szCs w:val="24"/>
          <w:lang w:eastAsia="zh-CN"/>
        </w:rPr>
        <w:t>浊度/FTU≤5.0、</w:t>
      </w:r>
      <w:r>
        <w:rPr>
          <w:rStyle w:val="9"/>
          <w:rFonts w:hint="eastAsia" w:ascii="宋体" w:hAnsi="宋体" w:eastAsia="宋体" w:cs="宋体"/>
          <w:color w:val="auto"/>
          <w:sz w:val="24"/>
          <w:szCs w:val="24"/>
          <w:lang w:val="en-US" w:eastAsia="zh-CN"/>
        </w:rPr>
        <w:t>给水氯离子不大于原水的1.1倍，蒸汽锅炉：锅水</w:t>
      </w:r>
      <w:r>
        <w:rPr>
          <w:rStyle w:val="9"/>
          <w:rFonts w:hint="eastAsia" w:ascii="宋体" w:hAnsi="宋体" w:eastAsia="宋体" w:cs="宋体"/>
          <w:color w:val="auto"/>
          <w:sz w:val="24"/>
          <w:szCs w:val="24"/>
          <w:lang w:eastAsia="zh-CN"/>
        </w:rPr>
        <w:t>全碱度/(mmol/L)≤26、</w:t>
      </w:r>
      <w:r>
        <w:rPr>
          <w:rStyle w:val="9"/>
          <w:rFonts w:hint="eastAsia" w:ascii="宋体" w:hAnsi="宋体" w:eastAsia="宋体" w:cs="宋体"/>
          <w:color w:val="auto"/>
          <w:sz w:val="24"/>
          <w:szCs w:val="24"/>
          <w:lang w:val="en-US" w:eastAsia="zh-CN"/>
        </w:rPr>
        <w:t>酚酞碱度/</w:t>
      </w:r>
      <w:r>
        <w:rPr>
          <w:rStyle w:val="9"/>
          <w:rFonts w:hint="eastAsia" w:ascii="宋体" w:hAnsi="宋体" w:eastAsia="宋体" w:cs="宋体"/>
          <w:color w:val="auto"/>
          <w:sz w:val="24"/>
          <w:szCs w:val="24"/>
          <w:lang w:eastAsia="zh-CN"/>
        </w:rPr>
        <w:t>(mmol/L)≤</w:t>
      </w:r>
      <w:r>
        <w:rPr>
          <w:rStyle w:val="9"/>
          <w:rFonts w:hint="eastAsia" w:ascii="宋体" w:hAnsi="宋体" w:eastAsia="宋体" w:cs="宋体"/>
          <w:color w:val="auto"/>
          <w:sz w:val="24"/>
          <w:szCs w:val="24"/>
          <w:lang w:val="en-US" w:eastAsia="zh-CN"/>
        </w:rPr>
        <w:t>18、PH值10-12、热水锅炉：锅水PH值9-12、酚酞碱度/(mmol/L)≧2.0，每班至少化验一次，做好</w:t>
      </w:r>
      <w:r>
        <w:rPr>
          <w:rStyle w:val="9"/>
          <w:rFonts w:hint="eastAsia" w:ascii="宋体" w:hAnsi="宋体" w:eastAsia="宋体" w:cs="宋体"/>
          <w:color w:val="auto"/>
          <w:sz w:val="24"/>
          <w:szCs w:val="24"/>
          <w:lang w:eastAsia="zh-CN"/>
        </w:rPr>
        <w:t>检测记录。</w:t>
      </w:r>
    </w:p>
    <w:p w14:paraId="2CBD382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4.安全管理服务：协助医院制定锅炉安全管理制度</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锅炉安全风险管控清单、</w:t>
      </w:r>
      <w:r>
        <w:rPr>
          <w:rStyle w:val="9"/>
          <w:rFonts w:hint="eastAsia" w:ascii="宋体" w:hAnsi="宋体" w:eastAsia="宋体" w:cs="宋体"/>
          <w:color w:val="auto"/>
          <w:sz w:val="24"/>
          <w:szCs w:val="24"/>
        </w:rPr>
        <w:t>应急预案，</w:t>
      </w:r>
      <w:r>
        <w:rPr>
          <w:rStyle w:val="9"/>
          <w:rFonts w:hint="eastAsia" w:ascii="宋体" w:hAnsi="宋体" w:eastAsia="宋体" w:cs="宋体"/>
          <w:color w:val="auto"/>
          <w:sz w:val="24"/>
          <w:szCs w:val="24"/>
          <w:lang w:val="en-US" w:eastAsia="zh-CN"/>
        </w:rPr>
        <w:t>和落实</w:t>
      </w:r>
      <w:r>
        <w:rPr>
          <w:rFonts w:hint="eastAsia" w:ascii="宋体" w:hAnsi="宋体" w:eastAsia="宋体" w:cs="宋体"/>
          <w:color w:val="auto"/>
          <w:sz w:val="24"/>
          <w:szCs w:val="24"/>
          <w:lang w:val="en-US" w:eastAsia="zh-CN"/>
        </w:rPr>
        <w:t>《特种设备使用单位落实使用安全主体责任监督管理规定》（</w:t>
      </w:r>
      <w:r>
        <w:rPr>
          <w:rStyle w:val="9"/>
          <w:rFonts w:hint="eastAsia" w:ascii="宋体" w:hAnsi="宋体" w:eastAsia="宋体" w:cs="宋体"/>
          <w:color w:val="auto"/>
          <w:sz w:val="24"/>
          <w:szCs w:val="24"/>
          <w:lang w:val="en-US" w:eastAsia="zh-CN"/>
        </w:rPr>
        <w:t>国家市场监督管理总局</w:t>
      </w:r>
      <w:r>
        <w:rPr>
          <w:rFonts w:hint="eastAsia" w:ascii="宋体" w:hAnsi="宋体" w:eastAsia="宋体" w:cs="宋体"/>
          <w:color w:val="auto"/>
          <w:sz w:val="24"/>
          <w:szCs w:val="24"/>
          <w:lang w:val="en-US" w:eastAsia="zh-CN"/>
        </w:rPr>
        <w:t xml:space="preserve">第74号）令的相关要求， </w:t>
      </w:r>
      <w:r>
        <w:rPr>
          <w:rStyle w:val="9"/>
          <w:rFonts w:hint="eastAsia" w:ascii="宋体" w:hAnsi="宋体" w:eastAsia="宋体" w:cs="宋体"/>
          <w:color w:val="auto"/>
          <w:sz w:val="24"/>
          <w:szCs w:val="24"/>
        </w:rPr>
        <w:t>对锅炉操作人员进行安全培训和教育。定期对锅炉进行安全检查和隐患排查，及时消除安全隐患。在发生锅炉安全事故时，迅速启动应急预案，采取有效的措施进行救援和处理。</w:t>
      </w:r>
    </w:p>
    <w:p w14:paraId="7354C8C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5.合规与档案管理：协助医院完成锅炉年检、安全附件校验特种设备使用登记证更新。建立设备档案，包含安装图纸、维修记录、检验报告等。提供环保合规支持（如氮氧化物排放≤50mg/m³，满足地方环保标准）。</w:t>
      </w:r>
      <w:r>
        <w:rPr>
          <w:rStyle w:val="9"/>
          <w:rFonts w:hint="eastAsia" w:ascii="宋体" w:hAnsi="宋体" w:eastAsia="宋体" w:cs="宋体"/>
          <w:color w:val="auto"/>
          <w:sz w:val="24"/>
          <w:szCs w:val="24"/>
          <w:lang w:eastAsia="zh-CN"/>
        </w:rPr>
        <w:t>并提供</w:t>
      </w:r>
      <w:r>
        <w:rPr>
          <w:rStyle w:val="9"/>
          <w:rFonts w:hint="eastAsia" w:ascii="宋体" w:hAnsi="宋体" w:eastAsia="宋体" w:cs="宋体"/>
          <w:color w:val="auto"/>
          <w:sz w:val="24"/>
          <w:szCs w:val="24"/>
        </w:rPr>
        <w:t>能耗统计</w:t>
      </w:r>
      <w:r>
        <w:rPr>
          <w:rStyle w:val="9"/>
          <w:rFonts w:hint="eastAsia" w:ascii="宋体" w:hAnsi="宋体" w:eastAsia="宋体" w:cs="宋体"/>
          <w:color w:val="auto"/>
          <w:sz w:val="24"/>
          <w:szCs w:val="24"/>
          <w:lang w:eastAsia="zh-CN"/>
        </w:rPr>
        <w:t>表</w:t>
      </w:r>
      <w:r>
        <w:rPr>
          <w:rStyle w:val="9"/>
          <w:rFonts w:hint="eastAsia" w:ascii="宋体" w:hAnsi="宋体" w:eastAsia="宋体" w:cs="宋体"/>
          <w:color w:val="auto"/>
          <w:sz w:val="24"/>
          <w:szCs w:val="24"/>
        </w:rPr>
        <w:t>、运行报告</w:t>
      </w:r>
      <w:r>
        <w:rPr>
          <w:rStyle w:val="9"/>
          <w:rFonts w:hint="eastAsia" w:ascii="宋体" w:hAnsi="宋体" w:eastAsia="宋体" w:cs="宋体"/>
          <w:color w:val="auto"/>
          <w:sz w:val="24"/>
          <w:szCs w:val="24"/>
          <w:lang w:eastAsia="zh-CN"/>
        </w:rPr>
        <w:t>，对</w:t>
      </w:r>
      <w:r>
        <w:rPr>
          <w:rStyle w:val="9"/>
          <w:rFonts w:hint="eastAsia" w:ascii="宋体" w:hAnsi="宋体" w:eastAsia="宋体" w:cs="宋体"/>
          <w:color w:val="auto"/>
          <w:sz w:val="24"/>
          <w:szCs w:val="24"/>
        </w:rPr>
        <w:t>合规文件归档</w:t>
      </w:r>
      <w:r>
        <w:rPr>
          <w:rStyle w:val="9"/>
          <w:rFonts w:hint="eastAsia" w:ascii="宋体" w:hAnsi="宋体" w:eastAsia="宋体" w:cs="宋体"/>
          <w:color w:val="auto"/>
          <w:sz w:val="24"/>
          <w:szCs w:val="24"/>
          <w:lang w:eastAsia="zh-CN"/>
        </w:rPr>
        <w:t>。</w:t>
      </w:r>
    </w:p>
    <w:p w14:paraId="7A08665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四、人员与资质要求</w:t>
      </w:r>
    </w:p>
    <w:p w14:paraId="0366F845">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 xml:space="preserve"> 1. 团队配置</w:t>
      </w:r>
    </w:p>
    <w:tbl>
      <w:tblPr>
        <w:tblStyle w:val="6"/>
        <w:tblW w:w="92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
        <w:gridCol w:w="3864"/>
        <w:gridCol w:w="2288"/>
        <w:gridCol w:w="2183"/>
      </w:tblGrid>
      <w:tr w14:paraId="7D58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4004FEA">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序号</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66977A9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配 置</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368303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数 量</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6BA8032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服务时间</w:t>
            </w:r>
          </w:p>
        </w:tc>
      </w:tr>
      <w:tr w14:paraId="18F7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D950D73">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4DC7489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项目经理（班长）</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6D0D109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045733B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35BE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BE86DD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2</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60623A7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司炉工</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7DE7E4E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8人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6B45158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7个月</w:t>
            </w:r>
          </w:p>
        </w:tc>
      </w:tr>
      <w:tr w14:paraId="1C3E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71484F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3</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1218195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洗衣房-司炉工</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434085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3人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616D5C6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3434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E64CB32">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4</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6AB1D8E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水质化验员</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5DABF0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57BFF4FA">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0D3F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9459C45">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5</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28B15E7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特种设备安全管理员</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292C4C6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3D60A46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r w14:paraId="0414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C3F343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6</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711E1C0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维修工</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074D58EB">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2人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5DCD298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r w14:paraId="5E90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8D1384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7</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3FC645F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锅炉烟气检测</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4DB5254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1项</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0FF90D5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bl>
    <w:p w14:paraId="3C7D95D6">
      <w:pPr>
        <w:keepNext w:val="0"/>
        <w:keepLines w:val="0"/>
        <w:pageBreakBefore w:val="0"/>
        <w:widowControl w:val="0"/>
        <w:kinsoku/>
        <w:wordWrap/>
        <w:overflowPunct/>
        <w:topLinePunct w:val="0"/>
        <w:autoSpaceDE w:val="0"/>
        <w:autoSpaceDN w:val="0"/>
        <w:bidi w:val="0"/>
        <w:adjustRightInd/>
        <w:snapToGrid/>
        <w:spacing w:before="0" w:beforeLines="100"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2、配置一名锅炉安全总监（需要经过相关部门进行培训取得相关培训证明）。</w:t>
      </w:r>
    </w:p>
    <w:p w14:paraId="4269FED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Style w:val="9"/>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3、</w:t>
      </w:r>
      <w:r>
        <w:rPr>
          <w:rStyle w:val="9"/>
          <w:rFonts w:hint="eastAsia" w:ascii="宋体" w:hAnsi="宋体" w:eastAsia="宋体" w:cs="宋体"/>
          <w:color w:val="auto"/>
          <w:sz w:val="24"/>
          <w:szCs w:val="24"/>
          <w:lang w:val="en-US" w:eastAsia="zh-CN"/>
        </w:rPr>
        <w:t>至少配置一名持证电工</w:t>
      </w:r>
    </w:p>
    <w:p w14:paraId="321E538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以上特种设备作业人员、管理人员、特种作业人员须持有政府相关部门颁发的、在有效期的相关资格证件。</w:t>
      </w:r>
    </w:p>
    <w:p w14:paraId="12FD749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highlight w:val="none"/>
          <w:lang w:eastAsia="zh-CN"/>
        </w:rPr>
      </w:pPr>
      <w:r>
        <w:rPr>
          <w:rStyle w:val="9"/>
          <w:rFonts w:hint="eastAsia" w:ascii="宋体" w:hAnsi="宋体" w:eastAsia="宋体" w:cs="宋体"/>
          <w:color w:val="auto"/>
          <w:sz w:val="24"/>
          <w:szCs w:val="24"/>
          <w:highlight w:val="none"/>
          <w:lang w:eastAsia="zh-CN"/>
        </w:rPr>
        <w:t xml:space="preserve"> 2. 企业资质</w:t>
      </w:r>
    </w:p>
    <w:p w14:paraId="27357FE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1</w:t>
      </w:r>
      <w:r>
        <w:rPr>
          <w:rStyle w:val="9"/>
          <w:rFonts w:hint="eastAsia" w:ascii="宋体" w:hAnsi="宋体" w:eastAsia="宋体" w:cs="宋体"/>
          <w:color w:val="auto"/>
          <w:sz w:val="24"/>
          <w:szCs w:val="24"/>
          <w:lang w:eastAsia="zh-CN"/>
        </w:rPr>
        <w:t>）安全生产标准化三级及以上认证。</w:t>
      </w:r>
    </w:p>
    <w:p w14:paraId="109B06A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2</w:t>
      </w:r>
      <w:r>
        <w:rPr>
          <w:rStyle w:val="9"/>
          <w:rFonts w:hint="eastAsia" w:ascii="宋体" w:hAnsi="宋体" w:eastAsia="宋体" w:cs="宋体"/>
          <w:color w:val="auto"/>
          <w:sz w:val="24"/>
          <w:szCs w:val="24"/>
          <w:lang w:eastAsia="zh-CN"/>
        </w:rPr>
        <w:t>）近3年无重大安全责任事故证明。</w:t>
      </w:r>
    </w:p>
    <w:p w14:paraId="1F573F4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五、服务响应</w:t>
      </w:r>
    </w:p>
    <w:p w14:paraId="2CF7E18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1.应急响应：锅炉故障导致停机时，供应商需在2小时内启动备用方案（如启用备用锅炉）。重大故障（如爆管）需在24小时内修复，否则按合同条款扣款。</w:t>
      </w:r>
    </w:p>
    <w:p w14:paraId="1222B2E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2.考核指标</w:t>
      </w:r>
    </w:p>
    <w:p w14:paraId="0C6C629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运行可靠性：锅炉年停机时间≤48小时（计划检修除外）。</w:t>
      </w:r>
    </w:p>
    <w:p w14:paraId="5557E2F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满意度：每季度进行服务评价，得分≥90分。</w:t>
      </w:r>
    </w:p>
    <w:p w14:paraId="1B1E2E0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合规率：100%通过年度特种设备检验。</w:t>
      </w:r>
    </w:p>
    <w:p w14:paraId="6059D55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3.退出机制</w:t>
      </w:r>
    </w:p>
    <w:p w14:paraId="7E61918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1</w:t>
      </w:r>
      <w:r>
        <w:rPr>
          <w:rStyle w:val="9"/>
          <w:rFonts w:hint="eastAsia" w:ascii="宋体" w:hAnsi="宋体" w:eastAsia="宋体" w:cs="宋体"/>
          <w:color w:val="auto"/>
          <w:sz w:val="24"/>
          <w:szCs w:val="24"/>
          <w:lang w:eastAsia="zh-CN"/>
        </w:rPr>
        <w:t>）连续2个季度考核不达标，医院有权单方解除合同。</w:t>
      </w:r>
    </w:p>
    <w:p w14:paraId="54CBFC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2</w:t>
      </w:r>
      <w:r>
        <w:rPr>
          <w:rStyle w:val="9"/>
          <w:rFonts w:hint="eastAsia" w:ascii="宋体" w:hAnsi="宋体" w:eastAsia="宋体" w:cs="宋体"/>
          <w:color w:val="auto"/>
          <w:sz w:val="24"/>
          <w:szCs w:val="24"/>
          <w:lang w:eastAsia="zh-CN"/>
        </w:rPr>
        <w:t>）发生安全责任事故，立即终止合作并追究赔偿责任。</w:t>
      </w:r>
    </w:p>
    <w:p w14:paraId="32E67B4E">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E4EED"/>
    <w:multiLevelType w:val="singleLevel"/>
    <w:tmpl w:val="E0DE4EED"/>
    <w:lvl w:ilvl="0" w:tentative="0">
      <w:start w:val="1"/>
      <w:numFmt w:val="chineseCounting"/>
      <w:suff w:val="nothing"/>
      <w:lvlText w:val="%1、"/>
      <w:lvlJc w:val="left"/>
      <w:pPr>
        <w:ind w:left="640" w:firstLine="0"/>
      </w:pPr>
      <w:rPr>
        <w:rFonts w:hint="eastAsia"/>
      </w:rPr>
    </w:lvl>
  </w:abstractNum>
  <w:abstractNum w:abstractNumId="1">
    <w:nsid w:val="F5CE2A4C"/>
    <w:multiLevelType w:val="singleLevel"/>
    <w:tmpl w:val="F5CE2A4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63F92"/>
    <w:rsid w:val="55F6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表段落1"/>
    <w:basedOn w:val="1"/>
    <w:qFormat/>
    <w:uiPriority w:val="1"/>
    <w:pPr>
      <w:spacing w:before="134"/>
      <w:ind w:left="1196" w:hanging="720"/>
    </w:pPr>
    <w:rPr>
      <w:sz w:val="20"/>
    </w:rPr>
  </w:style>
  <w:style w:type="character" w:customStyle="1" w:styleId="9">
    <w:name w:val="fontstyle01"/>
    <w:qFormat/>
    <w:uiPriority w:val="0"/>
    <w:rPr>
      <w:rFonts w:ascii="仿宋" w:hAnsi="仿宋" w:eastAsia="仿宋" w:cs="仿宋"/>
      <w:color w:val="161616"/>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5-10-13T19:43:1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851.000 22796.000 767,'4.000'-4.000'0,"0.000"0.000"0</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2025-10-23T06:14:00Z</dcterms:created>
  <dc:creator>王崴</dc:creator>
  <cp:lastModifiedBy>王崴</cp:lastModifiedBy>
  <dcterms:modified xsi:type="dcterms:W3CDTF">2025-10-23T06:15:01Z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EFDCB8E0DFFB4569B3E659197C27D239_11</vt:lpwstr>
  </property>
  <property fmtid="{D5CDD505-2E9C-101B-9397-08002B2CF9AE}" pid="4" name="KSOTemplateDocerSaveRecord">
    <vt:lpwstr>eyJoZGlkIjoiNTU3MWFmY2JmYjBmNTA2M2Q0ZWY5MzgxYzE5YjliMzUiLCJ1c2VySWQiOiI4NDYxOTIwMTUifQ==</vt:lpwstr>
  </property>
</Properties>
</file>