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9CA38">
      <w:pPr>
        <w:spacing w:line="360" w:lineRule="auto"/>
        <w:jc w:val="center"/>
        <w:outlineLvl w:val="0"/>
        <w:rPr>
          <w:b/>
          <w:sz w:val="36"/>
          <w:szCs w:val="36"/>
        </w:rPr>
      </w:pPr>
      <w:r>
        <w:rPr>
          <w:b/>
          <w:sz w:val="36"/>
          <w:szCs w:val="36"/>
        </w:rPr>
        <w:t>采购需求</w:t>
      </w:r>
    </w:p>
    <w:p w14:paraId="5F3196AD">
      <w:pPr>
        <w:pStyle w:val="4"/>
      </w:pPr>
    </w:p>
    <w:p w14:paraId="5D5CC150">
      <w:pPr>
        <w:pStyle w:val="8"/>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67"/>
        <w:gridCol w:w="1317"/>
        <w:gridCol w:w="1658"/>
        <w:gridCol w:w="1216"/>
        <w:gridCol w:w="1434"/>
      </w:tblGrid>
      <w:tr w14:paraId="6830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09C840C3">
            <w:pPr>
              <w:jc w:val="center"/>
              <w:rPr>
                <w:rFonts w:hint="eastAsia" w:ascii="宋体" w:hAnsi="宋体" w:eastAsia="宋体" w:cs="宋体"/>
                <w:b/>
                <w:bCs/>
                <w:sz w:val="24"/>
                <w:lang w:val="en-US" w:eastAsia="zh-CN"/>
              </w:rPr>
            </w:pPr>
            <w:r>
              <w:rPr>
                <w:rFonts w:hint="eastAsia" w:ascii="宋体" w:hAnsi="宋体" w:cs="宋体"/>
                <w:b/>
                <w:bCs/>
                <w:sz w:val="24"/>
                <w:lang w:val="en-US" w:eastAsia="zh-CN"/>
              </w:rPr>
              <w:t>序号</w:t>
            </w:r>
          </w:p>
        </w:tc>
        <w:tc>
          <w:tcPr>
            <w:tcW w:w="2144" w:type="dxa"/>
            <w:vAlign w:val="center"/>
          </w:tcPr>
          <w:p w14:paraId="74CD0A80">
            <w:pPr>
              <w:jc w:val="center"/>
              <w:rPr>
                <w:rFonts w:hint="eastAsia" w:ascii="宋体" w:hAnsi="宋体" w:cs="宋体"/>
                <w:b/>
                <w:bCs/>
                <w:sz w:val="24"/>
              </w:rPr>
            </w:pPr>
            <w:r>
              <w:rPr>
                <w:rFonts w:hint="eastAsia" w:ascii="宋体" w:hAnsi="宋体" w:cs="宋体"/>
                <w:b/>
                <w:bCs/>
                <w:sz w:val="24"/>
              </w:rPr>
              <w:t>标的名称</w:t>
            </w:r>
          </w:p>
        </w:tc>
        <w:tc>
          <w:tcPr>
            <w:tcW w:w="1436" w:type="dxa"/>
            <w:vAlign w:val="center"/>
          </w:tcPr>
          <w:p w14:paraId="682F39BD">
            <w:pPr>
              <w:jc w:val="center"/>
              <w:rPr>
                <w:rFonts w:ascii="宋体" w:hAnsi="宋体" w:cs="宋体"/>
                <w:b/>
                <w:bCs/>
                <w:sz w:val="24"/>
              </w:rPr>
            </w:pPr>
            <w:r>
              <w:rPr>
                <w:rFonts w:hint="eastAsia" w:ascii="宋体" w:hAnsi="宋体" w:cs="宋体"/>
                <w:b/>
                <w:bCs/>
                <w:sz w:val="24"/>
              </w:rPr>
              <w:t>数量</w:t>
            </w:r>
          </w:p>
        </w:tc>
        <w:tc>
          <w:tcPr>
            <w:tcW w:w="1807" w:type="dxa"/>
            <w:vAlign w:val="center"/>
          </w:tcPr>
          <w:p w14:paraId="1D6D88A2">
            <w:pPr>
              <w:jc w:val="center"/>
              <w:rPr>
                <w:rFonts w:ascii="宋体" w:hAnsi="宋体" w:cs="宋体"/>
                <w:b/>
                <w:bCs/>
                <w:sz w:val="24"/>
              </w:rPr>
            </w:pPr>
            <w:r>
              <w:rPr>
                <w:rFonts w:hint="eastAsia" w:ascii="宋体" w:hAnsi="宋体" w:cs="宋体"/>
                <w:b/>
                <w:bCs/>
                <w:sz w:val="24"/>
                <w:lang w:val="en-US" w:eastAsia="zh-CN"/>
              </w:rPr>
              <w:t>单价</w:t>
            </w:r>
            <w:r>
              <w:rPr>
                <w:rFonts w:hint="eastAsia" w:ascii="宋体" w:hAnsi="宋体" w:cs="宋体"/>
                <w:b/>
                <w:bCs/>
                <w:sz w:val="24"/>
              </w:rPr>
              <w:t>最高限价</w:t>
            </w:r>
          </w:p>
          <w:p w14:paraId="783ECB66">
            <w:pPr>
              <w:jc w:val="center"/>
              <w:rPr>
                <w:rFonts w:ascii="宋体" w:hAnsi="宋体" w:cs="宋体"/>
                <w:b/>
                <w:bCs/>
                <w:sz w:val="24"/>
              </w:rPr>
            </w:pPr>
            <w:r>
              <w:rPr>
                <w:rFonts w:hint="eastAsia" w:ascii="宋体" w:hAnsi="宋体" w:cs="宋体"/>
                <w:b/>
                <w:bCs/>
                <w:sz w:val="24"/>
              </w:rPr>
              <w:t>（万元）</w:t>
            </w:r>
          </w:p>
        </w:tc>
        <w:tc>
          <w:tcPr>
            <w:tcW w:w="1325" w:type="dxa"/>
            <w:vAlign w:val="center"/>
          </w:tcPr>
          <w:p w14:paraId="4BE302C8">
            <w:pPr>
              <w:jc w:val="center"/>
              <w:rPr>
                <w:rFonts w:ascii="宋体" w:hAnsi="宋体" w:cs="宋体"/>
                <w:b/>
                <w:bCs/>
                <w:sz w:val="24"/>
              </w:rPr>
            </w:pPr>
            <w:r>
              <w:rPr>
                <w:rFonts w:hint="eastAsia" w:ascii="宋体" w:hAnsi="宋体" w:cs="宋体"/>
                <w:b/>
                <w:bCs/>
                <w:sz w:val="24"/>
              </w:rPr>
              <w:t>是否允许进口</w:t>
            </w:r>
          </w:p>
        </w:tc>
        <w:tc>
          <w:tcPr>
            <w:tcW w:w="1563" w:type="dxa"/>
            <w:vAlign w:val="center"/>
          </w:tcPr>
          <w:p w14:paraId="678A9C5C">
            <w:pPr>
              <w:jc w:val="center"/>
              <w:rPr>
                <w:rFonts w:ascii="宋体" w:hAnsi="宋体" w:cs="宋体"/>
                <w:b/>
                <w:bCs/>
                <w:sz w:val="24"/>
              </w:rPr>
            </w:pPr>
            <w:r>
              <w:rPr>
                <w:rFonts w:hint="eastAsia" w:ascii="宋体" w:hAnsi="宋体" w:cs="宋体"/>
                <w:b/>
                <w:bCs/>
                <w:sz w:val="24"/>
              </w:rPr>
              <w:t>是否为核心产品</w:t>
            </w:r>
          </w:p>
        </w:tc>
      </w:tr>
      <w:tr w14:paraId="5431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6B993705">
            <w:pPr>
              <w:widowControl/>
              <w:jc w:val="center"/>
              <w:textAlignment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w:t>
            </w:r>
          </w:p>
        </w:tc>
        <w:tc>
          <w:tcPr>
            <w:tcW w:w="2144" w:type="dxa"/>
            <w:vAlign w:val="center"/>
          </w:tcPr>
          <w:p w14:paraId="173E2FCC">
            <w:pPr>
              <w:widowControl/>
              <w:jc w:val="center"/>
              <w:textAlignment w:val="center"/>
              <w:rPr>
                <w:rFonts w:hint="eastAsia" w:ascii="宋体" w:hAnsi="宋体" w:eastAsia="宋体" w:cs="宋体"/>
                <w:bCs/>
                <w:sz w:val="24"/>
                <w:lang w:val="en-US" w:eastAsia="zh-CN"/>
              </w:rPr>
            </w:pPr>
            <w:r>
              <w:rPr>
                <w:rFonts w:hint="eastAsia" w:ascii="宋体" w:hAnsi="宋体" w:cs="宋体"/>
                <w:bCs/>
                <w:sz w:val="24"/>
                <w:lang w:val="en-US" w:eastAsia="zh-CN"/>
              </w:rPr>
              <w:t>片剂</w:t>
            </w:r>
            <w:r>
              <w:rPr>
                <w:rFonts w:hint="eastAsia" w:ascii="宋体" w:hAnsi="宋体" w:eastAsia="宋体" w:cs="宋体"/>
                <w:bCs/>
                <w:sz w:val="24"/>
                <w:lang w:val="en-US" w:eastAsia="zh-CN"/>
              </w:rPr>
              <w:t>摆药机</w:t>
            </w:r>
          </w:p>
        </w:tc>
        <w:tc>
          <w:tcPr>
            <w:tcW w:w="1436" w:type="dxa"/>
            <w:vAlign w:val="center"/>
          </w:tcPr>
          <w:p w14:paraId="3E6CB6DD">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1套</w:t>
            </w:r>
          </w:p>
        </w:tc>
        <w:tc>
          <w:tcPr>
            <w:tcW w:w="1807" w:type="dxa"/>
            <w:vAlign w:val="center"/>
          </w:tcPr>
          <w:p w14:paraId="206A1C65">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173</w:t>
            </w:r>
          </w:p>
        </w:tc>
        <w:tc>
          <w:tcPr>
            <w:tcW w:w="1325" w:type="dxa"/>
            <w:vAlign w:val="center"/>
          </w:tcPr>
          <w:p w14:paraId="0437B18B">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否</w:t>
            </w:r>
          </w:p>
        </w:tc>
        <w:tc>
          <w:tcPr>
            <w:tcW w:w="1563" w:type="dxa"/>
            <w:vAlign w:val="center"/>
          </w:tcPr>
          <w:p w14:paraId="6389CD45">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是</w:t>
            </w:r>
          </w:p>
        </w:tc>
      </w:tr>
      <w:tr w14:paraId="167E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12447B05">
            <w:pPr>
              <w:widowControl/>
              <w:jc w:val="center"/>
              <w:textAlignment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w:t>
            </w:r>
          </w:p>
        </w:tc>
        <w:tc>
          <w:tcPr>
            <w:tcW w:w="2144" w:type="dxa"/>
            <w:vAlign w:val="center"/>
          </w:tcPr>
          <w:p w14:paraId="454E1766">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智能毒麻药品柜</w:t>
            </w:r>
          </w:p>
        </w:tc>
        <w:tc>
          <w:tcPr>
            <w:tcW w:w="1436" w:type="dxa"/>
            <w:vAlign w:val="center"/>
          </w:tcPr>
          <w:p w14:paraId="0F54F585">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3台</w:t>
            </w:r>
          </w:p>
        </w:tc>
        <w:tc>
          <w:tcPr>
            <w:tcW w:w="1807" w:type="dxa"/>
            <w:vAlign w:val="center"/>
          </w:tcPr>
          <w:p w14:paraId="0D60B601">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15.5</w:t>
            </w:r>
          </w:p>
        </w:tc>
        <w:tc>
          <w:tcPr>
            <w:tcW w:w="1325" w:type="dxa"/>
            <w:vAlign w:val="center"/>
          </w:tcPr>
          <w:p w14:paraId="166389E9">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否</w:t>
            </w:r>
          </w:p>
        </w:tc>
        <w:tc>
          <w:tcPr>
            <w:tcW w:w="1563" w:type="dxa"/>
            <w:vAlign w:val="center"/>
          </w:tcPr>
          <w:p w14:paraId="7672BAB6">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否</w:t>
            </w:r>
          </w:p>
        </w:tc>
      </w:tr>
      <w:tr w14:paraId="52B1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3A7CEB1A">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3</w:t>
            </w:r>
          </w:p>
        </w:tc>
        <w:tc>
          <w:tcPr>
            <w:tcW w:w="2144" w:type="dxa"/>
            <w:vAlign w:val="center"/>
          </w:tcPr>
          <w:p w14:paraId="5E731DC7">
            <w:pPr>
              <w:widowControl/>
              <w:jc w:val="center"/>
              <w:textAlignment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拆药机</w:t>
            </w:r>
          </w:p>
        </w:tc>
        <w:tc>
          <w:tcPr>
            <w:tcW w:w="1436" w:type="dxa"/>
            <w:vAlign w:val="center"/>
          </w:tcPr>
          <w:p w14:paraId="4CB42420">
            <w:pPr>
              <w:widowControl/>
              <w:jc w:val="center"/>
              <w:textAlignment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2台</w:t>
            </w:r>
          </w:p>
        </w:tc>
        <w:tc>
          <w:tcPr>
            <w:tcW w:w="1807" w:type="dxa"/>
            <w:vAlign w:val="center"/>
          </w:tcPr>
          <w:p w14:paraId="5325F63E">
            <w:pPr>
              <w:widowControl/>
              <w:jc w:val="center"/>
              <w:textAlignment w:val="center"/>
              <w:rPr>
                <w:rFonts w:hint="default" w:ascii="宋体" w:hAnsi="宋体" w:eastAsia="宋体" w:cs="宋体"/>
                <w:bCs/>
                <w:sz w:val="24"/>
                <w:lang w:val="en-US" w:eastAsia="zh-CN"/>
              </w:rPr>
            </w:pPr>
            <w:r>
              <w:rPr>
                <w:rFonts w:hint="eastAsia" w:ascii="宋体" w:hAnsi="宋体" w:eastAsia="宋体" w:cs="宋体"/>
                <w:bCs/>
                <w:sz w:val="24"/>
                <w:lang w:val="en-US" w:eastAsia="zh-CN"/>
              </w:rPr>
              <w:t>6</w:t>
            </w:r>
          </w:p>
        </w:tc>
        <w:tc>
          <w:tcPr>
            <w:tcW w:w="1325" w:type="dxa"/>
            <w:vAlign w:val="center"/>
          </w:tcPr>
          <w:p w14:paraId="0017D0D3">
            <w:pPr>
              <w:widowControl/>
              <w:jc w:val="center"/>
              <w:textAlignment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否</w:t>
            </w:r>
          </w:p>
        </w:tc>
        <w:tc>
          <w:tcPr>
            <w:tcW w:w="1563" w:type="dxa"/>
            <w:vAlign w:val="center"/>
          </w:tcPr>
          <w:p w14:paraId="6A3A245A">
            <w:pPr>
              <w:widowControl/>
              <w:jc w:val="center"/>
              <w:textAlignment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否</w:t>
            </w:r>
          </w:p>
        </w:tc>
      </w:tr>
    </w:tbl>
    <w:p w14:paraId="28536516">
      <w:pPr>
        <w:wordWrap w:val="0"/>
        <w:topLinePunct/>
        <w:adjustRightInd w:val="0"/>
        <w:spacing w:line="360" w:lineRule="auto"/>
        <w:ind w:firstLine="480" w:firstLineChars="200"/>
        <w:jc w:val="left"/>
        <w:textAlignment w:val="baseline"/>
        <w:rPr>
          <w:rFonts w:ascii="宋体" w:hAnsi="宋体" w:cs="宋体"/>
          <w:sz w:val="24"/>
        </w:rPr>
      </w:pPr>
    </w:p>
    <w:p w14:paraId="2F202088">
      <w:pPr>
        <w:pStyle w:val="5"/>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F87C357">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20AC787C">
      <w:pPr>
        <w:pStyle w:val="3"/>
        <w:spacing w:line="360" w:lineRule="auto"/>
        <w:ind w:firstLine="480" w:firstLineChars="200"/>
        <w:jc w:val="left"/>
        <w:rPr>
          <w:rFonts w:hint="eastAsia" w:ascii="宋体" w:hAnsi="宋体" w:eastAsia="宋体" w:cs="宋体"/>
          <w:bCs/>
        </w:rPr>
      </w:pPr>
      <w:r>
        <w:rPr>
          <w:rFonts w:hint="eastAsia" w:ascii="宋体" w:hAnsi="宋体" w:eastAsia="宋体" w:cs="宋体"/>
          <w:bCs/>
        </w:rPr>
        <w:t>1.交货时间：合同签订后60日内完成交货。</w:t>
      </w:r>
    </w:p>
    <w:p w14:paraId="0BB553E8">
      <w:pPr>
        <w:pStyle w:val="3"/>
        <w:spacing w:line="360" w:lineRule="auto"/>
        <w:ind w:firstLine="480" w:firstLineChars="200"/>
        <w:jc w:val="left"/>
        <w:rPr>
          <w:rFonts w:hint="eastAsia" w:ascii="宋体" w:hAnsi="宋体" w:eastAsia="宋体" w:cs="宋体"/>
          <w:bCs/>
        </w:rPr>
      </w:pPr>
      <w:r>
        <w:rPr>
          <w:rFonts w:hint="eastAsia" w:ascii="宋体" w:hAnsi="宋体" w:eastAsia="宋体" w:cs="宋体"/>
          <w:bCs/>
        </w:rPr>
        <w:t>2.交货地点：采购人指定地点</w:t>
      </w:r>
    </w:p>
    <w:p w14:paraId="08636AEF">
      <w:pPr>
        <w:pStyle w:val="3"/>
        <w:spacing w:line="360" w:lineRule="auto"/>
        <w:ind w:firstLine="480" w:firstLineChars="200"/>
        <w:jc w:val="left"/>
        <w:rPr>
          <w:rFonts w:hint="default"/>
          <w:lang w:val="en-US" w:eastAsia="zh-CN"/>
        </w:rPr>
      </w:pPr>
      <w:r>
        <w:rPr>
          <w:rFonts w:hint="eastAsia" w:ascii="宋体" w:hAnsi="宋体" w:eastAsia="宋体" w:cs="宋体"/>
          <w:bCs/>
          <w:lang w:val="en-US" w:eastAsia="zh-CN"/>
        </w:rPr>
        <w:t>3.安装时间：卖方须在交货后30日内完成安装、调试、培训等采购人能够正常使用前的一切工作。</w:t>
      </w:r>
    </w:p>
    <w:p w14:paraId="136DA98D">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0C9AC0DC">
      <w:pPr>
        <w:pStyle w:val="4"/>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64F9B427">
      <w:pPr>
        <w:pStyle w:val="4"/>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277A5CFD">
      <w:pPr>
        <w:pStyle w:val="3"/>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1.整机质保期≥5年，软件终身免费升级；</w:t>
      </w:r>
    </w:p>
    <w:p w14:paraId="53926388">
      <w:pPr>
        <w:pStyle w:val="3"/>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2.技术支持：</w:t>
      </w:r>
    </w:p>
    <w:p w14:paraId="5C8C41C4">
      <w:pPr>
        <w:pStyle w:val="3"/>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提供设备使用手册、培训教材、应用资料等</w:t>
      </w:r>
      <w:r>
        <w:rPr>
          <w:rFonts w:hint="eastAsia" w:hAnsi="宋体" w:cs="宋体"/>
          <w:bCs/>
          <w:lang w:val="en-US" w:eastAsia="zh-CN"/>
        </w:rPr>
        <w:t>（费用含于投标报价）</w:t>
      </w:r>
      <w:r>
        <w:rPr>
          <w:rFonts w:hint="eastAsia" w:ascii="宋体" w:hAnsi="宋体" w:eastAsia="宋体" w:cs="宋体"/>
          <w:bCs/>
          <w:lang w:val="en-US" w:eastAsia="zh-CN"/>
        </w:rPr>
        <w:t>；长期提供技术服务支持。</w:t>
      </w:r>
    </w:p>
    <w:p w14:paraId="74EF4FB1">
      <w:pPr>
        <w:pStyle w:val="3"/>
        <w:numPr>
          <w:ilvl w:val="0"/>
          <w:numId w:val="0"/>
        </w:numPr>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kern w:val="2"/>
          <w:sz w:val="24"/>
          <w:szCs w:val="24"/>
          <w:lang w:val="en-US" w:eastAsia="zh-CN" w:bidi="ar-SA"/>
        </w:rPr>
        <w:t>3.</w:t>
      </w:r>
      <w:r>
        <w:rPr>
          <w:rFonts w:hint="eastAsia" w:ascii="宋体" w:hAnsi="宋体" w:eastAsia="宋体" w:cs="宋体"/>
          <w:bCs/>
          <w:lang w:val="en-US" w:eastAsia="zh-CN"/>
        </w:rPr>
        <w:t>维修响应时间：</w:t>
      </w:r>
    </w:p>
    <w:p w14:paraId="031F8E76">
      <w:pPr>
        <w:pStyle w:val="3"/>
        <w:numPr>
          <w:ilvl w:val="0"/>
          <w:numId w:val="0"/>
        </w:numPr>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在设备整个使用期内，卖方应确保设备的正常使用。在接到用户维修要求后须在2小时内作出回应，并在48小时内派员到达买方现场实施维修。</w:t>
      </w:r>
    </w:p>
    <w:p w14:paraId="19F58FEB">
      <w:pPr>
        <w:pStyle w:val="3"/>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4.培训：</w:t>
      </w:r>
    </w:p>
    <w:p w14:paraId="27D5915A">
      <w:pPr>
        <w:pStyle w:val="3"/>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lang w:val="en-US" w:eastAsia="zh-CN"/>
        </w:rPr>
        <w:t>提供设备到达现场后的应用培训，直至操作人员掌握为止</w:t>
      </w:r>
      <w:r>
        <w:rPr>
          <w:rFonts w:hint="eastAsia" w:hAnsi="宋体" w:cs="宋体"/>
          <w:bCs/>
          <w:lang w:val="en-US" w:eastAsia="zh-CN"/>
        </w:rPr>
        <w:t>（费用含于投标报价）</w:t>
      </w:r>
      <w:r>
        <w:rPr>
          <w:rFonts w:hint="eastAsia" w:ascii="宋体" w:hAnsi="宋体" w:eastAsia="宋体" w:cs="宋体"/>
          <w:bCs/>
          <w:lang w:val="en-US" w:eastAsia="zh-CN"/>
        </w:rPr>
        <w:t>。</w:t>
      </w:r>
    </w:p>
    <w:p w14:paraId="03AB6A04">
      <w:pPr>
        <w:pStyle w:val="3"/>
        <w:numPr>
          <w:ilvl w:val="0"/>
          <w:numId w:val="0"/>
        </w:numPr>
        <w:spacing w:line="360" w:lineRule="auto"/>
        <w:ind w:firstLine="480" w:firstLineChars="200"/>
        <w:rPr>
          <w:rFonts w:hint="eastAsia" w:ascii="宋体" w:hAnsi="宋体" w:eastAsia="宋体" w:cs="宋体"/>
          <w:bCs/>
          <w:lang w:val="en-US" w:eastAsia="zh-CN"/>
        </w:rPr>
      </w:pPr>
      <w:r>
        <w:rPr>
          <w:rFonts w:hint="eastAsia" w:ascii="宋体" w:hAnsi="宋体" w:eastAsia="宋体" w:cs="宋体"/>
          <w:bCs/>
          <w:kern w:val="2"/>
          <w:sz w:val="24"/>
          <w:szCs w:val="24"/>
          <w:lang w:val="en-US" w:eastAsia="zh-CN" w:bidi="ar-SA"/>
        </w:rPr>
        <w:t>5.</w:t>
      </w:r>
      <w:r>
        <w:rPr>
          <w:rFonts w:hint="eastAsia" w:ascii="宋体" w:hAnsi="宋体" w:eastAsia="宋体" w:cs="宋体"/>
          <w:bCs/>
          <w:lang w:val="en-US" w:eastAsia="zh-CN"/>
        </w:rPr>
        <w:t>验收：</w:t>
      </w:r>
    </w:p>
    <w:p w14:paraId="0F637628">
      <w:pPr>
        <w:pStyle w:val="3"/>
        <w:numPr>
          <w:ilvl w:val="0"/>
          <w:numId w:val="0"/>
        </w:numPr>
        <w:spacing w:line="360" w:lineRule="auto"/>
        <w:ind w:firstLine="480" w:firstLineChars="200"/>
        <w:rPr>
          <w:rFonts w:hint="eastAsia" w:ascii="宋体" w:hAnsi="宋体" w:eastAsia="宋体" w:cs="宋体"/>
          <w:bCs/>
        </w:rPr>
      </w:pPr>
      <w:r>
        <w:rPr>
          <w:rFonts w:hint="eastAsia" w:ascii="宋体" w:hAnsi="宋体" w:eastAsia="宋体" w:cs="宋体"/>
          <w:bCs/>
          <w:lang w:val="en-US" w:eastAsia="zh-CN"/>
        </w:rPr>
        <w:t>产品到货后，</w:t>
      </w:r>
      <w:r>
        <w:rPr>
          <w:rFonts w:hint="eastAsia" w:hAnsi="宋体" w:cs="宋体"/>
          <w:bCs/>
          <w:lang w:val="en-US" w:eastAsia="zh-CN"/>
        </w:rPr>
        <w:t>采购人</w:t>
      </w:r>
      <w:r>
        <w:rPr>
          <w:rFonts w:hint="eastAsia" w:ascii="宋体" w:hAnsi="宋体" w:eastAsia="宋体" w:cs="宋体"/>
          <w:bCs/>
          <w:lang w:val="en-US" w:eastAsia="zh-CN"/>
        </w:rPr>
        <w:t>进行开箱检查，对于出现的产品损坏、数量不全、产品不符等问题时，</w:t>
      </w:r>
      <w:r>
        <w:rPr>
          <w:rFonts w:hint="eastAsia" w:hAnsi="宋体" w:cs="宋体"/>
          <w:bCs/>
          <w:lang w:val="en-US" w:eastAsia="zh-CN"/>
        </w:rPr>
        <w:t>采购人</w:t>
      </w:r>
      <w:r>
        <w:rPr>
          <w:rFonts w:hint="eastAsia" w:ascii="宋体" w:hAnsi="宋体" w:eastAsia="宋体" w:cs="宋体"/>
          <w:bCs/>
          <w:lang w:val="en-US" w:eastAsia="zh-CN"/>
        </w:rPr>
        <w:t>有权要求中标人退货、更换货物、补充货物。按合同文件的技术指标对产品的性能、配置进行选择性测试</w:t>
      </w:r>
      <w:r>
        <w:rPr>
          <w:rFonts w:hint="eastAsia" w:hAnsi="宋体" w:cs="宋体"/>
          <w:bCs/>
          <w:lang w:val="en-US" w:eastAsia="zh-CN"/>
        </w:rPr>
        <w:t>。</w:t>
      </w:r>
    </w:p>
    <w:p w14:paraId="48D60511">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40921CC1">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3C28FEDE">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1.需满足国家相关标准、行业标准、地方标准或者其他标准、规范：</w:t>
      </w:r>
    </w:p>
    <w:p w14:paraId="7105AFB3">
      <w:pPr>
        <w:spacing w:line="360" w:lineRule="auto"/>
        <w:ind w:firstLine="480" w:firstLineChars="200"/>
        <w:jc w:val="left"/>
        <w:rPr>
          <w:rFonts w:ascii="宋体" w:hAnsi="宋体" w:cs="宋体"/>
          <w:kern w:val="0"/>
          <w:sz w:val="24"/>
        </w:rPr>
      </w:pP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1B7DF9FF">
      <w:pPr>
        <w:spacing w:line="360" w:lineRule="auto"/>
        <w:ind w:firstLine="482" w:firstLineChars="200"/>
        <w:jc w:val="left"/>
        <w:rPr>
          <w:rFonts w:ascii="宋体" w:hAnsi="宋体" w:cs="宋体"/>
          <w:sz w:val="24"/>
        </w:rPr>
      </w:pPr>
      <w:r>
        <w:rPr>
          <w:rFonts w:hint="eastAsia" w:ascii="宋体" w:hAnsi="宋体" w:cs="宋体"/>
          <w:b/>
          <w:bCs/>
          <w:sz w:val="24"/>
        </w:rPr>
        <w:t>（二）具体要求</w:t>
      </w:r>
    </w:p>
    <w:p w14:paraId="4D297A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标的1：片剂摆药机</w:t>
      </w:r>
    </w:p>
    <w:p w14:paraId="6ABC68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基本要求</w:t>
      </w:r>
    </w:p>
    <w:p w14:paraId="6B12C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1.1单机可装储的口服药品种数（不含非机储药）≥400种。</w:t>
      </w:r>
    </w:p>
    <w:p w14:paraId="130468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1.2宽度</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90厘米，高度</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200厘米。</w:t>
      </w:r>
    </w:p>
    <w:p w14:paraId="4CA4C1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1.3具有外摆药槽用来处理非机储的药品如半片药或异形药物等手工外摆药。每一个外摆药槽单层的格子数量</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64格。</w:t>
      </w:r>
    </w:p>
    <w:p w14:paraId="0E647A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1.4平均分包速度（含打印信息）≥50包/分。</w:t>
      </w:r>
    </w:p>
    <w:p w14:paraId="73323E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1.5全中文操作系统，支持一维条码和二维条码的识别系统。</w:t>
      </w:r>
    </w:p>
    <w:p w14:paraId="04A14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1.6为医院量身定制与HIS系统的无缝连接，实时接收HIS传过来的医嘱信息。</w:t>
      </w:r>
    </w:p>
    <w:p w14:paraId="4886E9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1.7安全性能符合国家相关设备安全标准。</w:t>
      </w:r>
    </w:p>
    <w:p w14:paraId="62F5E2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1.8配备内嵌式触摸屏。</w:t>
      </w:r>
    </w:p>
    <w:p w14:paraId="66C41B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结构要求和技术参数</w:t>
      </w:r>
    </w:p>
    <w:p w14:paraId="65B6A9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▲2.1药盒摆放为整体抽拉柜式或整体抽屉式。储药部抽拉柜（或抽屉）数量≥4个。</w:t>
      </w:r>
    </w:p>
    <w:p w14:paraId="27708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2.2储药部具有可视性，打开任意一个抽拉柜（或抽屉）可直接观察到的该抽拉柜（或抽屉）中药盒数量≥100个。</w:t>
      </w:r>
    </w:p>
    <w:p w14:paraId="5F352A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2.3每个抽拉柜（或抽屉）具有各自独立的柜门系统，柜门顶部具有报警指示灯，药盒缺药时，指示灯提示药盒所在柜门的位置。</w:t>
      </w:r>
    </w:p>
    <w:p w14:paraId="668BF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▲2.4</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所有药盒全部容纳在抽拉柜或抽屉中</w:t>
      </w:r>
      <w:r>
        <w:rPr>
          <w:rFonts w:hint="eastAsia" w:asciiTheme="minorEastAsia" w:hAnsiTheme="minorEastAsia" w:eastAsiaTheme="minorEastAsia" w:cstheme="minorEastAsia"/>
          <w:b w:val="0"/>
          <w:bCs w:val="0"/>
          <w:sz w:val="24"/>
          <w:szCs w:val="24"/>
          <w:lang w:eastAsia="zh-CN"/>
        </w:rPr>
        <w:t>。</w:t>
      </w:r>
    </w:p>
    <w:p w14:paraId="394FE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2.5抽拉柜或抽屉中的药盒</w:t>
      </w:r>
      <w:r>
        <w:rPr>
          <w:rFonts w:hint="eastAsia" w:asciiTheme="minorEastAsia" w:hAnsiTheme="minorEastAsia" w:eastAsiaTheme="minorEastAsia" w:cstheme="minorEastAsia"/>
          <w:b w:val="0"/>
          <w:bCs w:val="0"/>
          <w:sz w:val="24"/>
          <w:szCs w:val="24"/>
        </w:rPr>
        <w:t>按照药性对药品进行分类集中摆放。</w:t>
      </w:r>
    </w:p>
    <w:p w14:paraId="4ABA7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药盒落药通道可打开清洁，药品落药收集斗可取出清洁。</w:t>
      </w:r>
    </w:p>
    <w:p w14:paraId="4FFD3C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配备智能药盒≥400个，药盒基座有提示药盒不同的状态指示灯。</w:t>
      </w:r>
    </w:p>
    <w:p w14:paraId="0D6C4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药盒（含药盒底部）为全透明，药盒具有防潮、防尘、防紫外线功能。</w:t>
      </w:r>
    </w:p>
    <w:p w14:paraId="5991F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药盒盖子上具有专门存储药品药样的空间，且存储空间所在的盖子外侧有透明窗口。在不打开药盒盖子的前提下，可透过药盒盖子上的透明窗观察到药品药样的具体性状。</w:t>
      </w:r>
    </w:p>
    <w:p w14:paraId="2F683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对药盒补药时，可通过药盒盖子上的透明窗观察比对药品的药样，确认药品信息的一致性。</w:t>
      </w:r>
    </w:p>
    <w:p w14:paraId="4E52B9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药盒具有级联功能(子母药盒)功能，用量大的药品可同时装在多个药盒中，在分包过程中依次下落。</w:t>
      </w:r>
    </w:p>
    <w:p w14:paraId="2A191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具有内嵌的彩色液晶触摸屏</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触摸屏尺寸≥8英寸，且屏幕仰角可调。</w:t>
      </w:r>
    </w:p>
    <w:p w14:paraId="6205B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设备预警信息以图形、动画等方式显示在设备的触摸屏上，并具有中文语音报警功能。</w:t>
      </w:r>
    </w:p>
    <w:p w14:paraId="5B806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分包机可自动弹出的外摆药盘须能够从设备中单独取出，并具有多个外摆药盘交替进行摆药功能。</w:t>
      </w:r>
    </w:p>
    <w:p w14:paraId="1D283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外摆药盘可完整取出，单次且单层摆药的餐数≥64餐，具有对多个病人多餐进行集中添加外摆药品的功能。</w:t>
      </w:r>
    </w:p>
    <w:p w14:paraId="28DA95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包装部前门的中间位置有可视窗，且可视窗为透明材质，透过可视窗能够直观地观察各种包药动作，并可在分包过程中实时观察分包纸的使用情况。</w:t>
      </w:r>
    </w:p>
    <w:p w14:paraId="64D15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配套包装纸双折式缠绕方式、环保可降解材质，并采用易撕处理。</w:t>
      </w:r>
    </w:p>
    <w:p w14:paraId="60E6C2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配套墨具有速干成分，擦洗不掉色。</w:t>
      </w:r>
    </w:p>
    <w:p w14:paraId="6C8090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功能要求</w:t>
      </w:r>
    </w:p>
    <w:p w14:paraId="1F98F2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3.1在药品装袋时，药袋沿水平方向移动。</w:t>
      </w:r>
    </w:p>
    <w:p w14:paraId="1887CB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3.2装袋时，药品落药方向与药袋前进方向形成90度夹角。</w:t>
      </w:r>
    </w:p>
    <w:p w14:paraId="18106F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3.3设备采用“先两侧塑封药袋，形成U型上部开口的袋子”的装药方式，使药袋容积利用率最大化。药品从药袋正上方袋口落入后，再塑封药袋顶部。</w:t>
      </w:r>
    </w:p>
    <w:p w14:paraId="1ACD20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3.4设备在药品包装过程中不会有串袋现象。</w:t>
      </w:r>
    </w:p>
    <w:p w14:paraId="2AFF71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3.5分包过程中有实时自动查错功能。当分包机监测到分包错误后，必须能在分包错误当前袋或之后的药袋上的整个药袋可打印面积上打印醒目的“分包错误”字样（单个汉字宽度≥1厘米、高度≥1厘米）和“X”标识（宽度≥3厘米、高度≥3厘米）进行提示，工作人员可以迅速找到错误的药包。</w:t>
      </w:r>
    </w:p>
    <w:p w14:paraId="3FA6DE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3.6分包过程中有实时自动纠错功能。分包机在已打印“分包错误”标识药袋的下一袋，立即自动对错误的分包袋进行重新包装，无需人工介入，可做到不改变原来的包药顺序。</w:t>
      </w:r>
    </w:p>
    <w:p w14:paraId="2E4002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▲3.7包装部底板上具有药品装袋溢出监测装置，当发生药品异常溢出时，自动停止分包并报警。且该装置可取出清洁。</w:t>
      </w:r>
    </w:p>
    <w:p w14:paraId="2AEF9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3.8机器具有中文语音报警功能，可对缺药、耗材更换等进行提醒。缺药时能明确读出药盒编号、药品名称、生产厂家等信息。</w:t>
      </w:r>
    </w:p>
    <w:p w14:paraId="76FA58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3.9设备在连续分包过程中，具有按病区自动裁切药袋和不裁切药袋的功能设置。</w:t>
      </w:r>
    </w:p>
    <w:p w14:paraId="1F0D63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3.10在自动裁切药袋的功能下，病区与病区之间无空袋现象。</w:t>
      </w:r>
    </w:p>
    <w:p w14:paraId="534CBE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3.11软件系统具有软件著作权证书。</w:t>
      </w:r>
    </w:p>
    <w:p w14:paraId="082A3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3.12具有实现图文混排，打印任意的文字，支持在同一个药包袋上打印患者信息（患者姓名、性别、年龄、病区、病房、病床、患者ID）、服药信息（服药日期和时间）、一维条形码、二维条形码、药品信息（品名、数量、规格、厂家、单位、效期、批号等）、医师的嘱托、药品种数、总数量、医院徽标等信息。</w:t>
      </w:r>
    </w:p>
    <w:p w14:paraId="0F8E91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软件系统及相关配套设备</w:t>
      </w:r>
    </w:p>
    <w:p w14:paraId="291367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4.1</w:t>
      </w:r>
      <w:r>
        <w:rPr>
          <w:rFonts w:hint="eastAsia" w:asciiTheme="minorEastAsia" w:hAnsiTheme="minorEastAsia" w:eastAsiaTheme="minorEastAsia" w:cstheme="minorEastAsia"/>
          <w:b w:val="0"/>
          <w:bCs w:val="0"/>
          <w:sz w:val="24"/>
          <w:szCs w:val="24"/>
        </w:rPr>
        <w:t>口服药品自动化单剂量分包机服务软件（1套）</w:t>
      </w:r>
    </w:p>
    <w:p w14:paraId="0D051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1.1具有以下软件功能：备药种类、数量预测；机储药盒中药品库存实时查询；消耗统计；预缺机储药品实时警告。</w:t>
      </w:r>
    </w:p>
    <w:p w14:paraId="6CF466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1.2门诊拆零功能：具有单品种锭剂或胶囊分包的功能，分包药品信息进行自动登记、记忆功能，打印信息可编辑，并具有拆零分包统计功能。</w:t>
      </w:r>
    </w:p>
    <w:p w14:paraId="5E984E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1.3多个分包单号合并为一个单号分包的功能</w:t>
      </w:r>
    </w:p>
    <w:p w14:paraId="4AAD8F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1.4具有病区取药通知功能。能够将分包进度及取药信息发布至指定终端。</w:t>
      </w:r>
    </w:p>
    <w:p w14:paraId="10D326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2全自动切片机1台</w:t>
      </w:r>
    </w:p>
    <w:p w14:paraId="611D56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3配套控制</w:t>
      </w:r>
      <w:r>
        <w:rPr>
          <w:rFonts w:hint="eastAsia" w:asciiTheme="minorEastAsia" w:hAnsiTheme="minorEastAsia" w:eastAsiaTheme="minorEastAsia" w:cstheme="minorEastAsia"/>
          <w:b w:val="0"/>
          <w:bCs w:val="0"/>
          <w:sz w:val="24"/>
          <w:szCs w:val="24"/>
          <w:lang w:val="en-US" w:eastAsia="zh-CN"/>
        </w:rPr>
        <w:t>一体机</w:t>
      </w:r>
      <w:r>
        <w:rPr>
          <w:rFonts w:hint="eastAsia" w:asciiTheme="minorEastAsia" w:hAnsiTheme="minorEastAsia" w:eastAsiaTheme="minorEastAsia" w:cstheme="minorEastAsia"/>
          <w:b w:val="0"/>
          <w:bCs w:val="0"/>
          <w:sz w:val="24"/>
          <w:szCs w:val="24"/>
        </w:rPr>
        <w:t>（1台）</w:t>
      </w:r>
    </w:p>
    <w:p w14:paraId="69E166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3.1配置需为时下主流配置，并不低于以下标准：CPU：</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四核以上、内存</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16G以上、显示器</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23英寸以上、硬盘</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500G以上。</w:t>
      </w:r>
    </w:p>
    <w:p w14:paraId="32BF73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4随设备万能药盒≥4个</w:t>
      </w:r>
    </w:p>
    <w:p w14:paraId="06D2FD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4.1更换药品后，无需重新定制药盒</w:t>
      </w:r>
    </w:p>
    <w:p w14:paraId="60D76C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5随设备半片药盒≥18个</w:t>
      </w:r>
    </w:p>
    <w:p w14:paraId="3D0BE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5.1可实现半片药品储药以及落药功能</w:t>
      </w:r>
    </w:p>
    <w:p w14:paraId="1630FA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6手动切片器（1台）</w:t>
      </w:r>
    </w:p>
    <w:p w14:paraId="3A3E3C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7外摆药品辅助添加系统（车式）1台</w:t>
      </w:r>
    </w:p>
    <w:p w14:paraId="469EEE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7.1外摆药添加系统需带有相应的操作系统，可实时接收分包机发送过来的外摆药信息。</w:t>
      </w:r>
    </w:p>
    <w:p w14:paraId="519324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7.2外摆药添加系统由外摆药车（或外摆药台）主机以及相应的控制软件组成。</w:t>
      </w:r>
    </w:p>
    <w:p w14:paraId="7BF147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7.3主机配备触摸屏的PAD，具有自动接收分包机推送过来的摆药单信息、获取正确的药品以及向外摆药盘正确的槽位添加外摆药等功能。</w:t>
      </w:r>
    </w:p>
    <w:p w14:paraId="250EE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7.4主机为车式或台式可移动。</w:t>
      </w:r>
    </w:p>
    <w:p w14:paraId="3E4426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7.5主机具有常用药品集中存储区、零散药品抽屉式存储区和外摆药槽加药辅助装置。药品存储区具有专门存放储药瓶的孔洞，抽屉式存储区可灵活布局和分隔。</w:t>
      </w:r>
    </w:p>
    <w:p w14:paraId="4ECE1C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7.6药品集中存储区为倾斜结构，存放常用外摆药。</w:t>
      </w:r>
    </w:p>
    <w:p w14:paraId="665C2E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7.7抽屉结构的药品存储区布设于主机的下部。</w:t>
      </w:r>
    </w:p>
    <w:p w14:paraId="6058B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7.8外摆药添加系统具有管理储药瓶中药品的批号和效期功能。</w:t>
      </w:r>
    </w:p>
    <w:p w14:paraId="460CE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7.9该系统可通过WIFI或网线方式与分包机进行连接。</w:t>
      </w:r>
    </w:p>
    <w:p w14:paraId="705C82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7.10</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主机具有抽屉式智能外摆药槽加药辅助装置，可将外摆药盘放入其中，并有相应的指示灯指示药品的加药位置。</w:t>
      </w:r>
    </w:p>
    <w:p w14:paraId="50FBC2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7.11</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可与现用分包机对接，并负担相应的接口费用。</w:t>
      </w:r>
    </w:p>
    <w:p w14:paraId="1B1E41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7.12</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药瓶集中存储区的格子或孔洞数量≥70个。</w:t>
      </w:r>
    </w:p>
    <w:p w14:paraId="35FCB4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7.13</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每个格子或孔洞具有指示位置的灯光指示装置，PAD或操作系统能通过点亮指示灯指引药师拿取相应的药瓶。</w:t>
      </w:r>
    </w:p>
    <w:p w14:paraId="4364B3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7.14</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孔洞位置的灯光指示装置覆盖每一个孔洞或格子的边缘。</w:t>
      </w:r>
    </w:p>
    <w:p w14:paraId="6B7FC0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7.15</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配套提供70个以上储药瓶。</w:t>
      </w:r>
    </w:p>
    <w:p w14:paraId="4638DB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7.16</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外摆药储药瓶为避光材质，药瓶的直径≥40毫米，高度≥70毫米。</w:t>
      </w:r>
    </w:p>
    <w:p w14:paraId="4F0123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7.17</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设备具有集成条码识读模块，具有自动感应并开启读识功能，支持二维码和一维条码的识读。</w:t>
      </w:r>
    </w:p>
    <w:p w14:paraId="165CC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7.18</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PAD的屏幕尺寸≥10英寸，配备相应的支架；PAD可在使用中充电或取下后单独充电。</w:t>
      </w:r>
    </w:p>
    <w:p w14:paraId="2C3DFB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7.19</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抽屉式存储区配有可调隔板。</w:t>
      </w:r>
    </w:p>
    <w:p w14:paraId="1204A9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7.20</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外摆药槽加药辅助装置打开后，可将现用分包机的外摆药盘放入其中；在外摆药盘位置上部具有指示灯指引加药。</w:t>
      </w:r>
    </w:p>
    <w:p w14:paraId="6ECA00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7.21</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加药指示灯控制装置有指示灯，分别对应外摆药盘的槽位。</w:t>
      </w:r>
    </w:p>
    <w:p w14:paraId="68D3FB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7.22</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分包机需添加外摆药时，主机可点亮待加药品储药瓶位置的灯光指示装置，指引药师取得正确的药瓶。</w:t>
      </w:r>
    </w:p>
    <w:p w14:paraId="5AF37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7.23</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扫描储药瓶身条码，系统可判断该药品是否在当前待摆药列表中，并给出相应声音提示；取瓶错误时，在屏幕显要位置显示错误信息并发出相应报警声音。</w:t>
      </w:r>
    </w:p>
    <w:p w14:paraId="3227B7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7.24</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扫描正确的储药瓶条码后，外摆药槽加药辅助装置上的待加药位置指示灯自动点亮，指引药师将当前正确的药品放入外摆药盘正确的槽位中。</w:t>
      </w:r>
    </w:p>
    <w:p w14:paraId="66DF0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7.25</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系统具有中文语音播报药品摆药信息或报警信息。</w:t>
      </w:r>
    </w:p>
    <w:p w14:paraId="0581BB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7.26</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具有供电装置，电池容量≥12AH，供电装置为锂电池组。</w:t>
      </w:r>
    </w:p>
    <w:p w14:paraId="68B4E6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8全自动盘点系统 1台</w:t>
      </w:r>
    </w:p>
    <w:p w14:paraId="3EF5BA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8.1盘点机具备视觉技术实现盘点功能，且能与计算机连接使用。</w:t>
      </w:r>
    </w:p>
    <w:p w14:paraId="469BBB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8.2设备外部供电和电脑间数据传输使用USB端口，数据直接上传到计算机。</w:t>
      </w:r>
    </w:p>
    <w:p w14:paraId="01E7FC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8.3设备内置自动识别装置，能够自动识别分包机药盒及药盒中药品。</w:t>
      </w:r>
    </w:p>
    <w:p w14:paraId="38AF50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8.4设备自动盘点分包机药盒内的药品数量。</w:t>
      </w:r>
    </w:p>
    <w:p w14:paraId="249312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8.5设备具有将盘点的药品数量自动传送到分包机中，并生成盘点记录的功能。</w:t>
      </w:r>
    </w:p>
    <w:p w14:paraId="1B885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8.6设备可通过摄像头读取药品外包装或储药装置表面的一维码或二维码，同时支持追溯码的识别</w:t>
      </w:r>
    </w:p>
    <w:p w14:paraId="6C7851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8.7操作员登陆界面设置有相互独立的账户，该账户所有盘点操作均有统计记录。</w:t>
      </w:r>
    </w:p>
    <w:p w14:paraId="5165AD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具有中文语音播报计数结果功能，语音播报速度可调节。</w:t>
      </w:r>
    </w:p>
    <w:p w14:paraId="1F846F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w:t>
      </w: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盘点速度：单次拍照计数时间≤1.5秒。</w:t>
      </w:r>
    </w:p>
    <w:p w14:paraId="623591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8.1</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盘点机具有WIFI模块，与自动分包机之间的通信可使用局域网进行数据通讯。</w:t>
      </w:r>
    </w:p>
    <w:p w14:paraId="2A5CDD9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标的2：智能毒麻药品柜</w:t>
      </w:r>
    </w:p>
    <w:p w14:paraId="4E94367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品目1.智能麻精药品管理柜（1台）</w:t>
      </w:r>
    </w:p>
    <w:p w14:paraId="7D0227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设备配置：柜体宽度≤800mm，深度≤550mm，高度≤2000mm，占地面积≤0.45m²，底部配备移动脚轮，配备位置固定装置，柜体采用高强度金属钢材质，柜体表面粉体涂料抑菌处理，把手表面铝合金阳极氧化处理，防锈、抗菌耐腐蚀。</w:t>
      </w:r>
    </w:p>
    <w:p w14:paraId="0F4D61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1.2操控终端：</w:t>
      </w:r>
    </w:p>
    <w:p w14:paraId="063AC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1.2.1设备配置≥15英寸可触控显示屏的服务终端，对柜体储存麻精药品进行信息化和智能化管理。</w:t>
      </w:r>
    </w:p>
    <w:p w14:paraId="756EFC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▲1.2.2服务终端需通过电磁兼容性检测，使其满足GB/T 9254.1-2021《信息技术设备、多媒体设备和接收机 电磁兼容 第1部分：发射要求》中的B级或以上设备要求。</w:t>
      </w:r>
      <w:r>
        <w:rPr>
          <w:rFonts w:hint="eastAsia" w:asciiTheme="minorEastAsia" w:hAnsiTheme="minorEastAsia" w:eastAsiaTheme="minorEastAsia" w:cstheme="minorEastAsia"/>
          <w:b/>
          <w:bCs/>
          <w:sz w:val="24"/>
          <w:szCs w:val="24"/>
          <w:lang w:val="en-US" w:eastAsia="zh-CN"/>
        </w:rPr>
        <w:t>（需提供带国家认可的第三方检测机构出具的服务终端的电磁兼容性检测报告，检测结果为B级或以上）</w:t>
      </w:r>
    </w:p>
    <w:p w14:paraId="6FCA98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1.3触控显示屏：分辨率≥1920*1080P，基础配置：内存≥4G，容量≥32G。</w:t>
      </w:r>
    </w:p>
    <w:p w14:paraId="3A4109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1.4用户识别：具有戴口罩状态下的人脸识别、指纹识别、ID读写器、RSA密码等≥4种登录方式。</w:t>
      </w:r>
    </w:p>
    <w:p w14:paraId="46DEA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▲1.5线路安全：电子标签连接线缆全部采用阻燃材料，性能达到B1级及以上，符合GB 8624-2012 B1级的规定要求。</w:t>
      </w:r>
      <w:r>
        <w:rPr>
          <w:rFonts w:hint="eastAsia" w:asciiTheme="minorEastAsia" w:hAnsiTheme="minorEastAsia" w:eastAsiaTheme="minorEastAsia" w:cstheme="minorEastAsia"/>
          <w:b/>
          <w:bCs/>
          <w:sz w:val="24"/>
          <w:szCs w:val="24"/>
          <w:lang w:val="en-US" w:eastAsia="zh-CN"/>
        </w:rPr>
        <w:t>（需提供第三方机构出具的电气安全测试报告）</w:t>
      </w:r>
    </w:p>
    <w:p w14:paraId="578469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1.6抗菌储药格：采用抑菌材质和一体化成型工艺，药格的抗菌率≥99.99%。</w:t>
      </w:r>
    </w:p>
    <w:p w14:paraId="3234BB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1.7药品存储：支持带有原包装盒药品与拆零药品的同药格存储，药品整盒或者拆零取用时，药柜系统会自动区分是否带药品包装盒取出，并且能精准计数。</w:t>
      </w:r>
    </w:p>
    <w:p w14:paraId="2D54FE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1.8药格显示：每个储药格搭配电子≥3.0英寸显示屏，可显示药品名称、批号、生产厂家、效期等信息，显示屏集成触摸按钮指示灯，灯光颜色多种，指示准确、灵敏，显示指引响应时间≤0.5秒。</w:t>
      </w:r>
    </w:p>
    <w:p w14:paraId="758828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1.9感测计数：配备≥35个存储药格，每个药格均配备智能自动计数装置，感测计数方式为智能AI感测方式，非单一重力感应计数。</w:t>
      </w:r>
    </w:p>
    <w:p w14:paraId="04042A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1.10安全锁控：整柜安全防护具备B级保险柜安全防护要求。配置智能锁和机械锁双人双锁，具有分级授权管控。具有双人双锁连杆机械锁装置，配置应急锁装置，紧急状态下，可使用应急开关开门取药。</w:t>
      </w:r>
    </w:p>
    <w:p w14:paraId="710407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1.11安防报警：配置安防模块，连接安防系统。当设备被异常移动或暴力破坏时自动发出警报，并发送短信提醒保卫科人员或管理人员及时查看异常情况，符合《医疗机构麻醉药品、第一类精神药品管理规定》第二十三条。</w:t>
      </w:r>
    </w:p>
    <w:p w14:paraId="36D35D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1.12单柜多区管理：单台设备支持≥2个管理区域，配备双机械锁，双人双锁。</w:t>
      </w:r>
    </w:p>
    <w:p w14:paraId="1FAF08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1.13温、湿度监测：具有温度、湿度一体自动采集功能，柜体正立面配置有专用显示屏（非主控显示屏），实时监测显示柜内温度值、湿度值。温度采集误差值不超过±0.3℃，湿度误差值不超过±3%rh，通过软件可实时查看获取设备温、湿度信息。</w:t>
      </w:r>
      <w:r>
        <w:rPr>
          <w:rFonts w:hint="eastAsia" w:asciiTheme="minorEastAsia" w:hAnsiTheme="minorEastAsia" w:eastAsiaTheme="minorEastAsia" w:cstheme="minorEastAsia"/>
          <w:b/>
          <w:bCs/>
          <w:sz w:val="24"/>
          <w:szCs w:val="24"/>
          <w:lang w:val="en-US" w:eastAsia="zh-CN"/>
        </w:rPr>
        <w:t>（需提供智能麻精药品管理柜软件截图（需体现温湿度监控监测功能））</w:t>
      </w:r>
    </w:p>
    <w:p w14:paraId="7F84BB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1.14智能防错：当出现存取药品品种、数量与系统数据不符时，会通过柜内层板的电子标签标红、软件页面标红及语音提醒多种方式进行防错提醒。</w:t>
      </w:r>
    </w:p>
    <w:p w14:paraId="19E8F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1.15空瓶回收：根据科室需求定制化设计柜内空瓶回收存储单元，根据药品品种、规格进行分类回收。</w:t>
      </w:r>
    </w:p>
    <w:p w14:paraId="4ABFB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1.16紧急电源：配备紧急电源，具有自动稳压功能、超宽输入电压、超强浪涌保护能力，断电后可持续工作时间≥30分钟。</w:t>
      </w:r>
    </w:p>
    <w:p w14:paraId="303D04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1.17视频监控：配置360°全景高清视频监控装置并可以设置录像区域范围，支持24小时不间断动态监控，硬盘存储空间需≥8T监控视频存储时间180天以上，系统能够直接按照指定时间、取药记录等异常事件进行定点视频回放。</w:t>
      </w:r>
    </w:p>
    <w:p w14:paraId="5FFAA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▲1.18设备配备电子标签控制器，具备拓展功能，并能保证稳定性和安全性。</w:t>
      </w:r>
    </w:p>
    <w:p w14:paraId="47E0D5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品目2.智能麻精药品管理柜（2台）</w:t>
      </w:r>
    </w:p>
    <w:p w14:paraId="04575B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设备配置：柜体宽度≤800mm，深度≤550mm，高度≤2000mm，占地面积≤0.45m²，底部配备移动脚轮，具有位置固定装置，柜体采用高强度金属钢材质，柜体表面粉体涂料抑菌处理，把手表面铝合金阳极氧化处理，防锈、抗菌耐腐蚀。</w:t>
      </w:r>
    </w:p>
    <w:p w14:paraId="078B9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2.2操控终端：</w:t>
      </w:r>
    </w:p>
    <w:p w14:paraId="5B30D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2.2.1设备配置≥15.0英寸可触控显示屏的服务终端，对柜体储存麻精药品进行信息化和智能化管理。</w:t>
      </w:r>
    </w:p>
    <w:p w14:paraId="7E3395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▲2.2.2服务终端需通过电磁兼容性检测，使其满足GB/T 9254.1-2021《信息技术设备、多媒体设备和接收机 电磁兼容 第1部分：发射要求》中的B级或以上设备要求。</w:t>
      </w:r>
      <w:r>
        <w:rPr>
          <w:rFonts w:hint="eastAsia" w:asciiTheme="minorEastAsia" w:hAnsiTheme="minorEastAsia" w:eastAsiaTheme="minorEastAsia" w:cstheme="minorEastAsia"/>
          <w:b/>
          <w:bCs/>
          <w:sz w:val="24"/>
          <w:szCs w:val="24"/>
          <w:lang w:val="en-US" w:eastAsia="zh-CN"/>
        </w:rPr>
        <w:t>（需提供国家认可的第三方检测机构出具的服务终端的电磁兼容性检测报告，检测结果为B级或以上）</w:t>
      </w:r>
    </w:p>
    <w:p w14:paraId="43F3EE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2.3触控显示屏：分辨率≥1920*1080P，基础配置：内存≥4G，容量≥32G。</w:t>
      </w:r>
    </w:p>
    <w:p w14:paraId="6C48EF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2.4用户识别：支持戴口罩状态下的人脸识别、指纹识别、ID读写器、RSA密码等≥4种登录方式。</w:t>
      </w:r>
    </w:p>
    <w:p w14:paraId="374C06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▲2.5线路安全：电子标签连接线缆全部采用阻燃材料，性能达到B1级及以上，符合GB 8624-2012 B1级的规定要求。</w:t>
      </w:r>
      <w:r>
        <w:rPr>
          <w:rFonts w:hint="eastAsia" w:asciiTheme="minorEastAsia" w:hAnsiTheme="minorEastAsia" w:eastAsiaTheme="minorEastAsia" w:cstheme="minorEastAsia"/>
          <w:b/>
          <w:bCs/>
          <w:sz w:val="24"/>
          <w:szCs w:val="24"/>
          <w:lang w:val="en-US" w:eastAsia="zh-CN"/>
        </w:rPr>
        <w:t>（需提供第三方机构出具的电气安全测试报告。）</w:t>
      </w:r>
    </w:p>
    <w:p w14:paraId="7F8F9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2.6药品存储：配备≥5层大容量储药层，每层储药层配置≥3个电子显示屏。</w:t>
      </w:r>
    </w:p>
    <w:p w14:paraId="33602D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2.7药格显示：每个储药格搭配≥3.0英寸电子显示屏，可显示药品名称、批号、生产厂家、效期等信息，显示屏集成触摸按钮指示灯，灯光颜色多种，指示准确、灵敏，显示指引响应时间≤0.5秒。</w:t>
      </w:r>
    </w:p>
    <w:p w14:paraId="77B180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2.8安全锁控：整柜安全防护具备B级保险柜安全防护要求。配置智能锁和机械锁双人双锁，具有分级授权管控。具有双人双锁连杆机械锁装置，配置应急锁装置，在紧急状态下，可使用应急开关开门取药。</w:t>
      </w:r>
    </w:p>
    <w:p w14:paraId="703202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安防报警：配置安防模块，连接医院安防系统。当设备被异常移动或暴力破坏时自动发出警报，并发送短信提醒保卫科人员或管理人员及时查看异常情况，符合《医疗机构麻醉药品、第一类精神药品管理规定》第二十三条。</w:t>
      </w:r>
    </w:p>
    <w:p w14:paraId="31D400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2.10单柜多区管理：单台设备支持≥2个管理区域，均配备双机械锁，双人双锁。</w:t>
      </w:r>
    </w:p>
    <w:p w14:paraId="153150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2.11温、湿度监测：具有温度、湿度一体自动采集功能，柜体正立面配置有专用显示屏（非主控显示屏），可实时监测显示柜内温度值、湿度值。温度采集误差值不超过±0.3℃，湿度误差值不超过±3%rh，管理者通过软件可实时查看获取设备温、湿度信息。</w:t>
      </w:r>
    </w:p>
    <w:p w14:paraId="694344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2.12紧急电源：配备紧急电源，具有自动稳压功能、超宽输入电压、超强浪涌保护能力，断电后可持续工作时间≥30分钟。</w:t>
      </w:r>
    </w:p>
    <w:p w14:paraId="1084A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2.13视频监控：配置360°全景高清视频监控装置并可以设置录像区域范围，支持24小时不间断动态监控，硬盘存储空间需≥8T监控视频存储时间180天以上，系统能够直接按照指定时间、取药记录等异常事件进行定点视频回放。</w:t>
      </w:r>
    </w:p>
    <w:p w14:paraId="0E7B5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2.14设备拓展与数据安全：设备配备电子标签控制器，具备拓展功能，并能保证稳定性和安全性。</w:t>
      </w:r>
    </w:p>
    <w:p w14:paraId="674BC3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3.智能麻精药品管理系统软件</w:t>
      </w:r>
    </w:p>
    <w:p w14:paraId="23F76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3.1兼容性：衔接院内的SPD、HIS等医院信息系统具备多种接口方式，支持定制，并提供相应的接口升级服务。</w:t>
      </w:r>
    </w:p>
    <w:p w14:paraId="5522C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3.2一体化平台：所供设备一体化管理平台系统需通过信息安全三级保护认证并取得等级测评报告。</w:t>
      </w:r>
    </w:p>
    <w:p w14:paraId="38CF3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3.3数据补录上传：具有数据补录上传功能，当出现停电或断网，供电或网络恢复后，可以对停电/断网期间发生的取药数据进行补录，包括发出科室、患者、取药数量、取药人等信息。</w:t>
      </w:r>
    </w:p>
    <w:p w14:paraId="30331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药品管理报表：可定制各种特殊药品管理报表，包括专册、专账、交接班记录等，一键生成；且记录可在本地电脑长期保存，随时调阅。药品管理报表：可按要求定制各种特殊药品管理报表，包括专册、专账、交接班记录等，一键生成；且记录可在本地电脑长期保存，随时调阅。</w:t>
      </w:r>
    </w:p>
    <w:p w14:paraId="7DB87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3.5药品流水账：管理系统具有查询药品进销存等详细流水记录功能，确保药品全流程闭环管理。</w:t>
      </w:r>
    </w:p>
    <w:p w14:paraId="679D0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异常记录追踪：系统具有取药/补药操作监控功能，当实际取出、放入的药品数量与系统要求取出、放入的不一致时，系统立即报警提示并语音提醒：如强行取出，系统会自动记录操作人员，操作时间，取药/补药方式，需取/需补数量，实取药/补药数量等。</w:t>
      </w:r>
    </w:p>
    <w:p w14:paraId="47382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3.7医嘱监控和数据分析：可实时监控各个使用科室的医嘱情况，以及各种用药数据、用药占比等，可实现智能分析各时段内的药品消耗量、补药量情况，并通过图表进行展示。</w:t>
      </w:r>
    </w:p>
    <w:p w14:paraId="50002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3.8电子签名：平台适配“电子签名”功能，对应人员电子签名册上传至云平台，由云平台经过后期处理以电子签名形式展示。电子签名花名册：系统会收集电子签名，绑定对应权限人员，在进行取药、补药、盘点等操作系统时，会自动与该条记录绑定，将电子签名附在表格中。</w:t>
      </w:r>
    </w:p>
    <w:p w14:paraId="33F82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3.9批号管理：根据麻精药品的五专要求的专账登记，系统具有药品的多批号的取、用、还的信息查询功能。</w:t>
      </w:r>
    </w:p>
    <w:p w14:paraId="6DAFD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3.10交接班：通过登录系统进行可实现人员权限交接，账实核对一致，自动生成电子交接报表。 </w:t>
      </w:r>
    </w:p>
    <w:p w14:paraId="50AB9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3.11低库存与近效期预警：登录管理系统时，药品低库存时，通过图标提醒医护人员及时进行补药请领操作。具有对药品效期进行管理，自动提醒药品近效期或过期功能。</w:t>
      </w:r>
    </w:p>
    <w:p w14:paraId="7CC03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3.12报表查询及统计：通过管理系统，可查询医护人员的取药，补药操作明细数据，可对取药，补药的数据进行分层统计，可查询全院药品库存数据信息等，支持数据导出。</w:t>
      </w:r>
    </w:p>
    <w:p w14:paraId="6E582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3.13补药申请：依据用药消耗以及药品高、低库存数量设置，向上级库生成相应的补药申请单，支持对补药申请单进行审核。</w:t>
      </w:r>
    </w:p>
    <w:p w14:paraId="10BCF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3.14空瓶回收记录：管理系统具有对麻醉药品和精神一类药品的空瓶登记记录，生成空瓶回收记录表。</w:t>
      </w:r>
    </w:p>
    <w:p w14:paraId="0254B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3.15药品数字化管理：具有记录取药数量、药品批次等功能，并能够自定义报表，生成电子表单（可保存五年以上，根据权限，随用随查）。</w:t>
      </w:r>
    </w:p>
    <w:p w14:paraId="5B1CC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3.16医嘱/处方取药：根据患者医嘱进行医嘱/处方执行操作，用药结果绑定患者，自动生成医嘱执行记录。</w:t>
      </w:r>
    </w:p>
    <w:p w14:paraId="412B58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3.17系统设置和药品设置：可根据人员身份设置对应的用户权限、科室权限、维护药品管理规则等；设置药品基本信息，包括设置高、低库存、发药规则、药品状态，管制方式，增加药品品种等各种操作。</w:t>
      </w:r>
    </w:p>
    <w:p w14:paraId="2E8A2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3.18远程授权管理：通过智能药品管理云平台，管理员可远程人脸识别授权取药人员进行操作及远程电子签名。</w:t>
      </w:r>
    </w:p>
    <w:p w14:paraId="7D2D31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3.19药品位置调整：支持根据用药情况，将药品在柜内药格中放置的位置进行灵活调整，可依据系统动态分配空闲的药格位置进行放置。</w:t>
      </w:r>
    </w:p>
    <w:p w14:paraId="26590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3.20双人身份鉴权管理：支持双人身份鉴权管理，满足麻精药品五专管理，需要双重身份验证通过且有相应权限才能开启柜门，针对不同种类的药品可进行分级授权管控。</w:t>
      </w:r>
    </w:p>
    <w:p w14:paraId="391E2FEF">
      <w:pPr>
        <w:bidi w:val="0"/>
        <w:rPr>
          <w:rFonts w:hint="eastAsia"/>
          <w:lang w:val="en-US" w:eastAsia="zh-CN"/>
        </w:rPr>
      </w:pPr>
    </w:p>
    <w:p w14:paraId="20DEEE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标的3：拆药机</w:t>
      </w:r>
      <w:r>
        <w:rPr>
          <w:rFonts w:hint="eastAsia" w:ascii="宋体" w:hAnsi="宋体" w:cs="宋体"/>
          <w:b/>
          <w:bCs/>
          <w:sz w:val="24"/>
          <w:szCs w:val="24"/>
          <w:lang w:val="en-US" w:eastAsia="zh-CN"/>
        </w:rPr>
        <w:t>（2台）</w:t>
      </w:r>
    </w:p>
    <w:p w14:paraId="061F46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1.剥药平均速度：≥30-40板/分</w:t>
      </w:r>
    </w:p>
    <w:p w14:paraId="4A3286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2.挤压式剥药</w:t>
      </w:r>
    </w:p>
    <w:p w14:paraId="1BB215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3.额定转速≥30r/min</w:t>
      </w:r>
    </w:p>
    <w:p w14:paraId="305CAE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▲4.具有多种规格PTP板药物的剥药处理，包括对角线类型及密集分布类型</w:t>
      </w:r>
    </w:p>
    <w:p w14:paraId="34BD8B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5.可移动，总重量≤8KG</w:t>
      </w:r>
    </w:p>
    <w:p w14:paraId="79ED2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6.工作电压：交流220V 50/60Hz</w:t>
      </w:r>
    </w:p>
    <w:p w14:paraId="61853548">
      <w:pPr>
        <w:spacing w:line="360" w:lineRule="auto"/>
        <w:ind w:firstLine="480" w:firstLineChars="200"/>
        <w:jc w:val="left"/>
        <w:rPr>
          <w:rFonts w:hint="eastAsia" w:ascii="宋体" w:hAnsi="宋体" w:eastAsia="宋体" w:cs="宋体"/>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7.直流电压：直流24V</w:t>
      </w:r>
    </w:p>
    <w:p w14:paraId="79F0CF4F">
      <w:pPr>
        <w:ind w:firstLine="0" w:firstLineChars="0"/>
        <w:rPr>
          <w:rFonts w:hint="eastAsia" w:ascii="宋体" w:hAnsi="宋体" w:eastAsia="宋体" w:cs="宋体"/>
          <w:b/>
          <w:bCs/>
          <w:sz w:val="24"/>
          <w:szCs w:val="24"/>
          <w:lang w:val="en-US" w:eastAsia="zh-CN"/>
        </w:rPr>
      </w:pPr>
    </w:p>
    <w:p w14:paraId="289DDE4A">
      <w:pPr>
        <w:widowControl/>
        <w:numPr>
          <w:ilvl w:val="0"/>
          <w:numId w:val="2"/>
        </w:numPr>
        <w:spacing w:line="360" w:lineRule="auto"/>
        <w:ind w:firstLine="480" w:firstLineChars="200"/>
        <w:contextualSpacing/>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特别说明：</w:t>
      </w:r>
    </w:p>
    <w:p w14:paraId="6BCDE31A">
      <w:pPr>
        <w:spacing w:line="360" w:lineRule="auto"/>
        <w:ind w:firstLine="480" w:firstLineChars="200"/>
        <w:jc w:val="left"/>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标注“</w:t>
      </w:r>
      <w:r>
        <w:rPr>
          <w:rFonts w:hint="eastAsia" w:ascii="宋体" w:hAnsi="宋体" w:cs="宋体"/>
          <w:bCs/>
          <w:kern w:val="0"/>
          <w:sz w:val="24"/>
          <w:highlight w:val="none"/>
        </w:rPr>
        <w:t>▲</w:t>
      </w:r>
      <w:r>
        <w:rPr>
          <w:rFonts w:hint="eastAsia" w:ascii="宋体" w:hAnsi="宋体"/>
          <w:sz w:val="24"/>
          <w:highlight w:val="none"/>
        </w:rPr>
        <w:t>”的指标为重要的技术指标，不满足将导致其在第四章评标标准中对采购需求的响应情况被扣除相应分值。</w:t>
      </w:r>
    </w:p>
    <w:p w14:paraId="2B9B0DB0">
      <w:r>
        <w:rPr>
          <w:rFonts w:hint="eastAsia" w:ascii="宋体" w:hAnsi="宋体"/>
          <w:sz w:val="24"/>
          <w:highlight w:val="none"/>
          <w:lang w:val="en-US" w:eastAsia="zh-CN"/>
        </w:rPr>
        <w:t>2.</w:t>
      </w:r>
      <w:r>
        <w:rPr>
          <w:rFonts w:hint="eastAsia" w:ascii="宋体" w:hAnsi="宋体"/>
          <w:sz w:val="24"/>
          <w:highlight w:val="none"/>
        </w:rPr>
        <w:t>对于技术规格中标注“</w:t>
      </w:r>
      <w:r>
        <w:rPr>
          <w:rFonts w:hint="eastAsia" w:ascii="宋体" w:hAnsi="宋体" w:cs="宋体"/>
          <w:bCs/>
          <w:kern w:val="0"/>
          <w:sz w:val="24"/>
          <w:highlight w:val="none"/>
        </w:rPr>
        <w:t>▲</w:t>
      </w:r>
      <w:r>
        <w:rPr>
          <w:rFonts w:hint="eastAsia" w:ascii="宋体" w:hAnsi="宋体"/>
          <w:sz w:val="24"/>
          <w:highlight w:val="none"/>
        </w:rPr>
        <w:t>”号的技术指标，投标人须在投标文件中按照招标文件技术规格的要求提供技术应答的证明材料，其中证明材料</w:t>
      </w:r>
      <w:r>
        <w:rPr>
          <w:rFonts w:hint="eastAsia" w:ascii="宋体" w:hAnsi="宋体"/>
          <w:sz w:val="24"/>
          <w:highlight w:val="none"/>
          <w:lang w:val="en-US" w:eastAsia="zh-CN"/>
        </w:rPr>
        <w:t>除</w:t>
      </w:r>
      <w:r>
        <w:rPr>
          <w:rFonts w:hint="eastAsia" w:ascii="宋体" w:hAnsi="宋体"/>
          <w:sz w:val="24"/>
          <w:highlight w:val="none"/>
        </w:rPr>
        <w:t>招标文件</w:t>
      </w:r>
      <w:r>
        <w:rPr>
          <w:rFonts w:hint="eastAsia" w:ascii="宋体" w:hAnsi="宋体"/>
          <w:sz w:val="24"/>
          <w:highlight w:val="none"/>
          <w:lang w:val="en-US" w:eastAsia="zh-CN"/>
        </w:rPr>
        <w:t>中有</w:t>
      </w:r>
      <w:r>
        <w:rPr>
          <w:rFonts w:hint="eastAsia" w:ascii="宋体" w:hAnsi="宋体"/>
          <w:sz w:val="24"/>
          <w:highlight w:val="none"/>
        </w:rPr>
        <w:t>明确规定的证明</w:t>
      </w:r>
      <w:r>
        <w:rPr>
          <w:rFonts w:hint="eastAsia" w:ascii="宋体" w:hAnsi="宋体"/>
          <w:sz w:val="24"/>
          <w:highlight w:val="none"/>
          <w:lang w:val="en-US" w:eastAsia="zh-CN"/>
        </w:rPr>
        <w:t>材</w:t>
      </w:r>
      <w:r>
        <w:rPr>
          <w:rFonts w:hint="eastAsia" w:ascii="宋体" w:hAnsi="宋体"/>
          <w:sz w:val="24"/>
          <w:highlight w:val="none"/>
        </w:rPr>
        <w:t>料</w:t>
      </w:r>
      <w:r>
        <w:rPr>
          <w:rFonts w:hint="eastAsia" w:ascii="宋体" w:hAnsi="宋体"/>
          <w:sz w:val="24"/>
          <w:highlight w:val="none"/>
          <w:lang w:val="en-US" w:eastAsia="zh-CN"/>
        </w:rPr>
        <w:t>外，其余</w:t>
      </w:r>
      <w:r>
        <w:rPr>
          <w:rFonts w:hint="eastAsia" w:ascii="宋体" w:hAnsi="宋体"/>
          <w:sz w:val="24"/>
          <w:highlight w:val="none"/>
        </w:rPr>
        <w:t>“▲”号的技术指标</w:t>
      </w:r>
      <w:r>
        <w:rPr>
          <w:rFonts w:hint="eastAsia" w:ascii="宋体" w:hAnsi="宋体"/>
          <w:sz w:val="24"/>
          <w:highlight w:val="none"/>
          <w:lang w:val="en-US" w:eastAsia="zh-CN"/>
        </w:rPr>
        <w:t>需提供</w:t>
      </w:r>
      <w:r>
        <w:rPr>
          <w:rFonts w:hint="eastAsia" w:ascii="宋体" w:hAnsi="宋体"/>
          <w:sz w:val="24"/>
          <w:highlight w:val="none"/>
        </w:rPr>
        <w:t>产品说明书或产品彩页或检测机构出具的检验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4862A0"/>
    <w:multiLevelType w:val="singleLevel"/>
    <w:tmpl w:val="794862A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B3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styleId="5">
    <w:name w:val="Body Text 2"/>
    <w:basedOn w:val="1"/>
    <w:semiHidden/>
    <w:unhideWhenUsed/>
    <w:qFormat/>
    <w:uiPriority w:val="99"/>
    <w:pPr>
      <w:spacing w:after="120" w:line="480" w:lineRule="auto"/>
    </w:pPr>
  </w:style>
  <w:style w:type="paragraph" w:customStyle="1" w:styleId="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2025-10-31T05:51:02Z</dcterms:created>
  <dc:creator>June</dc:creator>
  <cp:lastModifiedBy>周连妹</cp:lastModifiedBy>
  <dcterms:modified xsi:type="dcterms:W3CDTF">2025-10-31T05:58:10Z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A6D8460BD38946B48DED394C4DB57AB1_12</vt:lpwstr>
  </property>
</Properties>
</file>