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19207">
      <w:pPr>
        <w:spacing w:line="360" w:lineRule="auto"/>
        <w:jc w:val="center"/>
        <w:outlineLvl w:val="0"/>
        <w:rPr>
          <w:sz w:val="32"/>
          <w:szCs w:val="32"/>
        </w:rPr>
      </w:pPr>
      <w:r>
        <w:rPr>
          <w:rFonts w:hint="eastAsia" w:ascii="宋体" w:hAnsi="宋体" w:eastAsia="宋体" w:cs="宋体"/>
          <w:b/>
          <w:sz w:val="28"/>
          <w:szCs w:val="28"/>
          <w:lang w:eastAsia="zh-CN"/>
        </w:rPr>
        <w:t>2501-110105-04-03-951879北京联合大学2025年人工智能与生命健康重点学科专业建设设备更新项目教学仪器采购项目（</w:t>
      </w:r>
      <w:r>
        <w:rPr>
          <w:rFonts w:hint="eastAsia" w:ascii="宋体" w:hAnsi="宋体" w:eastAsia="宋体" w:cs="宋体"/>
          <w:b/>
          <w:sz w:val="28"/>
          <w:szCs w:val="28"/>
          <w:lang w:val="en-US" w:eastAsia="zh-CN"/>
        </w:rPr>
        <w:t>第4包</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公开招标公告（二次）</w:t>
      </w:r>
    </w:p>
    <w:p w14:paraId="316C63D7">
      <w:pPr>
        <w:pStyle w:val="2"/>
        <w:spacing w:before="0" w:line="360" w:lineRule="auto"/>
        <w:jc w:val="left"/>
        <w:rPr>
          <w:rFonts w:ascii="Times New Roman" w:hAnsi="Times New Roman" w:eastAsia="宋体"/>
          <w:sz w:val="21"/>
          <w:szCs w:val="21"/>
        </w:rPr>
      </w:pPr>
      <w:bookmarkStart w:id="0" w:name="_Toc20848"/>
      <w:bookmarkStart w:id="1" w:name="_Toc28359002"/>
      <w:bookmarkStart w:id="2" w:name="_Toc28359079"/>
      <w:bookmarkStart w:id="3" w:name="_Toc35393790"/>
      <w:bookmarkStart w:id="4" w:name="_Toc35393621"/>
      <w:bookmarkStart w:id="5" w:name="_Hlk24379207"/>
      <w:r>
        <w:rPr>
          <w:rFonts w:ascii="Times New Roman" w:hAnsi="Times New Roman" w:eastAsia="宋体"/>
          <w:sz w:val="21"/>
          <w:szCs w:val="21"/>
        </w:rPr>
        <w:t>一、项目基本情况</w:t>
      </w:r>
      <w:bookmarkEnd w:id="0"/>
      <w:bookmarkEnd w:id="1"/>
      <w:bookmarkEnd w:id="2"/>
      <w:bookmarkEnd w:id="3"/>
      <w:bookmarkEnd w:id="4"/>
    </w:p>
    <w:p w14:paraId="076D6254">
      <w:pPr>
        <w:spacing w:line="360" w:lineRule="auto"/>
        <w:ind w:firstLine="420" w:firstLineChars="200"/>
        <w:rPr>
          <w:szCs w:val="21"/>
          <w:highlight w:val="none"/>
        </w:rPr>
      </w:pPr>
      <w:r>
        <w:rPr>
          <w:rFonts w:hint="eastAsia"/>
          <w:szCs w:val="21"/>
          <w:highlight w:val="none"/>
        </w:rPr>
        <w:t>1.北京市政府采购管理系统招标编号/包号：11000025210200148240-XM001</w:t>
      </w:r>
    </w:p>
    <w:p w14:paraId="3F046705">
      <w:pPr>
        <w:spacing w:line="360" w:lineRule="auto"/>
        <w:ind w:firstLine="420" w:firstLineChars="200"/>
        <w:rPr>
          <w:rFonts w:hint="eastAsia" w:eastAsia="宋体"/>
          <w:szCs w:val="21"/>
          <w:lang w:eastAsia="zh-CN"/>
        </w:rPr>
      </w:pPr>
      <w:r>
        <w:rPr>
          <w:szCs w:val="21"/>
        </w:rPr>
        <w:t>2.项目名称：</w:t>
      </w:r>
      <w:bookmarkEnd w:id="5"/>
      <w:r>
        <w:rPr>
          <w:rFonts w:hint="eastAsia"/>
          <w:szCs w:val="21"/>
          <w:lang w:eastAsia="zh-CN"/>
        </w:rPr>
        <w:t>2501-110105-04-03-951879北京联合大学2025年人工智能与生命健康重点学科专业建设设备更新项目教学仪器采购项目</w:t>
      </w:r>
    </w:p>
    <w:p w14:paraId="49AF9C29">
      <w:pPr>
        <w:spacing w:line="360" w:lineRule="auto"/>
        <w:ind w:firstLine="420" w:firstLineChars="200"/>
        <w:rPr>
          <w:szCs w:val="21"/>
        </w:rPr>
      </w:pPr>
      <w:r>
        <w:rPr>
          <w:szCs w:val="21"/>
        </w:rPr>
        <w:t>3.项目预算金额：</w:t>
      </w:r>
      <w:r>
        <w:rPr>
          <w:rFonts w:hint="eastAsia"/>
          <w:szCs w:val="21"/>
        </w:rPr>
        <w:t>1727.3万元</w:t>
      </w:r>
    </w:p>
    <w:p w14:paraId="0D3B0AC0">
      <w:pPr>
        <w:spacing w:line="360" w:lineRule="auto"/>
        <w:ind w:firstLine="420" w:firstLineChars="200"/>
        <w:rPr>
          <w:szCs w:val="21"/>
        </w:rPr>
      </w:pPr>
      <w:r>
        <w:rPr>
          <w:rFonts w:hint="eastAsia"/>
          <w:szCs w:val="21"/>
        </w:rPr>
        <w:t>4.采购需求：</w:t>
      </w:r>
    </w:p>
    <w:p w14:paraId="13E792B9">
      <w:pPr>
        <w:spacing w:line="360" w:lineRule="auto"/>
        <w:ind w:firstLine="840" w:firstLineChars="400"/>
        <w:rPr>
          <w:szCs w:val="21"/>
        </w:rPr>
      </w:pPr>
      <w:r>
        <w:rPr>
          <w:rFonts w:hint="eastAsia"/>
          <w:szCs w:val="21"/>
        </w:rPr>
        <w:t>包号：04包</w:t>
      </w:r>
    </w:p>
    <w:p w14:paraId="084FB052">
      <w:pPr>
        <w:spacing w:line="360" w:lineRule="auto"/>
        <w:ind w:firstLine="840" w:firstLineChars="400"/>
        <w:rPr>
          <w:szCs w:val="21"/>
        </w:rPr>
      </w:pPr>
      <w:r>
        <w:rPr>
          <w:rFonts w:hint="eastAsia"/>
          <w:szCs w:val="21"/>
        </w:rPr>
        <w:t>分包预算：186.2万元</w:t>
      </w:r>
    </w:p>
    <w:tbl>
      <w:tblPr>
        <w:tblStyle w:val="4"/>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546"/>
        <w:gridCol w:w="3214"/>
        <w:gridCol w:w="1683"/>
        <w:gridCol w:w="1978"/>
      </w:tblGrid>
      <w:tr w14:paraId="0F3C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6" w:type="dxa"/>
            <w:shd w:val="clear" w:color="auto" w:fill="auto"/>
            <w:vAlign w:val="center"/>
          </w:tcPr>
          <w:p w14:paraId="48E79689">
            <w:pPr>
              <w:widowControl/>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546" w:type="dxa"/>
            <w:shd w:val="clear" w:color="auto" w:fill="auto"/>
            <w:vAlign w:val="center"/>
          </w:tcPr>
          <w:p w14:paraId="56AEE466">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采购品目</w:t>
            </w:r>
          </w:p>
        </w:tc>
        <w:tc>
          <w:tcPr>
            <w:tcW w:w="3214" w:type="dxa"/>
            <w:shd w:val="clear" w:color="auto" w:fill="auto"/>
            <w:vAlign w:val="center"/>
          </w:tcPr>
          <w:p w14:paraId="393367A8">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采购品目明细</w:t>
            </w:r>
          </w:p>
        </w:tc>
        <w:tc>
          <w:tcPr>
            <w:tcW w:w="1683" w:type="dxa"/>
            <w:shd w:val="clear" w:color="auto" w:fill="auto"/>
            <w:vAlign w:val="center"/>
          </w:tcPr>
          <w:p w14:paraId="4C4F14A4">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采购数量</w:t>
            </w:r>
          </w:p>
        </w:tc>
        <w:tc>
          <w:tcPr>
            <w:tcW w:w="1978" w:type="dxa"/>
            <w:shd w:val="clear" w:color="auto" w:fill="auto"/>
            <w:vAlign w:val="center"/>
          </w:tcPr>
          <w:p w14:paraId="52B1817C">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是否接受进口产品</w:t>
            </w:r>
          </w:p>
        </w:tc>
      </w:tr>
      <w:tr w14:paraId="4E46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16" w:type="dxa"/>
            <w:shd w:val="clear" w:color="auto" w:fill="auto"/>
            <w:vAlign w:val="center"/>
          </w:tcPr>
          <w:p w14:paraId="4CC05BD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546" w:type="dxa"/>
            <w:vMerge w:val="restart"/>
            <w:shd w:val="clear" w:color="auto" w:fill="auto"/>
            <w:vAlign w:val="center"/>
          </w:tcPr>
          <w:p w14:paraId="4A81CB65">
            <w:pPr>
              <w:widowControl/>
              <w:jc w:val="center"/>
              <w:textAlignment w:val="center"/>
              <w:rPr>
                <w:rFonts w:hint="eastAsia" w:ascii="宋体" w:hAnsi="宋体" w:eastAsia="宋体" w:cs="宋体"/>
                <w:b/>
                <w:sz w:val="21"/>
                <w:szCs w:val="21"/>
              </w:rPr>
            </w:pPr>
            <w:r>
              <w:rPr>
                <w:rFonts w:hint="eastAsia" w:ascii="宋体" w:hAnsi="宋体" w:eastAsia="宋体" w:cs="宋体"/>
                <w:color w:val="000000"/>
                <w:kern w:val="0"/>
                <w:sz w:val="21"/>
                <w:szCs w:val="21"/>
                <w:lang w:bidi="ar"/>
              </w:rPr>
              <w:t>智能仓储输送系统</w:t>
            </w:r>
          </w:p>
        </w:tc>
        <w:tc>
          <w:tcPr>
            <w:tcW w:w="3214" w:type="dxa"/>
            <w:shd w:val="clear" w:color="auto" w:fill="auto"/>
            <w:vAlign w:val="center"/>
          </w:tcPr>
          <w:p w14:paraId="43E66C9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智能分拣机器人</w:t>
            </w:r>
          </w:p>
        </w:tc>
        <w:tc>
          <w:tcPr>
            <w:tcW w:w="1683" w:type="dxa"/>
            <w:shd w:val="clear" w:color="auto" w:fill="auto"/>
            <w:vAlign w:val="center"/>
          </w:tcPr>
          <w:p w14:paraId="67D8F33C">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6</w:t>
            </w:r>
            <w:r>
              <w:rPr>
                <w:rFonts w:hint="eastAsia" w:ascii="宋体" w:hAnsi="宋体" w:eastAsia="宋体" w:cs="宋体"/>
                <w:sz w:val="21"/>
                <w:szCs w:val="21"/>
              </w:rPr>
              <w:t>台</w:t>
            </w:r>
          </w:p>
        </w:tc>
        <w:tc>
          <w:tcPr>
            <w:tcW w:w="1978" w:type="dxa"/>
            <w:shd w:val="clear" w:color="auto" w:fill="auto"/>
            <w:vAlign w:val="center"/>
          </w:tcPr>
          <w:p w14:paraId="5766A9C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否</w:t>
            </w:r>
          </w:p>
        </w:tc>
      </w:tr>
      <w:tr w14:paraId="69B2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16" w:type="dxa"/>
            <w:shd w:val="clear" w:color="auto" w:fill="auto"/>
            <w:vAlign w:val="center"/>
          </w:tcPr>
          <w:p w14:paraId="1306D1F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546" w:type="dxa"/>
            <w:vMerge w:val="continue"/>
            <w:shd w:val="clear" w:color="auto" w:fill="auto"/>
            <w:vAlign w:val="center"/>
          </w:tcPr>
          <w:p w14:paraId="64DB3069">
            <w:pPr>
              <w:widowControl/>
              <w:jc w:val="center"/>
              <w:textAlignment w:val="center"/>
              <w:rPr>
                <w:rFonts w:hint="eastAsia" w:ascii="宋体" w:hAnsi="宋体" w:eastAsia="宋体" w:cs="宋体"/>
                <w:b/>
                <w:sz w:val="21"/>
                <w:szCs w:val="21"/>
              </w:rPr>
            </w:pPr>
          </w:p>
        </w:tc>
        <w:tc>
          <w:tcPr>
            <w:tcW w:w="3214" w:type="dxa"/>
            <w:shd w:val="clear" w:color="auto" w:fill="auto"/>
            <w:vAlign w:val="center"/>
          </w:tcPr>
          <w:p w14:paraId="4556C718">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智能料箱机器人</w:t>
            </w:r>
          </w:p>
        </w:tc>
        <w:tc>
          <w:tcPr>
            <w:tcW w:w="1683" w:type="dxa"/>
            <w:shd w:val="clear" w:color="auto" w:fill="auto"/>
            <w:vAlign w:val="center"/>
          </w:tcPr>
          <w:p w14:paraId="3E289CF7">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w:t>
            </w:r>
            <w:r>
              <w:rPr>
                <w:rFonts w:hint="eastAsia" w:ascii="宋体" w:hAnsi="宋体" w:eastAsia="宋体" w:cs="宋体"/>
                <w:sz w:val="21"/>
                <w:szCs w:val="21"/>
              </w:rPr>
              <w:t>台</w:t>
            </w:r>
          </w:p>
        </w:tc>
        <w:tc>
          <w:tcPr>
            <w:tcW w:w="1978" w:type="dxa"/>
            <w:shd w:val="clear" w:color="auto" w:fill="auto"/>
            <w:vAlign w:val="center"/>
          </w:tcPr>
          <w:p w14:paraId="2767DD1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否</w:t>
            </w:r>
          </w:p>
        </w:tc>
      </w:tr>
      <w:tr w14:paraId="0284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6" w:type="dxa"/>
            <w:shd w:val="clear" w:color="auto" w:fill="auto"/>
            <w:vAlign w:val="center"/>
          </w:tcPr>
          <w:p w14:paraId="530C619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546" w:type="dxa"/>
            <w:vMerge w:val="continue"/>
            <w:shd w:val="clear" w:color="auto" w:fill="auto"/>
            <w:vAlign w:val="center"/>
          </w:tcPr>
          <w:p w14:paraId="4DE1331A">
            <w:pPr>
              <w:widowControl/>
              <w:jc w:val="center"/>
              <w:textAlignment w:val="center"/>
              <w:rPr>
                <w:rFonts w:hint="eastAsia" w:ascii="宋体" w:hAnsi="宋体" w:eastAsia="宋体" w:cs="宋体"/>
                <w:b/>
                <w:sz w:val="21"/>
                <w:szCs w:val="21"/>
              </w:rPr>
            </w:pPr>
          </w:p>
        </w:tc>
        <w:tc>
          <w:tcPr>
            <w:tcW w:w="3214" w:type="dxa"/>
            <w:shd w:val="clear" w:color="auto" w:fill="auto"/>
            <w:vAlign w:val="center"/>
          </w:tcPr>
          <w:p w14:paraId="76001FA3">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充电机</w:t>
            </w:r>
          </w:p>
        </w:tc>
        <w:tc>
          <w:tcPr>
            <w:tcW w:w="1683" w:type="dxa"/>
            <w:shd w:val="clear" w:color="auto" w:fill="auto"/>
            <w:vAlign w:val="center"/>
          </w:tcPr>
          <w:p w14:paraId="68335813">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w:t>
            </w:r>
            <w:r>
              <w:rPr>
                <w:rFonts w:hint="eastAsia" w:ascii="宋体" w:hAnsi="宋体" w:eastAsia="宋体" w:cs="宋体"/>
                <w:sz w:val="21"/>
                <w:szCs w:val="21"/>
              </w:rPr>
              <w:t>台</w:t>
            </w:r>
          </w:p>
        </w:tc>
        <w:tc>
          <w:tcPr>
            <w:tcW w:w="1978" w:type="dxa"/>
            <w:shd w:val="clear" w:color="auto" w:fill="auto"/>
            <w:vAlign w:val="center"/>
          </w:tcPr>
          <w:p w14:paraId="6D63BCC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否</w:t>
            </w:r>
          </w:p>
        </w:tc>
      </w:tr>
      <w:tr w14:paraId="5569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16" w:type="dxa"/>
            <w:shd w:val="clear" w:color="auto" w:fill="auto"/>
            <w:vAlign w:val="center"/>
          </w:tcPr>
          <w:p w14:paraId="06C5762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546" w:type="dxa"/>
            <w:vMerge w:val="continue"/>
            <w:shd w:val="clear" w:color="auto" w:fill="auto"/>
            <w:vAlign w:val="center"/>
          </w:tcPr>
          <w:p w14:paraId="3AB772E8">
            <w:pPr>
              <w:widowControl/>
              <w:jc w:val="center"/>
              <w:textAlignment w:val="center"/>
              <w:rPr>
                <w:rFonts w:hint="eastAsia" w:ascii="宋体" w:hAnsi="宋体" w:eastAsia="宋体" w:cs="宋体"/>
                <w:b/>
                <w:sz w:val="21"/>
                <w:szCs w:val="21"/>
              </w:rPr>
            </w:pPr>
          </w:p>
        </w:tc>
        <w:tc>
          <w:tcPr>
            <w:tcW w:w="3214" w:type="dxa"/>
            <w:shd w:val="clear" w:color="auto" w:fill="auto"/>
            <w:vAlign w:val="center"/>
          </w:tcPr>
          <w:p w14:paraId="51E18FCA">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可移动式多功能机器人</w:t>
            </w:r>
          </w:p>
        </w:tc>
        <w:tc>
          <w:tcPr>
            <w:tcW w:w="1683" w:type="dxa"/>
            <w:shd w:val="clear" w:color="auto" w:fill="auto"/>
            <w:vAlign w:val="center"/>
          </w:tcPr>
          <w:p w14:paraId="5848B8DE">
            <w:pPr>
              <w:widowControl/>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w:t>
            </w:r>
            <w:r>
              <w:rPr>
                <w:rFonts w:hint="eastAsia" w:ascii="宋体" w:hAnsi="宋体" w:eastAsia="宋体" w:cs="宋体"/>
                <w:sz w:val="21"/>
                <w:szCs w:val="21"/>
              </w:rPr>
              <w:t>台</w:t>
            </w:r>
          </w:p>
        </w:tc>
        <w:tc>
          <w:tcPr>
            <w:tcW w:w="1978" w:type="dxa"/>
            <w:shd w:val="clear" w:color="auto" w:fill="auto"/>
            <w:vAlign w:val="center"/>
          </w:tcPr>
          <w:p w14:paraId="1B3A735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否</w:t>
            </w:r>
          </w:p>
        </w:tc>
      </w:tr>
      <w:tr w14:paraId="7D82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16" w:type="dxa"/>
            <w:shd w:val="clear" w:color="auto" w:fill="auto"/>
            <w:vAlign w:val="center"/>
          </w:tcPr>
          <w:p w14:paraId="0544034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546" w:type="dxa"/>
            <w:vMerge w:val="continue"/>
            <w:shd w:val="clear" w:color="auto" w:fill="auto"/>
            <w:vAlign w:val="center"/>
          </w:tcPr>
          <w:p w14:paraId="2C9DF3E2">
            <w:pPr>
              <w:widowControl/>
              <w:jc w:val="center"/>
              <w:textAlignment w:val="center"/>
              <w:rPr>
                <w:rFonts w:hint="eastAsia" w:ascii="宋体" w:hAnsi="宋体" w:eastAsia="宋体" w:cs="宋体"/>
                <w:b/>
                <w:sz w:val="21"/>
                <w:szCs w:val="21"/>
              </w:rPr>
            </w:pPr>
          </w:p>
        </w:tc>
        <w:tc>
          <w:tcPr>
            <w:tcW w:w="3214" w:type="dxa"/>
            <w:shd w:val="clear" w:color="auto" w:fill="auto"/>
            <w:vAlign w:val="center"/>
          </w:tcPr>
          <w:p w14:paraId="125181C4">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接口系统</w:t>
            </w:r>
          </w:p>
        </w:tc>
        <w:tc>
          <w:tcPr>
            <w:tcW w:w="1683" w:type="dxa"/>
            <w:shd w:val="clear" w:color="auto" w:fill="auto"/>
            <w:vAlign w:val="center"/>
          </w:tcPr>
          <w:p w14:paraId="321FC1A9">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sz w:val="21"/>
                <w:szCs w:val="21"/>
              </w:rPr>
              <w:t>套</w:t>
            </w:r>
          </w:p>
        </w:tc>
        <w:tc>
          <w:tcPr>
            <w:tcW w:w="1978" w:type="dxa"/>
            <w:shd w:val="clear" w:color="auto" w:fill="auto"/>
            <w:vAlign w:val="center"/>
          </w:tcPr>
          <w:p w14:paraId="13329A7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否</w:t>
            </w:r>
          </w:p>
        </w:tc>
      </w:tr>
      <w:tr w14:paraId="7EF8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16" w:type="dxa"/>
            <w:shd w:val="clear" w:color="auto" w:fill="auto"/>
            <w:vAlign w:val="center"/>
          </w:tcPr>
          <w:p w14:paraId="3F985EC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546" w:type="dxa"/>
            <w:vMerge w:val="continue"/>
            <w:shd w:val="clear" w:color="auto" w:fill="auto"/>
            <w:vAlign w:val="center"/>
          </w:tcPr>
          <w:p w14:paraId="265FC7BB">
            <w:pPr>
              <w:widowControl/>
              <w:jc w:val="center"/>
              <w:textAlignment w:val="center"/>
              <w:rPr>
                <w:rFonts w:hint="eastAsia" w:ascii="宋体" w:hAnsi="宋体" w:eastAsia="宋体" w:cs="宋体"/>
                <w:b/>
                <w:sz w:val="21"/>
                <w:szCs w:val="21"/>
              </w:rPr>
            </w:pPr>
          </w:p>
        </w:tc>
        <w:tc>
          <w:tcPr>
            <w:tcW w:w="3214" w:type="dxa"/>
            <w:shd w:val="clear" w:color="auto" w:fill="auto"/>
            <w:vAlign w:val="center"/>
          </w:tcPr>
          <w:p w14:paraId="704F56EF">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实验管理系统</w:t>
            </w:r>
          </w:p>
        </w:tc>
        <w:tc>
          <w:tcPr>
            <w:tcW w:w="1683" w:type="dxa"/>
            <w:shd w:val="clear" w:color="auto" w:fill="auto"/>
            <w:vAlign w:val="center"/>
          </w:tcPr>
          <w:p w14:paraId="22906F7D">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sz w:val="21"/>
                <w:szCs w:val="21"/>
              </w:rPr>
              <w:t>套</w:t>
            </w:r>
          </w:p>
        </w:tc>
        <w:tc>
          <w:tcPr>
            <w:tcW w:w="1978" w:type="dxa"/>
            <w:shd w:val="clear" w:color="auto" w:fill="auto"/>
            <w:vAlign w:val="center"/>
          </w:tcPr>
          <w:p w14:paraId="6A82FD0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否</w:t>
            </w:r>
          </w:p>
        </w:tc>
      </w:tr>
      <w:tr w14:paraId="7E87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16" w:type="dxa"/>
            <w:shd w:val="clear" w:color="auto" w:fill="auto"/>
            <w:vAlign w:val="center"/>
          </w:tcPr>
          <w:p w14:paraId="2025B7E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546" w:type="dxa"/>
            <w:vMerge w:val="restart"/>
            <w:shd w:val="clear" w:color="auto" w:fill="auto"/>
            <w:vAlign w:val="center"/>
          </w:tcPr>
          <w:p w14:paraId="5FACC815">
            <w:pPr>
              <w:widowControl/>
              <w:jc w:val="center"/>
              <w:textAlignment w:val="center"/>
              <w:rPr>
                <w:rFonts w:hint="eastAsia" w:ascii="宋体" w:hAnsi="宋体" w:eastAsia="宋体" w:cs="宋体"/>
                <w:b/>
                <w:sz w:val="21"/>
                <w:szCs w:val="21"/>
              </w:rPr>
            </w:pPr>
            <w:r>
              <w:rPr>
                <w:rFonts w:hint="eastAsia" w:ascii="宋体" w:hAnsi="宋体" w:eastAsia="宋体" w:cs="宋体"/>
                <w:color w:val="000000"/>
                <w:kern w:val="0"/>
                <w:sz w:val="21"/>
                <w:szCs w:val="21"/>
                <w:lang w:bidi="ar"/>
              </w:rPr>
              <w:t>基于人工智能的新型电力系统能量管理系统</w:t>
            </w:r>
          </w:p>
        </w:tc>
        <w:tc>
          <w:tcPr>
            <w:tcW w:w="3214" w:type="dxa"/>
            <w:shd w:val="clear" w:color="auto" w:fill="auto"/>
            <w:vAlign w:val="center"/>
          </w:tcPr>
          <w:p w14:paraId="6969E752">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新型电力系统能量管理系统</w:t>
            </w:r>
          </w:p>
        </w:tc>
        <w:tc>
          <w:tcPr>
            <w:tcW w:w="1683" w:type="dxa"/>
            <w:shd w:val="clear" w:color="auto" w:fill="auto"/>
            <w:vAlign w:val="center"/>
          </w:tcPr>
          <w:p w14:paraId="215CD1C1">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sz w:val="21"/>
                <w:szCs w:val="21"/>
              </w:rPr>
              <w:t>套</w:t>
            </w:r>
          </w:p>
        </w:tc>
        <w:tc>
          <w:tcPr>
            <w:tcW w:w="1978" w:type="dxa"/>
            <w:shd w:val="clear" w:color="auto" w:fill="auto"/>
            <w:vAlign w:val="center"/>
          </w:tcPr>
          <w:p w14:paraId="20F03D1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否</w:t>
            </w:r>
          </w:p>
        </w:tc>
      </w:tr>
      <w:tr w14:paraId="1686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16" w:type="dxa"/>
            <w:shd w:val="clear" w:color="auto" w:fill="auto"/>
            <w:vAlign w:val="center"/>
          </w:tcPr>
          <w:p w14:paraId="6298816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546" w:type="dxa"/>
            <w:vMerge w:val="continue"/>
            <w:shd w:val="clear" w:color="auto" w:fill="auto"/>
            <w:vAlign w:val="center"/>
          </w:tcPr>
          <w:p w14:paraId="0AD24E0E">
            <w:pPr>
              <w:widowControl/>
              <w:jc w:val="center"/>
              <w:textAlignment w:val="center"/>
              <w:rPr>
                <w:rFonts w:hint="eastAsia" w:ascii="宋体" w:hAnsi="宋体" w:eastAsia="宋体" w:cs="宋体"/>
                <w:b/>
                <w:sz w:val="21"/>
                <w:szCs w:val="21"/>
              </w:rPr>
            </w:pPr>
          </w:p>
        </w:tc>
        <w:tc>
          <w:tcPr>
            <w:tcW w:w="3214" w:type="dxa"/>
            <w:shd w:val="clear" w:color="auto" w:fill="auto"/>
            <w:vAlign w:val="center"/>
          </w:tcPr>
          <w:p w14:paraId="049B96D9">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分布式光伏智能调控终端</w:t>
            </w:r>
          </w:p>
        </w:tc>
        <w:tc>
          <w:tcPr>
            <w:tcW w:w="1683" w:type="dxa"/>
            <w:shd w:val="clear" w:color="auto" w:fill="auto"/>
            <w:vAlign w:val="center"/>
          </w:tcPr>
          <w:p w14:paraId="519F0DAC">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r>
              <w:rPr>
                <w:rFonts w:hint="eastAsia" w:ascii="宋体" w:hAnsi="宋体" w:eastAsia="宋体" w:cs="宋体"/>
                <w:sz w:val="21"/>
                <w:szCs w:val="21"/>
              </w:rPr>
              <w:t>台</w:t>
            </w:r>
          </w:p>
        </w:tc>
        <w:tc>
          <w:tcPr>
            <w:tcW w:w="1978" w:type="dxa"/>
            <w:shd w:val="clear" w:color="auto" w:fill="auto"/>
            <w:vAlign w:val="center"/>
          </w:tcPr>
          <w:p w14:paraId="1EB545D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否</w:t>
            </w:r>
          </w:p>
        </w:tc>
      </w:tr>
      <w:tr w14:paraId="5E28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16" w:type="dxa"/>
            <w:shd w:val="clear" w:color="auto" w:fill="auto"/>
            <w:vAlign w:val="center"/>
          </w:tcPr>
          <w:p w14:paraId="03F2B36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546" w:type="dxa"/>
            <w:vMerge w:val="continue"/>
            <w:shd w:val="clear" w:color="auto" w:fill="auto"/>
            <w:vAlign w:val="center"/>
          </w:tcPr>
          <w:p w14:paraId="5147B7A5">
            <w:pPr>
              <w:widowControl/>
              <w:jc w:val="center"/>
              <w:textAlignment w:val="center"/>
              <w:rPr>
                <w:rFonts w:hint="eastAsia" w:ascii="宋体" w:hAnsi="宋体" w:eastAsia="宋体" w:cs="宋体"/>
                <w:b/>
                <w:sz w:val="21"/>
                <w:szCs w:val="21"/>
              </w:rPr>
            </w:pPr>
          </w:p>
        </w:tc>
        <w:tc>
          <w:tcPr>
            <w:tcW w:w="3214" w:type="dxa"/>
            <w:shd w:val="clear" w:color="auto" w:fill="auto"/>
            <w:vAlign w:val="center"/>
          </w:tcPr>
          <w:p w14:paraId="6E5D453B">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储能智能调控终端</w:t>
            </w:r>
          </w:p>
        </w:tc>
        <w:tc>
          <w:tcPr>
            <w:tcW w:w="1683" w:type="dxa"/>
            <w:shd w:val="clear" w:color="auto" w:fill="auto"/>
            <w:vAlign w:val="center"/>
          </w:tcPr>
          <w:p w14:paraId="216182E0">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w:t>
            </w:r>
            <w:r>
              <w:rPr>
                <w:rFonts w:hint="eastAsia" w:ascii="宋体" w:hAnsi="宋体" w:eastAsia="宋体" w:cs="宋体"/>
                <w:sz w:val="21"/>
                <w:szCs w:val="21"/>
              </w:rPr>
              <w:t>台</w:t>
            </w:r>
          </w:p>
        </w:tc>
        <w:tc>
          <w:tcPr>
            <w:tcW w:w="1978" w:type="dxa"/>
            <w:shd w:val="clear" w:color="auto" w:fill="auto"/>
            <w:vAlign w:val="center"/>
          </w:tcPr>
          <w:p w14:paraId="24025EC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否</w:t>
            </w:r>
          </w:p>
        </w:tc>
      </w:tr>
      <w:tr w14:paraId="33F0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16" w:type="dxa"/>
            <w:shd w:val="clear" w:color="auto" w:fill="auto"/>
            <w:vAlign w:val="center"/>
          </w:tcPr>
          <w:p w14:paraId="56CB862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546" w:type="dxa"/>
            <w:vMerge w:val="continue"/>
            <w:shd w:val="clear" w:color="auto" w:fill="auto"/>
            <w:vAlign w:val="center"/>
          </w:tcPr>
          <w:p w14:paraId="246B7B14">
            <w:pPr>
              <w:widowControl/>
              <w:jc w:val="center"/>
              <w:textAlignment w:val="center"/>
              <w:rPr>
                <w:rFonts w:hint="eastAsia" w:ascii="宋体" w:hAnsi="宋体" w:eastAsia="宋体" w:cs="宋体"/>
                <w:b/>
                <w:sz w:val="21"/>
                <w:szCs w:val="21"/>
              </w:rPr>
            </w:pPr>
          </w:p>
        </w:tc>
        <w:tc>
          <w:tcPr>
            <w:tcW w:w="3214" w:type="dxa"/>
            <w:shd w:val="clear" w:color="auto" w:fill="auto"/>
            <w:vAlign w:val="center"/>
          </w:tcPr>
          <w:p w14:paraId="021A6721">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可调负荷智能调控终端</w:t>
            </w:r>
          </w:p>
        </w:tc>
        <w:tc>
          <w:tcPr>
            <w:tcW w:w="1683" w:type="dxa"/>
            <w:shd w:val="clear" w:color="auto" w:fill="auto"/>
            <w:vAlign w:val="center"/>
          </w:tcPr>
          <w:p w14:paraId="0765866A">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r>
              <w:rPr>
                <w:rFonts w:hint="eastAsia" w:ascii="宋体" w:hAnsi="宋体" w:eastAsia="宋体" w:cs="宋体"/>
                <w:sz w:val="21"/>
                <w:szCs w:val="21"/>
              </w:rPr>
              <w:t>台</w:t>
            </w:r>
          </w:p>
        </w:tc>
        <w:tc>
          <w:tcPr>
            <w:tcW w:w="1978" w:type="dxa"/>
            <w:shd w:val="clear" w:color="auto" w:fill="auto"/>
            <w:vAlign w:val="center"/>
          </w:tcPr>
          <w:p w14:paraId="2DBCB80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否</w:t>
            </w:r>
          </w:p>
        </w:tc>
      </w:tr>
      <w:tr w14:paraId="5427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16" w:type="dxa"/>
            <w:shd w:val="clear" w:color="auto" w:fill="auto"/>
            <w:vAlign w:val="center"/>
          </w:tcPr>
          <w:p w14:paraId="4DFDD6C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1546" w:type="dxa"/>
            <w:vMerge w:val="continue"/>
            <w:shd w:val="clear" w:color="auto" w:fill="auto"/>
            <w:vAlign w:val="center"/>
          </w:tcPr>
          <w:p w14:paraId="5CC09588">
            <w:pPr>
              <w:widowControl/>
              <w:jc w:val="center"/>
              <w:textAlignment w:val="center"/>
              <w:rPr>
                <w:rFonts w:hint="eastAsia" w:ascii="宋体" w:hAnsi="宋体" w:eastAsia="宋体" w:cs="宋体"/>
                <w:b/>
                <w:sz w:val="21"/>
                <w:szCs w:val="21"/>
              </w:rPr>
            </w:pPr>
          </w:p>
        </w:tc>
        <w:tc>
          <w:tcPr>
            <w:tcW w:w="3214" w:type="dxa"/>
            <w:shd w:val="clear" w:color="auto" w:fill="auto"/>
            <w:vAlign w:val="center"/>
          </w:tcPr>
          <w:p w14:paraId="571B2C2C">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充电桩智能调控终端</w:t>
            </w:r>
          </w:p>
        </w:tc>
        <w:tc>
          <w:tcPr>
            <w:tcW w:w="1683" w:type="dxa"/>
            <w:shd w:val="clear" w:color="auto" w:fill="auto"/>
            <w:vAlign w:val="center"/>
          </w:tcPr>
          <w:p w14:paraId="65CF1DAA">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r>
              <w:rPr>
                <w:rFonts w:hint="eastAsia" w:ascii="宋体" w:hAnsi="宋体" w:eastAsia="宋体" w:cs="宋体"/>
                <w:sz w:val="21"/>
                <w:szCs w:val="21"/>
              </w:rPr>
              <w:t>台</w:t>
            </w:r>
          </w:p>
        </w:tc>
        <w:tc>
          <w:tcPr>
            <w:tcW w:w="1978" w:type="dxa"/>
            <w:shd w:val="clear" w:color="auto" w:fill="auto"/>
            <w:vAlign w:val="center"/>
          </w:tcPr>
          <w:p w14:paraId="1759F6C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否</w:t>
            </w:r>
          </w:p>
        </w:tc>
      </w:tr>
    </w:tbl>
    <w:p w14:paraId="630F26DC">
      <w:pPr>
        <w:spacing w:line="360" w:lineRule="auto"/>
        <w:ind w:firstLine="420" w:firstLineChars="200"/>
        <w:rPr>
          <w:szCs w:val="21"/>
          <w:u w:val="single"/>
        </w:rPr>
      </w:pPr>
      <w:r>
        <w:rPr>
          <w:szCs w:val="21"/>
        </w:rPr>
        <w:t>5.合同履行期限：</w:t>
      </w:r>
      <w:r>
        <w:rPr>
          <w:rFonts w:hint="eastAsia" w:ascii="宋体" w:hAnsi="宋体" w:cs="宋体"/>
          <w:szCs w:val="21"/>
        </w:rPr>
        <w:t>签订合同之日起至服务期结束</w:t>
      </w:r>
      <w:r>
        <w:rPr>
          <w:rFonts w:hint="eastAsia"/>
        </w:rPr>
        <w:t>。</w:t>
      </w:r>
    </w:p>
    <w:p w14:paraId="021E8E87">
      <w:pPr>
        <w:spacing w:line="360" w:lineRule="auto"/>
        <w:ind w:firstLine="420" w:firstLineChars="200"/>
        <w:rPr>
          <w:szCs w:val="21"/>
        </w:rPr>
      </w:pPr>
      <w:r>
        <w:rPr>
          <w:szCs w:val="21"/>
        </w:rPr>
        <w:t>6.本项目是否接受联合体投标：否。</w:t>
      </w:r>
    </w:p>
    <w:p w14:paraId="6CCBDBB8">
      <w:pPr>
        <w:pStyle w:val="2"/>
        <w:spacing w:before="0" w:line="360" w:lineRule="auto"/>
        <w:jc w:val="left"/>
        <w:rPr>
          <w:rFonts w:ascii="Times New Roman" w:hAnsi="Times New Roman" w:eastAsia="宋体"/>
          <w:sz w:val="21"/>
          <w:szCs w:val="21"/>
        </w:rPr>
      </w:pPr>
      <w:bookmarkStart w:id="6" w:name="_Toc35393791"/>
      <w:bookmarkStart w:id="7" w:name="_Toc28359003"/>
      <w:bookmarkStart w:id="8" w:name="_Toc8688"/>
      <w:bookmarkStart w:id="9" w:name="_Toc28359080"/>
      <w:bookmarkStart w:id="10" w:name="_Toc35393622"/>
      <w:r>
        <w:rPr>
          <w:rFonts w:ascii="Times New Roman" w:hAnsi="Times New Roman" w:eastAsia="宋体"/>
          <w:sz w:val="21"/>
          <w:szCs w:val="21"/>
        </w:rPr>
        <w:t>二、申请人的资格要求（须同时满足）</w:t>
      </w:r>
      <w:bookmarkEnd w:id="6"/>
      <w:bookmarkEnd w:id="7"/>
      <w:bookmarkEnd w:id="8"/>
      <w:bookmarkEnd w:id="9"/>
      <w:bookmarkEnd w:id="10"/>
    </w:p>
    <w:p w14:paraId="1B7E15A4">
      <w:pPr>
        <w:spacing w:line="360" w:lineRule="auto"/>
        <w:ind w:firstLine="420" w:firstLineChars="200"/>
        <w:rPr>
          <w:szCs w:val="21"/>
        </w:rPr>
      </w:pPr>
      <w:r>
        <w:rPr>
          <w:szCs w:val="21"/>
        </w:rPr>
        <w:t>1.满足《中华人民共和国政府采购法》第二十二条规定；</w:t>
      </w:r>
    </w:p>
    <w:p w14:paraId="7640A6E7">
      <w:pPr>
        <w:spacing w:line="360" w:lineRule="auto"/>
        <w:ind w:firstLine="420" w:firstLineChars="200"/>
        <w:rPr>
          <w:szCs w:val="21"/>
        </w:rPr>
      </w:pPr>
      <w:bookmarkStart w:id="11" w:name="_Toc28359081"/>
      <w:bookmarkStart w:id="12" w:name="_Toc28359004"/>
      <w:r>
        <w:rPr>
          <w:szCs w:val="21"/>
        </w:rPr>
        <w:t>2.落实政府采购政策需满足的资格要求：</w:t>
      </w:r>
    </w:p>
    <w:p w14:paraId="73E43CB0">
      <w:pPr>
        <w:spacing w:line="360" w:lineRule="auto"/>
        <w:ind w:firstLine="420" w:firstLineChars="200"/>
        <w:rPr>
          <w:szCs w:val="21"/>
        </w:rPr>
      </w:pPr>
      <w:r>
        <w:rPr>
          <w:szCs w:val="21"/>
        </w:rPr>
        <w:t>本</w:t>
      </w:r>
      <w:r>
        <w:rPr>
          <w:rFonts w:hint="eastAsia"/>
          <w:szCs w:val="21"/>
        </w:rPr>
        <w:t>包专门面向小微企业</w:t>
      </w:r>
    </w:p>
    <w:p w14:paraId="00522F42">
      <w:pPr>
        <w:spacing w:line="360" w:lineRule="auto"/>
        <w:ind w:firstLine="420" w:firstLineChars="200"/>
      </w:pPr>
      <w:r>
        <w:rPr>
          <w:rFonts w:hint="eastAsia" w:ascii="宋体" w:hAnsi="宋体" w:cs="宋体"/>
          <w:szCs w:val="21"/>
        </w:rPr>
        <w:t>本包采购标的对应的中小企业划分标准所属行业</w:t>
      </w:r>
      <w:r>
        <w:t>：</w:t>
      </w:r>
      <w:r>
        <w:rPr>
          <w:rFonts w:hint="eastAsia"/>
          <w:szCs w:val="21"/>
        </w:rPr>
        <w:t>工业</w:t>
      </w:r>
    </w:p>
    <w:p w14:paraId="0A2303C0">
      <w:pPr>
        <w:spacing w:line="360" w:lineRule="auto"/>
        <w:ind w:firstLine="420" w:firstLineChars="200"/>
        <w:rPr>
          <w:szCs w:val="21"/>
        </w:rPr>
      </w:pPr>
      <w:r>
        <w:rPr>
          <w:szCs w:val="21"/>
        </w:rPr>
        <w:t>3.本项目的特定资格要求：</w:t>
      </w:r>
    </w:p>
    <w:p w14:paraId="7C81C189">
      <w:pPr>
        <w:tabs>
          <w:tab w:val="left" w:pos="900"/>
          <w:tab w:val="left" w:pos="1134"/>
          <w:tab w:val="left" w:pos="1589"/>
          <w:tab w:val="left" w:pos="5521"/>
        </w:tabs>
        <w:snapToGrid w:val="0"/>
        <w:spacing w:line="360" w:lineRule="auto"/>
        <w:ind w:firstLine="420" w:firstLineChars="200"/>
        <w:rPr>
          <w:szCs w:val="21"/>
        </w:rPr>
      </w:pPr>
      <w:r>
        <w:rPr>
          <w:szCs w:val="21"/>
        </w:rPr>
        <w:t>3.1本项目是否接受分支机构参与投标：否</w:t>
      </w:r>
    </w:p>
    <w:p w14:paraId="508A5EBC">
      <w:pPr>
        <w:tabs>
          <w:tab w:val="left" w:pos="720"/>
        </w:tabs>
        <w:spacing w:line="360" w:lineRule="auto"/>
        <w:ind w:left="718" w:leftChars="200" w:hanging="298" w:hangingChars="142"/>
        <w:rPr>
          <w:szCs w:val="21"/>
        </w:rPr>
      </w:pPr>
      <w:r>
        <w:rPr>
          <w:szCs w:val="21"/>
        </w:rPr>
        <w:t>3.</w:t>
      </w:r>
      <w:r>
        <w:rPr>
          <w:rFonts w:hint="eastAsia"/>
          <w:szCs w:val="21"/>
        </w:rPr>
        <w:t>2</w:t>
      </w:r>
      <w:r>
        <w:rPr>
          <w:szCs w:val="21"/>
        </w:rPr>
        <w:t>本项目是否属于政府购买服务：否</w:t>
      </w:r>
    </w:p>
    <w:p w14:paraId="0BDADE64">
      <w:pPr>
        <w:tabs>
          <w:tab w:val="left" w:pos="900"/>
          <w:tab w:val="left" w:pos="1134"/>
          <w:tab w:val="left" w:pos="1589"/>
          <w:tab w:val="left" w:pos="5521"/>
        </w:tabs>
        <w:snapToGrid w:val="0"/>
        <w:spacing w:line="360" w:lineRule="auto"/>
        <w:ind w:firstLine="420" w:firstLineChars="200"/>
        <w:rPr>
          <w:szCs w:val="21"/>
        </w:rPr>
      </w:pPr>
      <w:r>
        <w:rPr>
          <w:szCs w:val="21"/>
        </w:rPr>
        <w:t>3.</w:t>
      </w:r>
      <w:r>
        <w:rPr>
          <w:rFonts w:hint="eastAsia"/>
          <w:szCs w:val="21"/>
        </w:rPr>
        <w:t>3</w:t>
      </w:r>
      <w:r>
        <w:rPr>
          <w:szCs w:val="21"/>
        </w:rPr>
        <w:t>其他特定资格要求。</w:t>
      </w:r>
    </w:p>
    <w:p w14:paraId="3870F7FC">
      <w:pPr>
        <w:spacing w:line="360" w:lineRule="auto"/>
        <w:ind w:firstLine="420" w:firstLineChars="200"/>
        <w:rPr>
          <w:szCs w:val="21"/>
        </w:rPr>
      </w:pPr>
      <w:r>
        <w:rPr>
          <w:rFonts w:hint="eastAsia"/>
          <w:szCs w:val="21"/>
        </w:rPr>
        <w:t>1）供应商不得被列入失信被执行人、重大税收违法案件当事人名单、政府采购严重违法失信行为记录名单；</w:t>
      </w:r>
    </w:p>
    <w:p w14:paraId="35546D57">
      <w:pPr>
        <w:tabs>
          <w:tab w:val="left" w:pos="720"/>
        </w:tabs>
        <w:spacing w:line="360" w:lineRule="auto"/>
        <w:ind w:firstLine="420" w:firstLineChars="200"/>
        <w:rPr>
          <w:szCs w:val="21"/>
        </w:rPr>
      </w:pPr>
      <w:r>
        <w:rPr>
          <w:rFonts w:hint="eastAsia"/>
          <w:szCs w:val="21"/>
        </w:rPr>
        <w:t>2）单位负责人为同一人或者存在直接控股、管理关系的不同供应商，不得同时参加本项目同一分包的政府采购活动；</w:t>
      </w:r>
    </w:p>
    <w:p w14:paraId="786C040B">
      <w:pPr>
        <w:tabs>
          <w:tab w:val="left" w:pos="720"/>
        </w:tabs>
        <w:spacing w:line="360" w:lineRule="auto"/>
        <w:ind w:firstLine="420" w:firstLineChars="200"/>
        <w:rPr>
          <w:rFonts w:ascii="宋体" w:hAnsi="宋体" w:cs="宋体"/>
          <w:szCs w:val="21"/>
        </w:rPr>
      </w:pPr>
      <w:r>
        <w:rPr>
          <w:rFonts w:hint="eastAsia" w:ascii="宋体" w:hAnsi="宋体" w:cs="宋体"/>
          <w:szCs w:val="21"/>
        </w:rPr>
        <w:t>3）为本次采购项目提供整体设计、规范编制或者项目管理、监理、检测等服务的供应商，不得参加投标；</w:t>
      </w:r>
    </w:p>
    <w:p w14:paraId="5EC7EF7B">
      <w:pPr>
        <w:spacing w:line="360" w:lineRule="auto"/>
        <w:ind w:firstLine="420" w:firstLineChars="200"/>
        <w:rPr>
          <w:i/>
          <w:iCs/>
          <w:szCs w:val="21"/>
          <w:u w:val="single"/>
        </w:rPr>
      </w:pPr>
    </w:p>
    <w:bookmarkEnd w:id="11"/>
    <w:bookmarkEnd w:id="12"/>
    <w:p w14:paraId="1A0A087B">
      <w:pPr>
        <w:pStyle w:val="2"/>
        <w:widowControl/>
        <w:spacing w:before="0" w:line="360" w:lineRule="auto"/>
        <w:jc w:val="left"/>
        <w:rPr>
          <w:rFonts w:ascii="Times New Roman" w:hAnsi="Times New Roman" w:eastAsia="宋体"/>
          <w:sz w:val="21"/>
          <w:szCs w:val="21"/>
        </w:rPr>
      </w:pPr>
      <w:bookmarkStart w:id="13" w:name="_Toc35393792"/>
      <w:bookmarkStart w:id="14" w:name="_Toc35393623"/>
      <w:bookmarkStart w:id="15" w:name="_Toc12156"/>
      <w:r>
        <w:rPr>
          <w:rFonts w:ascii="Times New Roman" w:hAnsi="Times New Roman" w:eastAsia="宋体"/>
          <w:sz w:val="21"/>
          <w:szCs w:val="21"/>
        </w:rPr>
        <w:t>三、获取招标文件</w:t>
      </w:r>
      <w:bookmarkEnd w:id="13"/>
      <w:bookmarkEnd w:id="14"/>
      <w:bookmarkEnd w:id="15"/>
    </w:p>
    <w:p w14:paraId="39C1A3AD">
      <w:pPr>
        <w:pageBreakBefore w:val="0"/>
        <w:tabs>
          <w:tab w:val="left" w:pos="900"/>
          <w:tab w:val="left" w:pos="1980"/>
        </w:tabs>
        <w:kinsoku/>
        <w:wordWrap/>
        <w:overflowPunct/>
        <w:topLinePunct w:val="0"/>
        <w:bidi w:val="0"/>
        <w:snapToGrid w:val="0"/>
        <w:spacing w:line="360" w:lineRule="auto"/>
        <w:ind w:left="0" w:leftChars="0" w:firstLine="420" w:firstLineChars="200"/>
        <w:jc w:val="left"/>
        <w:textAlignment w:val="auto"/>
        <w:rPr>
          <w:rFonts w:hint="eastAsia" w:ascii="宋体" w:hAnsi="宋体" w:eastAsia="宋体" w:cs="宋体"/>
          <w:kern w:val="0"/>
          <w:sz w:val="21"/>
          <w:szCs w:val="21"/>
          <w:highlight w:val="none"/>
        </w:rPr>
      </w:pPr>
      <w:bookmarkStart w:id="16" w:name="_Toc28359082"/>
      <w:bookmarkStart w:id="17" w:name="_Toc28359005"/>
      <w:bookmarkStart w:id="18" w:name="_Toc35393624"/>
      <w:bookmarkStart w:id="19" w:name="_Toc35393793"/>
      <w:bookmarkStart w:id="20" w:name="_Toc35393625"/>
      <w:bookmarkStart w:id="21" w:name="_Toc35393794"/>
      <w:bookmarkStart w:id="22" w:name="_Toc28359084"/>
      <w:bookmarkStart w:id="23" w:name="_Toc28359007"/>
      <w:bookmarkStart w:id="24" w:name="_Toc246"/>
      <w:r>
        <w:rPr>
          <w:rFonts w:hint="eastAsia" w:ascii="宋体" w:hAnsi="宋体" w:eastAsia="宋体" w:cs="宋体"/>
          <w:kern w:val="0"/>
          <w:sz w:val="21"/>
          <w:szCs w:val="21"/>
          <w:highlight w:val="none"/>
        </w:rPr>
        <w:t>获取时间：2025年</w:t>
      </w:r>
      <w:r>
        <w:rPr>
          <w:rFonts w:hint="eastAsia" w:ascii="宋体" w:hAnsi="宋体" w:cs="宋体"/>
          <w:kern w:val="0"/>
          <w:sz w:val="21"/>
          <w:szCs w:val="21"/>
          <w:highlight w:val="none"/>
          <w:lang w:val="en-US" w:eastAsia="zh-CN"/>
        </w:rPr>
        <w:t>10</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22</w:t>
      </w:r>
      <w:r>
        <w:rPr>
          <w:rFonts w:hint="eastAsia" w:ascii="宋体" w:hAnsi="宋体" w:eastAsia="宋体" w:cs="宋体"/>
          <w:kern w:val="0"/>
          <w:sz w:val="21"/>
          <w:szCs w:val="21"/>
          <w:highlight w:val="none"/>
        </w:rPr>
        <w:t>日至2025年</w:t>
      </w:r>
      <w:r>
        <w:rPr>
          <w:rFonts w:hint="eastAsia" w:ascii="宋体" w:hAnsi="宋体" w:cs="宋体"/>
          <w:kern w:val="0"/>
          <w:sz w:val="21"/>
          <w:szCs w:val="21"/>
          <w:highlight w:val="none"/>
          <w:lang w:val="en-US" w:eastAsia="zh-CN"/>
        </w:rPr>
        <w:t>10</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29</w:t>
      </w:r>
      <w:r>
        <w:rPr>
          <w:rFonts w:hint="eastAsia" w:ascii="宋体" w:hAnsi="宋体" w:eastAsia="宋体" w:cs="宋体"/>
          <w:kern w:val="0"/>
          <w:sz w:val="21"/>
          <w:szCs w:val="21"/>
          <w:highlight w:val="none"/>
        </w:rPr>
        <w:t>日，每天上午9:00 至 12:00 ，下午 12:00 至</w:t>
      </w:r>
      <w:r>
        <w:rPr>
          <w:rFonts w:hint="eastAsia" w:ascii="宋体" w:hAnsi="宋体" w:cs="宋体"/>
          <w:kern w:val="0"/>
          <w:sz w:val="21"/>
          <w:szCs w:val="21"/>
          <w:highlight w:val="none"/>
          <w:lang w:val="en-US" w:eastAsia="zh-CN"/>
        </w:rPr>
        <w:t>17</w:t>
      </w:r>
      <w:r>
        <w:rPr>
          <w:rFonts w:hint="eastAsia" w:ascii="宋体" w:hAnsi="宋体" w:eastAsia="宋体" w:cs="宋体"/>
          <w:kern w:val="0"/>
          <w:sz w:val="21"/>
          <w:szCs w:val="21"/>
          <w:highlight w:val="none"/>
        </w:rPr>
        <w:t>:00 （北京时间，法定节假日除外）。</w:t>
      </w:r>
    </w:p>
    <w:p w14:paraId="15CB1BF5">
      <w:pPr>
        <w:pageBreakBefore w:val="0"/>
        <w:tabs>
          <w:tab w:val="left" w:pos="900"/>
          <w:tab w:val="left" w:pos="1980"/>
        </w:tabs>
        <w:kinsoku/>
        <w:wordWrap/>
        <w:overflowPunct/>
        <w:topLinePunct w:val="0"/>
        <w:bidi w:val="0"/>
        <w:snapToGrid w:val="0"/>
        <w:spacing w:line="360" w:lineRule="auto"/>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地点：北京市政府采购电子交易平台</w:t>
      </w:r>
      <w:bookmarkStart w:id="33" w:name="_GoBack"/>
      <w:bookmarkEnd w:id="33"/>
    </w:p>
    <w:p w14:paraId="08545307">
      <w:pPr>
        <w:pageBreakBefore w:val="0"/>
        <w:tabs>
          <w:tab w:val="left" w:pos="900"/>
          <w:tab w:val="left" w:pos="1980"/>
        </w:tabs>
        <w:kinsoku/>
        <w:wordWrap/>
        <w:overflowPunct/>
        <w:topLinePunct w:val="0"/>
        <w:bidi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方式：投标人持CA数字认证证书登录北京市政府采购电子交易平台（http://zbcg-bjzc.zhongcy.com/bjczj-portal-site/index.html#/home）获取电子版招标文件。</w:t>
      </w:r>
    </w:p>
    <w:p w14:paraId="558BFE45">
      <w:pPr>
        <w:pageBreakBefore w:val="0"/>
        <w:tabs>
          <w:tab w:val="left" w:pos="900"/>
          <w:tab w:val="left" w:pos="1980"/>
        </w:tabs>
        <w:kinsoku/>
        <w:wordWrap/>
        <w:overflowPunct/>
        <w:topLinePunct w:val="0"/>
        <w:bidi w:val="0"/>
        <w:snapToGrid w:val="0"/>
        <w:spacing w:line="360" w:lineRule="auto"/>
        <w:ind w:left="0" w:lef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招标文件制作价：0元。</w:t>
      </w:r>
    </w:p>
    <w:p w14:paraId="16B173A9">
      <w:pPr>
        <w:pStyle w:val="2"/>
        <w:pageBreakBefore w:val="0"/>
        <w:kinsoku/>
        <w:wordWrap/>
        <w:overflowPunct/>
        <w:topLinePunct w:val="0"/>
        <w:bidi w:val="0"/>
        <w:spacing w:before="0" w:line="360" w:lineRule="auto"/>
        <w:ind w:left="0" w:leftChars="0" w:firstLine="422"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四、提交投标文件</w:t>
      </w:r>
      <w:bookmarkEnd w:id="16"/>
      <w:bookmarkEnd w:id="17"/>
      <w:r>
        <w:rPr>
          <w:rFonts w:hint="eastAsia" w:ascii="宋体" w:hAnsi="宋体" w:eastAsia="宋体" w:cs="宋体"/>
          <w:sz w:val="21"/>
          <w:szCs w:val="21"/>
          <w:highlight w:val="none"/>
        </w:rPr>
        <w:t>截止时间、开标时间和地点</w:t>
      </w:r>
      <w:bookmarkEnd w:id="18"/>
      <w:bookmarkEnd w:id="19"/>
    </w:p>
    <w:p w14:paraId="5D947F5A">
      <w:pPr>
        <w:pageBreakBefore w:val="0"/>
        <w:kinsoku/>
        <w:wordWrap/>
        <w:overflowPunct/>
        <w:topLinePunct w:val="0"/>
        <w:bidi w:val="0"/>
        <w:spacing w:line="360" w:lineRule="auto"/>
        <w:ind w:left="0" w:leftChars="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投标截止时间、开标时间：2025年</w:t>
      </w:r>
      <w:r>
        <w:rPr>
          <w:rFonts w:hint="eastAsia" w:ascii="宋体" w:hAnsi="宋体" w:cs="宋体"/>
          <w:kern w:val="0"/>
          <w:sz w:val="21"/>
          <w:szCs w:val="21"/>
          <w:highlight w:val="none"/>
          <w:lang w:val="en-US" w:eastAsia="zh-CN"/>
        </w:rPr>
        <w:t>11</w:t>
      </w:r>
      <w:r>
        <w:rPr>
          <w:rFonts w:hint="eastAsia" w:ascii="宋体" w:hAnsi="宋体" w:eastAsia="宋体" w:cs="宋体"/>
          <w:kern w:val="0"/>
          <w:sz w:val="21"/>
          <w:szCs w:val="21"/>
          <w:highlight w:val="none"/>
        </w:rPr>
        <w:t>月</w:t>
      </w:r>
      <w:r>
        <w:rPr>
          <w:rFonts w:hint="eastAsia" w:ascii="宋体" w:hAnsi="宋体" w:cs="宋体"/>
          <w:kern w:val="0"/>
          <w:sz w:val="21"/>
          <w:szCs w:val="21"/>
          <w:highlight w:val="none"/>
          <w:lang w:val="en-US" w:eastAsia="zh-CN"/>
        </w:rPr>
        <w:t>12</w:t>
      </w:r>
      <w:r>
        <w:rPr>
          <w:rFonts w:hint="eastAsia" w:ascii="宋体" w:hAnsi="宋体" w:eastAsia="宋体" w:cs="宋体"/>
          <w:kern w:val="0"/>
          <w:sz w:val="21"/>
          <w:szCs w:val="21"/>
          <w:highlight w:val="none"/>
        </w:rPr>
        <w:t>日</w:t>
      </w:r>
      <w:r>
        <w:rPr>
          <w:rFonts w:hint="eastAsia" w:ascii="宋体" w:hAnsi="宋体" w:cs="宋体"/>
          <w:kern w:val="0"/>
          <w:sz w:val="21"/>
          <w:szCs w:val="21"/>
          <w:highlight w:val="none"/>
          <w:lang w:val="en-US" w:eastAsia="zh-CN"/>
        </w:rPr>
        <w:t>13</w:t>
      </w:r>
      <w:r>
        <w:rPr>
          <w:rFonts w:hint="eastAsia" w:ascii="宋体" w:hAnsi="宋体" w:eastAsia="宋体" w:cs="宋体"/>
          <w:kern w:val="0"/>
          <w:sz w:val="21"/>
          <w:szCs w:val="21"/>
          <w:highlight w:val="none"/>
        </w:rPr>
        <w:t>点</w:t>
      </w:r>
      <w:r>
        <w:rPr>
          <w:rFonts w:hint="eastAsia" w:ascii="宋体" w:hAnsi="宋体" w:cs="宋体"/>
          <w:kern w:val="0"/>
          <w:sz w:val="21"/>
          <w:szCs w:val="21"/>
          <w:highlight w:val="none"/>
          <w:lang w:val="en-US" w:eastAsia="zh-CN"/>
        </w:rPr>
        <w:t>30</w:t>
      </w:r>
      <w:r>
        <w:rPr>
          <w:rFonts w:hint="eastAsia" w:ascii="宋体" w:hAnsi="宋体" w:eastAsia="宋体" w:cs="宋体"/>
          <w:kern w:val="0"/>
          <w:sz w:val="21"/>
          <w:szCs w:val="21"/>
          <w:highlight w:val="none"/>
        </w:rPr>
        <w:t>分（北京时间）。</w:t>
      </w:r>
    </w:p>
    <w:p w14:paraId="0857EBE7">
      <w:pPr>
        <w:pageBreakBefore w:val="0"/>
        <w:kinsoku/>
        <w:wordWrap/>
        <w:overflowPunct/>
        <w:topLinePunct w:val="0"/>
        <w:bidi w:val="0"/>
        <w:spacing w:line="360" w:lineRule="auto"/>
        <w:ind w:left="0" w:leftChars="0"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地点：北京市海淀区学清路甲38号(六道口地铁站B东北口步行240米)金码大厦B座18层1801室</w:t>
      </w:r>
      <w:r>
        <w:rPr>
          <w:rFonts w:hint="eastAsia" w:ascii="宋体" w:hAnsi="宋体" w:cs="宋体"/>
          <w:kern w:val="0"/>
          <w:sz w:val="21"/>
          <w:szCs w:val="21"/>
          <w:highlight w:val="none"/>
          <w:lang w:val="en-US" w:eastAsia="zh-CN"/>
        </w:rPr>
        <w:t>会议室</w:t>
      </w:r>
      <w:r>
        <w:rPr>
          <w:rFonts w:hint="eastAsia" w:ascii="宋体" w:hAnsi="宋体" w:eastAsia="宋体" w:cs="宋体"/>
          <w:kern w:val="0"/>
          <w:sz w:val="21"/>
          <w:szCs w:val="21"/>
          <w:highlight w:val="none"/>
        </w:rPr>
        <w:t>。</w:t>
      </w:r>
    </w:p>
    <w:p w14:paraId="55F70887">
      <w:pPr>
        <w:pStyle w:val="2"/>
        <w:spacing w:before="0" w:line="360" w:lineRule="auto"/>
        <w:jc w:val="left"/>
        <w:rPr>
          <w:rFonts w:ascii="Times New Roman" w:hAnsi="Times New Roman" w:eastAsia="宋体"/>
          <w:sz w:val="21"/>
          <w:szCs w:val="21"/>
        </w:rPr>
      </w:pPr>
      <w:r>
        <w:rPr>
          <w:rFonts w:ascii="Times New Roman" w:hAnsi="Times New Roman" w:eastAsia="宋体"/>
          <w:sz w:val="21"/>
          <w:szCs w:val="21"/>
        </w:rPr>
        <w:t>五、公告期限</w:t>
      </w:r>
      <w:bookmarkEnd w:id="20"/>
      <w:bookmarkEnd w:id="21"/>
      <w:bookmarkEnd w:id="22"/>
      <w:bookmarkEnd w:id="23"/>
      <w:bookmarkEnd w:id="24"/>
    </w:p>
    <w:p w14:paraId="73A71EC4">
      <w:pPr>
        <w:spacing w:line="360" w:lineRule="auto"/>
        <w:ind w:firstLine="420" w:firstLineChars="200"/>
        <w:rPr>
          <w:kern w:val="0"/>
          <w:szCs w:val="21"/>
        </w:rPr>
      </w:pPr>
      <w:r>
        <w:rPr>
          <w:kern w:val="0"/>
          <w:szCs w:val="21"/>
        </w:rPr>
        <w:t>自本公告发布之日起5个工作日。</w:t>
      </w:r>
    </w:p>
    <w:p w14:paraId="40CD8EB0">
      <w:pPr>
        <w:pStyle w:val="2"/>
        <w:spacing w:before="0" w:line="360" w:lineRule="auto"/>
        <w:jc w:val="left"/>
        <w:rPr>
          <w:rFonts w:ascii="Times New Roman" w:hAnsi="Times New Roman" w:eastAsia="宋体"/>
          <w:sz w:val="21"/>
          <w:szCs w:val="21"/>
        </w:rPr>
      </w:pPr>
      <w:bookmarkStart w:id="25" w:name="_Toc35393795"/>
      <w:bookmarkStart w:id="26" w:name="_Toc35393626"/>
      <w:bookmarkStart w:id="27" w:name="_Toc11920"/>
      <w:r>
        <w:rPr>
          <w:rFonts w:ascii="Times New Roman" w:hAnsi="Times New Roman" w:eastAsia="宋体"/>
          <w:sz w:val="21"/>
          <w:szCs w:val="21"/>
        </w:rPr>
        <w:t>六、其他补充事宜</w:t>
      </w:r>
      <w:bookmarkEnd w:id="25"/>
      <w:bookmarkEnd w:id="26"/>
      <w:bookmarkEnd w:id="27"/>
    </w:p>
    <w:p w14:paraId="4204E997">
      <w:pPr>
        <w:spacing w:line="360" w:lineRule="auto"/>
        <w:ind w:firstLine="420" w:firstLineChars="200"/>
        <w:rPr>
          <w:kern w:val="0"/>
          <w:szCs w:val="21"/>
        </w:rPr>
      </w:pPr>
      <w:bookmarkStart w:id="28" w:name="_Toc28359008"/>
      <w:bookmarkStart w:id="29" w:name="_Toc15423"/>
      <w:bookmarkStart w:id="30" w:name="_Toc28359085"/>
      <w:bookmarkStart w:id="31" w:name="_Toc35393627"/>
      <w:bookmarkStart w:id="32" w:name="_Toc35393796"/>
      <w:r>
        <w:rPr>
          <w:rFonts w:hint="eastAsia"/>
          <w:kern w:val="0"/>
          <w:szCs w:val="21"/>
        </w:rPr>
        <w:t>1.本项目的招标公告仅在中国政府采购网（www.ccgp.gov.cn）、北京市政府采购网（www.ccgp-beijing.gov.cn）上发布。</w:t>
      </w:r>
    </w:p>
    <w:p w14:paraId="0BF72B29">
      <w:pPr>
        <w:spacing w:line="360" w:lineRule="auto"/>
        <w:ind w:firstLine="420" w:firstLineChars="200"/>
        <w:rPr>
          <w:kern w:val="0"/>
          <w:szCs w:val="21"/>
        </w:rPr>
      </w:pPr>
      <w:r>
        <w:rPr>
          <w:rFonts w:hint="eastAsia"/>
          <w:kern w:val="0"/>
          <w:szCs w:val="21"/>
        </w:rPr>
        <w:t>2.本项目需要落实的政府采购政策：</w:t>
      </w:r>
    </w:p>
    <w:p w14:paraId="7A33294F">
      <w:pPr>
        <w:spacing w:line="360" w:lineRule="auto"/>
        <w:ind w:firstLine="420" w:firstLineChars="200"/>
        <w:rPr>
          <w:kern w:val="0"/>
          <w:szCs w:val="21"/>
        </w:rPr>
      </w:pPr>
      <w:r>
        <w:rPr>
          <w:rFonts w:hint="eastAsia"/>
          <w:kern w:val="0"/>
          <w:szCs w:val="21"/>
        </w:rPr>
        <w:t>关于印发</w:t>
      </w:r>
      <w:r>
        <w:rPr>
          <w:kern w:val="0"/>
          <w:szCs w:val="21"/>
        </w:rPr>
        <w:t>《政府采购促进中小企业发展管理办法》</w:t>
      </w:r>
      <w:r>
        <w:rPr>
          <w:rFonts w:hint="eastAsia"/>
          <w:kern w:val="0"/>
          <w:szCs w:val="21"/>
        </w:rPr>
        <w:t>的通知</w:t>
      </w:r>
      <w:r>
        <w:rPr>
          <w:kern w:val="0"/>
          <w:szCs w:val="21"/>
        </w:rPr>
        <w:t>（财库〔2020〕46号）</w:t>
      </w:r>
    </w:p>
    <w:p w14:paraId="53DB6399">
      <w:pPr>
        <w:spacing w:line="360" w:lineRule="auto"/>
        <w:ind w:firstLine="420" w:firstLineChars="200"/>
        <w:rPr>
          <w:kern w:val="0"/>
          <w:szCs w:val="21"/>
        </w:rPr>
      </w:pPr>
      <w:r>
        <w:rPr>
          <w:kern w:val="0"/>
          <w:szCs w:val="21"/>
        </w:rPr>
        <w:t>《关于进一步加大政府采购支持中小企业力度</w:t>
      </w:r>
      <w:r>
        <w:rPr>
          <w:rFonts w:hint="eastAsia"/>
          <w:kern w:val="0"/>
          <w:szCs w:val="21"/>
        </w:rPr>
        <w:t>的通知</w:t>
      </w:r>
      <w:r>
        <w:rPr>
          <w:kern w:val="0"/>
          <w:szCs w:val="21"/>
        </w:rPr>
        <w:t>》（财库〔2022〕19号）</w:t>
      </w:r>
    </w:p>
    <w:p w14:paraId="18483B40">
      <w:pPr>
        <w:spacing w:line="360" w:lineRule="auto"/>
        <w:ind w:firstLine="420" w:firstLineChars="200"/>
        <w:rPr>
          <w:kern w:val="0"/>
          <w:szCs w:val="21"/>
        </w:rPr>
      </w:pPr>
      <w:r>
        <w:rPr>
          <w:kern w:val="0"/>
          <w:szCs w:val="21"/>
        </w:rPr>
        <w:t>《财政部、司法部关于政府采购支持监狱企业发展有关问题的通知》（财库〔2014〕68号）</w:t>
      </w:r>
    </w:p>
    <w:p w14:paraId="7140D7B1">
      <w:pPr>
        <w:spacing w:line="360" w:lineRule="auto"/>
        <w:ind w:firstLine="420" w:firstLineChars="200"/>
        <w:rPr>
          <w:kern w:val="0"/>
          <w:szCs w:val="21"/>
        </w:rPr>
      </w:pPr>
      <w:r>
        <w:rPr>
          <w:kern w:val="0"/>
          <w:szCs w:val="21"/>
        </w:rPr>
        <w:t>《促进残疾人就业政府采购政策的通知》（财库〔2017〕141号）</w:t>
      </w:r>
    </w:p>
    <w:p w14:paraId="04F28218">
      <w:pPr>
        <w:spacing w:line="360" w:lineRule="auto"/>
        <w:ind w:firstLine="420" w:firstLineChars="200"/>
        <w:rPr>
          <w:kern w:val="0"/>
          <w:szCs w:val="21"/>
        </w:rPr>
      </w:pPr>
      <w:r>
        <w:rPr>
          <w:kern w:val="0"/>
          <w:szCs w:val="21"/>
        </w:rPr>
        <w:t>《财政部关于在政府采购活动中查询及使用信用记录有关问题的通知》（财库〔2016〕125号）</w:t>
      </w:r>
    </w:p>
    <w:p w14:paraId="1CFC595C">
      <w:pPr>
        <w:spacing w:line="360" w:lineRule="auto"/>
        <w:ind w:firstLine="420" w:firstLineChars="200"/>
        <w:rPr>
          <w:kern w:val="0"/>
          <w:szCs w:val="21"/>
        </w:rPr>
      </w:pPr>
      <w:r>
        <w:rPr>
          <w:kern w:val="0"/>
          <w:szCs w:val="21"/>
        </w:rPr>
        <w:t>《关于印发节能产品政府采购品目清单的通知》（财库[2019]19号）；</w:t>
      </w:r>
    </w:p>
    <w:p w14:paraId="3CD5CF0D">
      <w:pPr>
        <w:spacing w:line="360" w:lineRule="auto"/>
        <w:ind w:firstLine="420" w:firstLineChars="200"/>
        <w:rPr>
          <w:kern w:val="0"/>
          <w:szCs w:val="21"/>
        </w:rPr>
      </w:pPr>
      <w:r>
        <w:rPr>
          <w:kern w:val="0"/>
          <w:szCs w:val="21"/>
        </w:rPr>
        <w:t>《财政部 发展改革委 生态环境部 市场监管总局关于调整优化节能产品、环境标志产品政府采购执行机制的通知》（财库〔2019〕9号）；</w:t>
      </w:r>
    </w:p>
    <w:p w14:paraId="1DCA6B02">
      <w:pPr>
        <w:spacing w:line="360" w:lineRule="auto"/>
        <w:ind w:firstLine="420" w:firstLineChars="200"/>
        <w:rPr>
          <w:kern w:val="0"/>
          <w:szCs w:val="21"/>
        </w:rPr>
      </w:pPr>
      <w:r>
        <w:rPr>
          <w:rFonts w:hint="eastAsia"/>
          <w:kern w:val="0"/>
          <w:szCs w:val="21"/>
        </w:rPr>
        <w:t>财政部关于印发《政府采购进口产品管理办法》的通知</w:t>
      </w:r>
      <w:r>
        <w:rPr>
          <w:kern w:val="0"/>
          <w:szCs w:val="21"/>
        </w:rPr>
        <w:t>（财库〔2007〕119号文）；</w:t>
      </w:r>
    </w:p>
    <w:p w14:paraId="4B85BCB2">
      <w:pPr>
        <w:spacing w:line="360" w:lineRule="auto"/>
        <w:ind w:firstLine="420" w:firstLineChars="200"/>
        <w:rPr>
          <w:kern w:val="0"/>
          <w:szCs w:val="21"/>
        </w:rPr>
      </w:pPr>
      <w:r>
        <w:rPr>
          <w:rFonts w:hint="eastAsia"/>
          <w:kern w:val="0"/>
          <w:szCs w:val="21"/>
        </w:rPr>
        <w:t>3.本项目采用电子化流程获取招标文件，请供应商认真学习北京市政府采购电子交易平台发布的相关操作手册(供应商可在交易平台下载相关手册)，办理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数字证书或电子营业执照情况确认是否符合本项目电子化采购流程要求。CA 数字证书服务热线 010-58511086；电子营业执照服务热线 400-699-7000；技术支持服务热线010-86483801。</w:t>
      </w:r>
    </w:p>
    <w:p w14:paraId="34EA2EBD">
      <w:pPr>
        <w:spacing w:line="360" w:lineRule="auto"/>
        <w:ind w:firstLine="420" w:firstLineChars="200"/>
        <w:rPr>
          <w:kern w:val="0"/>
          <w:szCs w:val="21"/>
        </w:rPr>
      </w:pPr>
      <w:r>
        <w:rPr>
          <w:rFonts w:hint="eastAsia"/>
          <w:kern w:val="0"/>
          <w:szCs w:val="21"/>
        </w:rPr>
        <w:t>3.1 办理 CA 数字证书或电子营业执照供应商登录北京市政府采购电子交易平台查阅 “用户指南”— “操作指南”— “市场主体CA 办理操作流程指引”/“ 电子营业执照使用指南”，按照程序要求办理。</w:t>
      </w:r>
    </w:p>
    <w:p w14:paraId="032039C7">
      <w:pPr>
        <w:spacing w:line="360" w:lineRule="auto"/>
        <w:ind w:firstLine="420" w:firstLineChars="200"/>
        <w:rPr>
          <w:kern w:val="0"/>
          <w:szCs w:val="21"/>
        </w:rPr>
      </w:pPr>
      <w:r>
        <w:rPr>
          <w:rFonts w:hint="eastAsia"/>
          <w:kern w:val="0"/>
          <w:szCs w:val="21"/>
        </w:rPr>
        <w:t>3.2 注册供应商登录北京市政府采购电子交易平台“用户指南”— “操作指南”— “市场主体注册入库操作流程指引”进行自助注册绑定。</w:t>
      </w:r>
    </w:p>
    <w:p w14:paraId="157D9F88">
      <w:pPr>
        <w:spacing w:line="360" w:lineRule="auto"/>
        <w:ind w:firstLine="420" w:firstLineChars="200"/>
        <w:rPr>
          <w:kern w:val="0"/>
          <w:szCs w:val="21"/>
        </w:rPr>
      </w:pPr>
      <w:r>
        <w:rPr>
          <w:rFonts w:hint="eastAsia"/>
          <w:kern w:val="0"/>
          <w:szCs w:val="21"/>
        </w:rPr>
        <w:t>3.3 驱动、客户端下载供应商登录北京市政府采购电子交易平台“用户指南”— “工具下载”— “招标采购系统文件驱动安装包”下载相关驱动。供应商登录北京市政府采购电子交易平台“用户指南”— “工具下载”— “投标文件编制工具”下载相关客户端。</w:t>
      </w:r>
    </w:p>
    <w:p w14:paraId="05D1A77A">
      <w:pPr>
        <w:spacing w:line="360" w:lineRule="auto"/>
        <w:ind w:firstLine="420" w:firstLineChars="200"/>
        <w:rPr>
          <w:kern w:val="0"/>
          <w:szCs w:val="21"/>
        </w:rPr>
      </w:pPr>
      <w:r>
        <w:rPr>
          <w:rFonts w:hint="eastAsia"/>
          <w:kern w:val="0"/>
          <w:szCs w:val="21"/>
        </w:rPr>
        <w:t>3.4 获取电子招标文件</w:t>
      </w:r>
    </w:p>
    <w:p w14:paraId="4860C531">
      <w:pPr>
        <w:spacing w:line="360" w:lineRule="auto"/>
        <w:ind w:firstLine="420" w:firstLineChars="200"/>
        <w:rPr>
          <w:kern w:val="0"/>
          <w:szCs w:val="21"/>
        </w:rPr>
      </w:pPr>
      <w:r>
        <w:rPr>
          <w:rFonts w:hint="eastAsia"/>
          <w:kern w:val="0"/>
          <w:szCs w:val="21"/>
        </w:rPr>
        <w:t>供应商使用 CA 数字证书或电子营业执照登录北京市政府采购电子交易平台获取电子招标文件。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采购包文件的投标无效。</w:t>
      </w:r>
    </w:p>
    <w:p w14:paraId="753B2C3B">
      <w:pPr>
        <w:spacing w:line="360" w:lineRule="auto"/>
        <w:ind w:firstLine="420" w:firstLineChars="200"/>
        <w:rPr>
          <w:szCs w:val="21"/>
        </w:rPr>
      </w:pPr>
      <w:r>
        <w:rPr>
          <w:rFonts w:hint="eastAsia"/>
          <w:szCs w:val="21"/>
        </w:rPr>
        <w:t>3.5 本项目北京市政府采购电子交易平台为线上线下相结合，电子版招标文件下载后，需投标人递交纸质版投标文件。</w:t>
      </w:r>
    </w:p>
    <w:p w14:paraId="2FD75B41">
      <w:pPr>
        <w:spacing w:line="360" w:lineRule="auto"/>
        <w:ind w:firstLine="420" w:firstLineChars="200"/>
        <w:rPr>
          <w:szCs w:val="21"/>
        </w:rPr>
      </w:pPr>
      <w:r>
        <w:rPr>
          <w:rFonts w:hint="eastAsia"/>
          <w:szCs w:val="21"/>
        </w:rPr>
        <w:t>4.评分方法和标准：综合评分法。</w:t>
      </w:r>
    </w:p>
    <w:p w14:paraId="5E7E313E">
      <w:pPr>
        <w:spacing w:line="360" w:lineRule="auto"/>
        <w:ind w:firstLine="420" w:firstLineChars="200"/>
        <w:rPr>
          <w:szCs w:val="21"/>
        </w:rPr>
      </w:pPr>
      <w:r>
        <w:rPr>
          <w:rFonts w:hint="eastAsia"/>
          <w:szCs w:val="21"/>
        </w:rPr>
        <w:t>5.投标人须于开标当日的投标截止时间前递交投标文件。</w:t>
      </w:r>
    </w:p>
    <w:p w14:paraId="2614A0B5">
      <w:pPr>
        <w:spacing w:line="360" w:lineRule="auto"/>
        <w:ind w:firstLine="420" w:firstLineChars="200"/>
        <w:rPr>
          <w:szCs w:val="21"/>
        </w:rPr>
      </w:pPr>
      <w:r>
        <w:rPr>
          <w:rFonts w:hint="eastAsia"/>
          <w:szCs w:val="21"/>
        </w:rPr>
        <w:t>6.</w:t>
      </w:r>
      <w:r>
        <w:rPr>
          <w:szCs w:val="21"/>
        </w:rPr>
        <w:t>招标编号/包号：</w:t>
      </w:r>
      <w:r>
        <w:rPr>
          <w:rFonts w:hint="eastAsia"/>
          <w:szCs w:val="21"/>
        </w:rPr>
        <w:t>CFTC-BJ01-2508014-04（编制投标文件时使用此编号）</w:t>
      </w:r>
    </w:p>
    <w:p w14:paraId="52860AA3">
      <w:pPr>
        <w:pStyle w:val="2"/>
        <w:spacing w:before="0" w:line="360" w:lineRule="auto"/>
        <w:jc w:val="left"/>
        <w:rPr>
          <w:rFonts w:ascii="Times New Roman" w:hAnsi="Times New Roman" w:eastAsia="宋体"/>
          <w:sz w:val="21"/>
          <w:szCs w:val="21"/>
        </w:rPr>
      </w:pPr>
      <w:r>
        <w:rPr>
          <w:rFonts w:ascii="Times New Roman" w:hAnsi="Times New Roman" w:eastAsia="宋体"/>
          <w:sz w:val="21"/>
          <w:szCs w:val="21"/>
        </w:rPr>
        <w:t>七、对本次招标提出询问，请按以下方式联系。</w:t>
      </w:r>
      <w:bookmarkEnd w:id="28"/>
      <w:bookmarkEnd w:id="29"/>
      <w:bookmarkEnd w:id="30"/>
      <w:bookmarkEnd w:id="31"/>
      <w:bookmarkEnd w:id="32"/>
    </w:p>
    <w:p w14:paraId="23C11AAA">
      <w:pPr>
        <w:pStyle w:val="3"/>
        <w:spacing w:line="360" w:lineRule="auto"/>
        <w:ind w:firstLine="630" w:firstLineChars="300"/>
        <w:rPr>
          <w:rFonts w:hint="default"/>
          <w:szCs w:val="21"/>
        </w:rPr>
      </w:pPr>
      <w:r>
        <w:rPr>
          <w:szCs w:val="21"/>
        </w:rPr>
        <w:t>1.采购人信息</w:t>
      </w:r>
    </w:p>
    <w:p w14:paraId="53FB6B1A">
      <w:pPr>
        <w:pStyle w:val="3"/>
        <w:spacing w:line="360" w:lineRule="auto"/>
        <w:ind w:firstLine="630" w:firstLineChars="300"/>
        <w:rPr>
          <w:rFonts w:hint="default"/>
          <w:szCs w:val="21"/>
        </w:rPr>
      </w:pPr>
      <w:r>
        <w:rPr>
          <w:szCs w:val="21"/>
        </w:rPr>
        <w:t xml:space="preserve">名称：北京联合大学　         </w:t>
      </w:r>
    </w:p>
    <w:p w14:paraId="5F74752F">
      <w:pPr>
        <w:pStyle w:val="3"/>
        <w:spacing w:line="360" w:lineRule="auto"/>
        <w:ind w:firstLine="630" w:firstLineChars="300"/>
        <w:rPr>
          <w:rFonts w:hint="default"/>
          <w:szCs w:val="21"/>
        </w:rPr>
      </w:pPr>
      <w:r>
        <w:rPr>
          <w:szCs w:val="21"/>
        </w:rPr>
        <w:t xml:space="preserve">地址：北京市朝阳区北四环东路97号 </w:t>
      </w:r>
    </w:p>
    <w:p w14:paraId="3AC9AD18">
      <w:pPr>
        <w:pStyle w:val="3"/>
        <w:spacing w:line="360" w:lineRule="auto"/>
        <w:ind w:firstLine="630" w:firstLineChars="300"/>
        <w:rPr>
          <w:rFonts w:hint="default"/>
          <w:szCs w:val="21"/>
        </w:rPr>
      </w:pPr>
      <w:r>
        <w:rPr>
          <w:szCs w:val="21"/>
        </w:rPr>
        <w:t>联系方</w:t>
      </w:r>
      <w:r>
        <w:rPr>
          <w:rFonts w:hAnsi="宋体" w:cs="宋体"/>
          <w:szCs w:val="21"/>
        </w:rPr>
        <w:t xml:space="preserve">式：张老师 010-64900063 </w:t>
      </w:r>
    </w:p>
    <w:p w14:paraId="4FC96CC1">
      <w:pPr>
        <w:pStyle w:val="3"/>
        <w:spacing w:line="360" w:lineRule="auto"/>
        <w:ind w:firstLine="630" w:firstLineChars="300"/>
        <w:rPr>
          <w:rFonts w:hint="default"/>
          <w:szCs w:val="21"/>
        </w:rPr>
      </w:pPr>
      <w:r>
        <w:rPr>
          <w:szCs w:val="21"/>
        </w:rPr>
        <w:t>2.采购代理机构信息</w:t>
      </w:r>
    </w:p>
    <w:p w14:paraId="2B1CB744">
      <w:pPr>
        <w:pStyle w:val="3"/>
        <w:spacing w:line="360" w:lineRule="auto"/>
        <w:ind w:firstLine="630" w:firstLineChars="300"/>
        <w:rPr>
          <w:rFonts w:hint="default"/>
          <w:szCs w:val="21"/>
        </w:rPr>
      </w:pPr>
      <w:r>
        <w:rPr>
          <w:szCs w:val="21"/>
        </w:rPr>
        <w:t xml:space="preserve">名称：国金招标有限公司 </w:t>
      </w:r>
    </w:p>
    <w:p w14:paraId="07D22490">
      <w:pPr>
        <w:pStyle w:val="3"/>
        <w:spacing w:line="360" w:lineRule="auto"/>
        <w:ind w:firstLine="630" w:firstLineChars="300"/>
        <w:rPr>
          <w:rFonts w:hint="default"/>
          <w:szCs w:val="21"/>
        </w:rPr>
      </w:pPr>
      <w:r>
        <w:rPr>
          <w:szCs w:val="21"/>
        </w:rPr>
        <w:t>地址：北京市朝阳区东三环南路甲52号顺迈金钻国际商务中心9层9C</w:t>
      </w:r>
    </w:p>
    <w:p w14:paraId="16063AE7">
      <w:pPr>
        <w:pStyle w:val="3"/>
        <w:spacing w:line="360" w:lineRule="auto"/>
        <w:ind w:firstLine="630" w:firstLineChars="300"/>
        <w:rPr>
          <w:rFonts w:hint="default"/>
          <w:szCs w:val="21"/>
        </w:rPr>
      </w:pPr>
      <w:r>
        <w:rPr>
          <w:szCs w:val="21"/>
        </w:rPr>
        <w:t>联系方式：杨振豪、刘晓红、孙涛、王树凡、刘思雨、王佳乐、王涵、边璐、谢丹丹、孔政、邵柄强、张含勇 010-53681306/1309、13552541378</w:t>
      </w:r>
    </w:p>
    <w:p w14:paraId="5F38F72D">
      <w:pPr>
        <w:pStyle w:val="3"/>
        <w:spacing w:line="360" w:lineRule="auto"/>
        <w:ind w:firstLine="630" w:firstLineChars="300"/>
        <w:rPr>
          <w:rFonts w:hint="default"/>
          <w:szCs w:val="21"/>
        </w:rPr>
      </w:pPr>
      <w:r>
        <w:rPr>
          <w:szCs w:val="21"/>
        </w:rPr>
        <w:t>3.项目联系方式</w:t>
      </w:r>
    </w:p>
    <w:p w14:paraId="6E9ABC28">
      <w:pPr>
        <w:pStyle w:val="3"/>
        <w:spacing w:line="360" w:lineRule="auto"/>
        <w:ind w:firstLine="630" w:firstLineChars="300"/>
        <w:rPr>
          <w:rFonts w:hint="default"/>
          <w:szCs w:val="21"/>
        </w:rPr>
      </w:pPr>
      <w:r>
        <w:rPr>
          <w:szCs w:val="21"/>
        </w:rPr>
        <w:t>项目联系人：杨振豪、刘晓红</w:t>
      </w:r>
    </w:p>
    <w:p w14:paraId="700188A0">
      <w:pPr>
        <w:ind w:firstLine="630" w:firstLineChars="300"/>
      </w:pPr>
      <w:r>
        <w:rPr>
          <w:szCs w:val="21"/>
        </w:rPr>
        <w:t>电话： 010-53681306/1309、13552541378</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076056"/>
    <w:rsid w:val="2F493C18"/>
    <w:rsid w:val="36835E6A"/>
    <w:rsid w:val="3D3B124C"/>
    <w:rsid w:val="60294B99"/>
    <w:rsid w:val="793F5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2025-10-22T06:17:50Z</dcterms:created>
  <dc:creator>admin</dc:creator>
  <cp:lastModifiedBy>招标代理-刘晓红</cp:lastModifiedBy>
  <dcterms:modified xsi:type="dcterms:W3CDTF">2025-10-22T06:21:54Z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eyJoZGlkIjoiMDczN2VjYjQ0NmU1YzY1MzQxMjNkMDY3NTRkYmNhM2IiLCJ1c2VySWQiOiIzNzAwOTg2NDcifQ==</vt:lpwstr>
  </property>
  <property fmtid="{D5CDD505-2E9C-101B-9397-08002B2CF9AE}" pid="4" name="ICV">
    <vt:lpwstr>022FD4F9C8334F9B9A2597CA4A35DE2C_12</vt:lpwstr>
  </property>
</Properties>
</file>