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2595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采购需求</w:t>
      </w:r>
      <w:bookmarkEnd w:id="0"/>
    </w:p>
    <w:p w14:paraId="6E2B5724">
      <w:pPr>
        <w:spacing w:line="360" w:lineRule="auto"/>
        <w:contextualSpacing/>
        <w:rPr>
          <w:sz w:val="24"/>
          <w:highlight w:val="none"/>
        </w:rPr>
      </w:pPr>
      <w:bookmarkStart w:id="1" w:name="_GoBack"/>
      <w:bookmarkEnd w:id="1"/>
    </w:p>
    <w:p w14:paraId="13DD2330">
      <w:pPr>
        <w:pStyle w:val="4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采购标的</w:t>
      </w:r>
    </w:p>
    <w:p w14:paraId="0A6ED043">
      <w:pPr>
        <w:spacing w:line="360" w:lineRule="auto"/>
        <w:contextualSpacing/>
        <w:rPr>
          <w:bCs/>
          <w:sz w:val="24"/>
          <w:highlight w:val="none"/>
        </w:rPr>
      </w:pPr>
      <w:r>
        <w:rPr>
          <w:bCs/>
          <w:sz w:val="24"/>
          <w:highlight w:val="none"/>
        </w:rPr>
        <w:t>1. 采购标的</w:t>
      </w:r>
    </w:p>
    <w:tbl>
      <w:tblPr>
        <w:tblStyle w:val="2"/>
        <w:tblW w:w="9001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950"/>
        <w:gridCol w:w="900"/>
        <w:gridCol w:w="900"/>
        <w:gridCol w:w="2175"/>
        <w:gridCol w:w="2175"/>
      </w:tblGrid>
      <w:tr w14:paraId="7EC46EE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44B89C6B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序号</w:t>
            </w:r>
          </w:p>
        </w:tc>
        <w:tc>
          <w:tcPr>
            <w:tcW w:w="1950" w:type="dxa"/>
          </w:tcPr>
          <w:p w14:paraId="229BCA80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货物或服务名称</w:t>
            </w:r>
          </w:p>
        </w:tc>
        <w:tc>
          <w:tcPr>
            <w:tcW w:w="900" w:type="dxa"/>
          </w:tcPr>
          <w:p w14:paraId="775AFFE4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数量</w:t>
            </w:r>
          </w:p>
        </w:tc>
        <w:tc>
          <w:tcPr>
            <w:tcW w:w="900" w:type="dxa"/>
          </w:tcPr>
          <w:p w14:paraId="1620CABB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单位</w:t>
            </w:r>
          </w:p>
        </w:tc>
        <w:tc>
          <w:tcPr>
            <w:tcW w:w="2175" w:type="dxa"/>
          </w:tcPr>
          <w:p w14:paraId="1112D8A9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备注（核心产品）</w:t>
            </w:r>
          </w:p>
        </w:tc>
        <w:tc>
          <w:tcPr>
            <w:tcW w:w="2175" w:type="dxa"/>
          </w:tcPr>
          <w:p w14:paraId="632BDA63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是否接受进口产品</w:t>
            </w:r>
          </w:p>
        </w:tc>
      </w:tr>
      <w:tr w14:paraId="09BE521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13F249AC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950" w:type="dxa"/>
          </w:tcPr>
          <w:p w14:paraId="1CA0A3FA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高性能服务器</w:t>
            </w:r>
          </w:p>
        </w:tc>
        <w:tc>
          <w:tcPr>
            <w:tcW w:w="900" w:type="dxa"/>
          </w:tcPr>
          <w:p w14:paraId="5DDDCC82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900" w:type="dxa"/>
          </w:tcPr>
          <w:p w14:paraId="59F98FEF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台</w:t>
            </w:r>
          </w:p>
        </w:tc>
        <w:tc>
          <w:tcPr>
            <w:tcW w:w="2175" w:type="dxa"/>
          </w:tcPr>
          <w:p w14:paraId="3708AEF7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是</w:t>
            </w:r>
          </w:p>
        </w:tc>
        <w:tc>
          <w:tcPr>
            <w:tcW w:w="2175" w:type="dxa"/>
          </w:tcPr>
          <w:p w14:paraId="2C8B36A5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否</w:t>
            </w:r>
          </w:p>
        </w:tc>
      </w:tr>
      <w:tr w14:paraId="0DB863C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38884D60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1950" w:type="dxa"/>
          </w:tcPr>
          <w:p w14:paraId="005F62B5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服务器互联设备</w:t>
            </w:r>
          </w:p>
        </w:tc>
        <w:tc>
          <w:tcPr>
            <w:tcW w:w="900" w:type="dxa"/>
          </w:tcPr>
          <w:p w14:paraId="04317A64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900" w:type="dxa"/>
          </w:tcPr>
          <w:p w14:paraId="1A48FF41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台</w:t>
            </w:r>
          </w:p>
        </w:tc>
        <w:tc>
          <w:tcPr>
            <w:tcW w:w="2175" w:type="dxa"/>
          </w:tcPr>
          <w:p w14:paraId="7A8142E5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否</w:t>
            </w:r>
          </w:p>
        </w:tc>
        <w:tc>
          <w:tcPr>
            <w:tcW w:w="2175" w:type="dxa"/>
          </w:tcPr>
          <w:p w14:paraId="03B6D2D4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否</w:t>
            </w:r>
          </w:p>
        </w:tc>
      </w:tr>
    </w:tbl>
    <w:p w14:paraId="09AA6CA0">
      <w:pPr>
        <w:spacing w:line="360" w:lineRule="auto"/>
        <w:contextualSpacing/>
        <w:rPr>
          <w:bCs/>
          <w:sz w:val="24"/>
          <w:highlight w:val="none"/>
        </w:rPr>
      </w:pPr>
    </w:p>
    <w:p w14:paraId="4F139224">
      <w:pPr>
        <w:spacing w:line="360" w:lineRule="auto"/>
        <w:contextualSpacing/>
        <w:rPr>
          <w:bCs/>
          <w:sz w:val="24"/>
          <w:highlight w:val="none"/>
        </w:rPr>
      </w:pPr>
      <w:r>
        <w:rPr>
          <w:bCs/>
          <w:sz w:val="24"/>
          <w:highlight w:val="none"/>
        </w:rPr>
        <w:t>2. 项目背景</w:t>
      </w:r>
    </w:p>
    <w:p w14:paraId="45C1C269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当前人工智能（AI）、深度学习、大数据分析等技术成为高等教育与科研核心方向，此类领域需高密度并行计算能力，而传统 CPU 服务器无法满足学校所需的AI应用的高效算力需求。采购具备高性能计算能力的服务器成为关键。</w:t>
      </w:r>
    </w:p>
    <w:p w14:paraId="003D4582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新购的高性能服务器主要用于以下几个方面：</w:t>
      </w:r>
    </w:p>
    <w:p w14:paraId="7889AE42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1、为人工智能与语言认知科学研究提供实验计算资源；</w:t>
      </w:r>
    </w:p>
    <w:p w14:paraId="163A1761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2、多语种国际传播人才培养提供基础算力支撑；</w:t>
      </w:r>
    </w:p>
    <w:p w14:paraId="7225FFFC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3、全面提升学生的融媒体内容生产能力，促进国际传播实践教学改革，提高外语专业学生的就业竞争力；</w:t>
      </w:r>
    </w:p>
    <w:p w14:paraId="14601B91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4、全面培养学生人工智能素养，构建“外语+AI”复合型人才核心竞争力，深度融合语言学科与前沿技术，助力我校智能化转型。</w:t>
      </w:r>
    </w:p>
    <w:p w14:paraId="7491C040">
      <w:pPr>
        <w:pStyle w:val="4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商务要求</w:t>
      </w:r>
    </w:p>
    <w:p w14:paraId="3EE3D6DF">
      <w:pPr>
        <w:spacing w:line="360" w:lineRule="auto"/>
        <w:contextualSpacing/>
        <w:rPr>
          <w:i/>
          <w:sz w:val="24"/>
          <w:highlight w:val="none"/>
        </w:rPr>
      </w:pPr>
      <w:r>
        <w:rPr>
          <w:sz w:val="24"/>
          <w:highlight w:val="none"/>
        </w:rPr>
        <w:t>1. 交付的时间和地点</w:t>
      </w:r>
    </w:p>
    <w:p w14:paraId="720BF278">
      <w:pPr>
        <w:numPr>
          <w:ilvl w:val="0"/>
          <w:numId w:val="2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交货时间：签订合同后30日内</w:t>
      </w:r>
    </w:p>
    <w:p w14:paraId="232CA365">
      <w:pPr>
        <w:numPr>
          <w:ilvl w:val="0"/>
          <w:numId w:val="2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地点：北京第二外国语学院</w:t>
      </w:r>
    </w:p>
    <w:p w14:paraId="5F2A7527"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2. 付款条件</w:t>
      </w:r>
    </w:p>
    <w:p w14:paraId="1C5741E3">
      <w:pPr>
        <w:numPr>
          <w:ilvl w:val="0"/>
          <w:numId w:val="3"/>
        </w:numPr>
        <w:spacing w:line="360" w:lineRule="auto"/>
        <w:contextualSpacing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合同签订后30 日内，采购人向中标人支付合同总金额50%的首款   元；</w:t>
      </w:r>
    </w:p>
    <w:p w14:paraId="46A654BC">
      <w:pPr>
        <w:numPr>
          <w:ilvl w:val="0"/>
          <w:numId w:val="3"/>
        </w:numPr>
        <w:spacing w:line="360" w:lineRule="auto"/>
        <w:contextualSpacing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货到后经验收设备信息无误，7个工作日内采购人向中标人支付剩余50%货款，中标人向采购人提供到货签收单；</w:t>
      </w:r>
    </w:p>
    <w:p w14:paraId="4B47ACEC">
      <w:pPr>
        <w:numPr>
          <w:ilvl w:val="0"/>
          <w:numId w:val="3"/>
        </w:numPr>
        <w:spacing w:line="360" w:lineRule="auto"/>
        <w:contextualSpacing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中标人应提前开具符合国家规定的正式发票并交付采购人。（若中标人未按时间和要求出具发票，采购人支付时间顺延，直至中标人出具发票为止）</w:t>
      </w:r>
    </w:p>
    <w:p w14:paraId="537A9255"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3. 包装和运输</w:t>
      </w:r>
    </w:p>
    <w:p w14:paraId="38FCF3A9">
      <w:pPr>
        <w:numPr>
          <w:ilvl w:val="0"/>
          <w:numId w:val="4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乙方交付的所有合同货物应具有适于运输的坚固包装，并且乙方应根据合同货物的不同特性和要求采取防潮、防雨、防锈、防震、防腐等保护措施，须满足《关于印发《商品包装政府采购需求标准（试行）》、《快递包装政府采购需求标准（试行）》的通知》（财办库﹝2020﹞123号）），以确保合同货物安全无损地送达交货地点。</w:t>
      </w:r>
    </w:p>
    <w:p w14:paraId="3C34BBDA">
      <w:pPr>
        <w:numPr>
          <w:ilvl w:val="0"/>
          <w:numId w:val="4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下列资料包装在合同货物的包装箱中：</w:t>
      </w:r>
    </w:p>
    <w:p w14:paraId="11966DD9">
      <w:pPr>
        <w:numPr>
          <w:ilvl w:val="0"/>
          <w:numId w:val="4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装箱单</w:t>
      </w:r>
    </w:p>
    <w:p w14:paraId="4A9EED1B">
      <w:pPr>
        <w:numPr>
          <w:ilvl w:val="0"/>
          <w:numId w:val="4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合同货物数量和质量合格证书、保修证书</w:t>
      </w:r>
    </w:p>
    <w:p w14:paraId="10FC8655">
      <w:pPr>
        <w:numPr>
          <w:ilvl w:val="0"/>
          <w:numId w:val="4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产品使用说明书及其它必要的技术资料</w:t>
      </w:r>
    </w:p>
    <w:p w14:paraId="3D05B300">
      <w:pPr>
        <w:numPr>
          <w:ilvl w:val="0"/>
          <w:numId w:val="4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凡由于中标人对合同货物包装不善、标记不明、防护措施不当或在合同货物装箱前保管不良，致使合同货物遭到损坏或丢失，中标人应负责免费修理或更换，并承担由此给采购人造成的一切损失。</w:t>
      </w:r>
    </w:p>
    <w:p w14:paraId="4125500A"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4. 售后服务（质保期）</w:t>
      </w:r>
    </w:p>
    <w:p w14:paraId="21B7F350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质保期限及质保服务标准：质保期限为3 年，设备原厂提供售后服务，服务期内维修、上门服务、材料、随时接受咨询；服务响应时间：接通知之后2 小时内到达指定地点。投标人需提供针对以上售后服务要求的承诺函。投标人需提供质保期满后的技术服务承诺函：针对本项目的质保期外服务承诺及质保期后的优惠措施，承诺函的内容可包含：“设备一旦出现故障，提供备品替换使用，再对故障设备进行维护;提供7*24 小时维修服务，在接到用户服务请求后，1 小时内作出响应，如果电话支持不能解决问题，应在4小时内到达现场，即时解决故障。设备故障维修只收取器件成本费及维修人工费”。</w:t>
      </w:r>
    </w:p>
    <w:p w14:paraId="73E33755">
      <w:pPr>
        <w:spacing w:line="360" w:lineRule="auto"/>
        <w:contextualSpacing/>
        <w:rPr>
          <w:b/>
          <w:i/>
          <w:sz w:val="24"/>
          <w:highlight w:val="none"/>
        </w:rPr>
      </w:pPr>
    </w:p>
    <w:p w14:paraId="5C889D1C">
      <w:pPr>
        <w:pStyle w:val="4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技术要求</w:t>
      </w:r>
    </w:p>
    <w:p w14:paraId="4E1979E5"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1. 基本要求</w:t>
      </w:r>
    </w:p>
    <w:p w14:paraId="56AA6FC6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1.1 采购标的需实现的功能或者目标</w:t>
      </w:r>
    </w:p>
    <w:p w14:paraId="3BE09CA9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满足多学科科研算力需求，可高效承载实训平台建设，单节点或集群算力需适配中等规模科研项目需求，且支持算力弹性扩展（如后续节点扩容），弥补传统 CPU 服务器并行计算能力不足的短板。</w:t>
      </w:r>
    </w:p>
    <w:p w14:paraId="7D16E4B8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1.2 需执行的国家相关标准、行业标准、地方标准或者其他标准、规范</w:t>
      </w:r>
    </w:p>
    <w:p w14:paraId="0BBEBD99">
      <w:p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项目建设主要依据北京《北京市高等学校智慧校园建设规范》 《北京十四五信息化规划》等文件要求，建设此项目。</w:t>
      </w:r>
    </w:p>
    <w:p w14:paraId="0292205F"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2. 服务内容及要求/货物技术要求</w:t>
      </w:r>
    </w:p>
    <w:p w14:paraId="57648AF8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2.1采购标的需满足的性能、材料、结构、外观、质量、安全、技术规格、物理特性等要求</w:t>
      </w:r>
    </w:p>
    <w:p w14:paraId="0A7D07AB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①指标按重要性分为“★”和“▲”。★代表实质性指标，不满足该指标项将导致投标被拒绝，▲代表重要指标。</w:t>
      </w:r>
    </w:p>
    <w:p w14:paraId="312CCFB0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②“证明材料要求”项可填“是”和“否”。填“是”的，投标人须提供包含相关指标项的证明材料，证明材料可以使用生产厂家官方网站截图、产品彩页或</w:t>
      </w:r>
      <w:r>
        <w:rPr>
          <w:rFonts w:hint="eastAsia"/>
          <w:sz w:val="24"/>
          <w:highlight w:val="none"/>
          <w:lang w:val="en-US" w:eastAsia="zh-CN"/>
        </w:rPr>
        <w:t>产品功能截图</w:t>
      </w:r>
      <w:r>
        <w:rPr>
          <w:rFonts w:hint="eastAsia"/>
          <w:sz w:val="24"/>
          <w:highlight w:val="none"/>
        </w:rPr>
        <w:t>，未提供有效证明材料或证明材料中内容与所填报指标不一致的，该指标按不满足处理。</w:t>
      </w:r>
    </w:p>
    <w:p w14:paraId="64D80D0F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1.高性能服务器</w:t>
      </w:r>
    </w:p>
    <w:tbl>
      <w:tblPr>
        <w:tblStyle w:val="2"/>
        <w:tblW w:w="87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66"/>
        <w:gridCol w:w="803"/>
        <w:gridCol w:w="1139"/>
        <w:gridCol w:w="2804"/>
        <w:gridCol w:w="2842"/>
      </w:tblGrid>
      <w:tr w14:paraId="54D0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A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F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指标分类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7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一级指标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F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二级指标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A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指标要求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7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证明材料要</w:t>
            </w:r>
          </w:p>
          <w:p w14:paraId="34D54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求</w:t>
            </w:r>
          </w:p>
        </w:tc>
      </w:tr>
      <w:tr w14:paraId="57660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1E11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1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CE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CPU规格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2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★CPU信息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8F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供应商给出CPU信息，包含CPU型号、物理核心数、主频、末级缓存容量、线程数、热设计功耗及支持内存的最高速率、通道数和位宽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223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要求给出指标要求中所需的参数信息，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550BF2AB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  <w:p w14:paraId="26906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7627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46A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C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3B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主板规格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★主板支持的CPU和内存情况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E0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供应商给出主板支持的CPU和内存的型号数量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B6D8">
            <w:pPr>
              <w:widowControl/>
              <w:jc w:val="center"/>
              <w:textAlignment w:val="center"/>
              <w:rPr>
                <w:highlight w:val="none"/>
              </w:rPr>
            </w:pPr>
          </w:p>
          <w:p w14:paraId="6B7BC0A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要求给出指标要求中所需的参数信息，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249E139A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  <w:p w14:paraId="5CFDB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7779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560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C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61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C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★主板内存槽数量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94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支持≥32个DDR5内存插槽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8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53C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59E2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2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AD61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D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★主板存储接口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818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至少支持SATA、SAS、M.2、U.2等存储接口中的1种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8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5E7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1A3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B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105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B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★PCIe插槽接口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A0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符合 PCIe4.0 或以上的高速串行计算机扩展总线标准，PCIe 的接口速率与位宽需保证向下兼容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BE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CDE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3CA9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4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F8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3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★主板PCIe插槽数量及规格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ED2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双路服务器PCIe 插槽或接口应不少于10个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F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A5D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EAE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70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DE95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6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主板OCP插槽数量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E6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支持OCP3.0及以上插槽的数量不少于1个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B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939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AD1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1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7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E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★内存数量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48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≥24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3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956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737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F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4FD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6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★内存规格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6A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≥DDR5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B3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1C2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8D0D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A9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0C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B6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★内存通道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4D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每个CPU内存通道≥8，最大支持16个DDR5内存插槽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8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564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4D3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E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1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存储规格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5D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硬盘类型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B9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供应商给出服务器支持硬磁盘和固态盘类型及规格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74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B99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133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3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6C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F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★硬磁盘实配容量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76B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单块SSD硬盘容量≥1.92TB和单块NVME SSD硬盘容量≥7.68TB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9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B563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AAFC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AF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23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1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硬盘接口类型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36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a)若配备硬磁盘，应提供SAS3.0或SATA3.0及以上接口；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b)若配备固态盘，应提供至少1种类型固态盘接口，如UFS、SATA、PCIe等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0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105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AEEE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0E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A4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2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★硬盘实配数量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18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1.92TB SSD硬盘≥2块，7.68TB NVME SSD硬盘≥4块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4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CDB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D0E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8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911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6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★硬盘插槽数量及规格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6CF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a)配置的2.5英寸硬盘；</w:t>
            </w:r>
          </w:p>
          <w:p w14:paraId="38CFF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b)服务器可支持的硬盘数量应不少于16块。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D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281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BBB7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F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RAID卡规格（若支持RAID卡）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C5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RAID卡支持的SAS接口数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E68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≥8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0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91B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52F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D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6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SAS直通卡规格（若支持SAS直通卡）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E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SAS直通卡SAS接口数量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A8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6E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90F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97D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4E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10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HBA卡规格（若支持HBA直通卡）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7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HBA卡端口数量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86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2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1E1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B66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8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87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网络规格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1E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★网口速率和数量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F8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配置25GE光口不少于4个,支持ROCE（满配25GE光模块）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A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2813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0C2E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54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5D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外部接口规格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26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★显示接口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05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显示接口类型应不少于1种，如：VGA、DP、HDMI等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77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651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8517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5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46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6C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★USB接口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26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配备USB接口，如USB2.0、USB3.0等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05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942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48E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6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35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0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特殊接口及孔位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22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前面板预留1个专用USB母座接口孔位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0A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105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8E8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93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B2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9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52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a)串口数量不少于1个，并可实现GB/T6107或GB/T26803.2的相关功能；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b)服务器主机前面板可根据用户实际使用需求预留1个专用USB母座接口孔位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5F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7E5E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2761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9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6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电源规格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C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电源冗余模式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971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整机电源模块按1+1冗余或N+1冗余配置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B6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C34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42C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4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23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2D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★电源模块数量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B4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≥5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BB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6B63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192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D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96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09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★电源功率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95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0"/>
                <w:szCs w:val="20"/>
                <w:highlight w:val="none"/>
                <w:lang w:bidi="ar"/>
              </w:rPr>
              <w:t>CPU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电源模块功率</w:t>
            </w:r>
            <w:r>
              <w:rPr>
                <w:rFonts w:hint="eastAsia" w:cs="宋体"/>
                <w:kern w:val="0"/>
                <w:sz w:val="20"/>
                <w:szCs w:val="20"/>
                <w:highlight w:val="none"/>
                <w:lang w:bidi="ar"/>
              </w:rPr>
              <w:t>≥2000W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数量≥2；GPU电源模块≥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3000W 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，数量≥3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A41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07E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0EF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3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558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7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电源指示灯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12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配备电源指示灯，指示待机、工作异常等状态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2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2E1E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40B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4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A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★外观和结构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EB4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a)服务器的零部件应紧固无松动，可插拔部件应可靠连接，开关、按钮和其它控制部件应灵活可靠，布局应方便使用；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b)产品表面不应有明显的凹痕、划伤、裂缝、变形和污染等。表面涂层均匀，不应起泡、龟裂、脱落和磨损，金属零部件无锈蚀及其它机械损伤；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c)产品表面说明功能的文字、符号和标志应清晰、端正且牢固；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d)应在服务器的显著位置提供运行状态的指示功能，并在随机文件中明确具体含义；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e)机架、机箱的尺寸应符合通用机柜的安装要求，插入总线插座的电路板接口外形尺寸应符合有关总线标准的规定，将机箱固定在机柜上，机箱底面最大下垂变形不得干涉相邻机体；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f)高密度服务器应给出CPU个数与机柜高度（本项目不涉及）；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g)服务器尺寸具体要求在随机文件中明确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E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B28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BE6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EE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ED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5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★尺寸（高×宽×深）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4B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供应商给出产品尺寸；设计应遵循标准化、系列化的要求；机箱的内部结构符合通用部件的安装需要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22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FB6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7686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5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C48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F4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服务器导轨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35F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供应商给出导轨尺寸、安装方式等信息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8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9F3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5AB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7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19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21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与机柜高度单位（U）比CPU个数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0B2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供应商给出CPU个数与机柜高度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4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E57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6FF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9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EC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1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★环境适应性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E7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气候环境适应性应符合GB/T9813.3的有关规定，工作温度10-35℃，贮存运输温度-40-55℃；工作相对湿度35%-80%，贮存运输相对湿度20%-93%（40℃）；大气压86-106kPa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EE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B36C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0B4D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D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282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4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特殊机型环境适应性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EE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边缘应用服务器，工作环境温度宜为0-45℃，短期工作可承受环境温度宜为-5-55℃，液冷服务器贮存运输温度宜为-30-55℃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5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244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33B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5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FB3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A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★机械环境适应性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C2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机械环境适应性应符合GB/T9813.3的有关规定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3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C30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FDB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E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802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30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★噪声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D0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符合GB/T9813.3的有关规定，在产品说明中给出具体测试值塔式服务器噪声在空闲状态下不大于50dB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8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D78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363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CA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2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AI计算单元规格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77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AI计算单元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D5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实配≥8 块 AI 计算单元，单卡要求：单精度性能 FP32≥44TFLOPS，双精度性能FP64≥1TFLOPS，GPU 显存≥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128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GB，显存带宽 ≥ 4TB/s ，功耗 ≤500W 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B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F8B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3015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6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78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机柜规格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F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★机柜尺寸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603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供应商给出长度、高度和深度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067F">
            <w:pPr>
              <w:widowControl/>
              <w:jc w:val="center"/>
              <w:textAlignment w:val="center"/>
              <w:rPr>
                <w:highlight w:val="none"/>
              </w:rPr>
            </w:pPr>
          </w:p>
          <w:p w14:paraId="69C63EF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要求给出指标要求中所需的参数信息，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331F6E20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  <w:p w14:paraId="3E6EB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448D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133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B2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5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主板功能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6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★主板外部接口种类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A4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支持USB、显示、管理等接口，如：VGA、DP、HDMI、USB3.0、PS/2接口、BMC管理端口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D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3E3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7A01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1E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21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1A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主板防烧板设计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093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支持主板防烧板设计，保证电源故障后不扩散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A0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04CA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649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A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94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4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扩展功能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177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实现至少一种扩展功能，如存储功能卡、显示功能卡、运算加速功能卡及网络功能卡等扩展功能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33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4016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863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F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B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网络功能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55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★网络功能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6FF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支持网络连接、网络访问、数据交换和网络管控功能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6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91A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E5D6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9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F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CPU功能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BA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★计算处理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CE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支持通用计算及虚拟化功能。处理器需集成整型计算单元、浮点计算单元、内存控制器、I/O模块等，处理器与存储部件、网络部件、I/O部件等组成计算系统，提供数据处理、网络接入等计算相关功能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3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AFC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0477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39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C4F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38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★密码算法实现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44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CPU芯片应符合GM/T0008的相关规定，或芯片密码模块应符合GB/T37092或GM/T0028的相关规定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9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416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7E45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FB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D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存储功能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96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内存校验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67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支持内存校验或内存增强型纠错功能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F8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15D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6B4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D0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4C6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EA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SATA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SSD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NAND健康状态上报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F70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支持关键外部存储器（硬磁盘、SSD等）的健康状态上报并进行故障诊断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5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877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F878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5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B5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B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SATA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SSD单die故障隔离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06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支持SSD关键外部存储器中单存储晶元故障隔离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8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345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A86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8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7E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RAID卡功能（若支持RAID卡）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F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RAID卡RAID级别支持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F7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RAID模式支持RAID0/1/10/5，存储型支持RAID0/1/5/6/10/50/60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A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8F5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D34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54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D7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0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RAID卡BBU单元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5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RAID卡支持电池或电容备份单元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3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B80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2828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A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7B1F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电源功能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AE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★电源热插拔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F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整机电源模块应具备热插拔功能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6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FC0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875C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46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2619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48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★电源过流保护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FD7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支持过流及短路保护的功能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4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DF1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882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DE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B8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22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★散热方式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FB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支持风冷或液冷等散热方式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81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1A90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AAE1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D1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E6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6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风扇能力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0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支持15个高性能风扇，支持N+1冗余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highlight w:val="none"/>
                <w:lang w:bidi="ar"/>
              </w:rPr>
              <w:t>需提供</w:t>
            </w:r>
            <w:r>
              <w:rPr>
                <w:rFonts w:hint="eastAsia" w:cs="宋体"/>
                <w:color w:val="000000"/>
                <w:kern w:val="0"/>
                <w:sz w:val="20"/>
                <w:szCs w:val="18"/>
                <w:highlight w:val="none"/>
                <w:lang w:bidi="ar"/>
              </w:rPr>
              <w:t>产品官网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highlight w:val="none"/>
                <w:lang w:bidi="ar"/>
              </w:rPr>
              <w:t>截图</w:t>
            </w:r>
            <w:r>
              <w:rPr>
                <w:rFonts w:hint="eastAsia" w:cs="宋体"/>
                <w:color w:val="000000"/>
                <w:kern w:val="0"/>
                <w:sz w:val="20"/>
                <w:szCs w:val="18"/>
                <w:highlight w:val="none"/>
                <w:lang w:bidi="ar"/>
              </w:rPr>
              <w:t>或功能截图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45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是</w:t>
            </w:r>
          </w:p>
        </w:tc>
      </w:tr>
      <w:tr w14:paraId="5200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D04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B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DA2F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1D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6B9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a)支持关键部件冗余（包括电源、风扇等）；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b)支持熔断保护与恢复功能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6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EE7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85C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D6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7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管理系统功能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7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★BMC固件基础功能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B14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1)支持DHCP设置网络功能；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2)支持静态IP设置网络功能；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3)支持设备日志记录，包括但不限于登录日志、操作日志和报警日志等功能；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4)支持日志信息导出和记录删除功能；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5)支持通过管理接口向外输出准确的报警信息功能；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6)设备的BMC管理软件应能够按报警的严重程度进行区分；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7)支持IPMI2.0、SNMP或Redfish等接口功能；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9)支持基于网络开启、关闭和重启设备的功能，并查询当前设备开机运行状态；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10)支持故障提示功能，并可通过接口读取服务器故障信息；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11)支持基于网络的固件更新功能，包括BMC和BIOS等；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12)支持基于网络安装操作系统的功能，并可通过网络控制台访问设备；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13)支持通过本地的硬盘或光驱等存储设备，基于网络完成设备的操作系统安装功能；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14)支持通过浏览器打开管理界面并登录功能；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15)支持设置口令策略功能；16)支持访问权限设置功能，并通过日志记录访问事件；17)支持对出厂默认的用户名及口令进行安全保护功能，并提供默认口令修改提示；18)支持读取设备主板的工作环境温度功能；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19)支持读取服务器CPU等核心器件的温度功能；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20)支持通过外部管理工具进行BMC参数设置的功能，并可基于网络通过外部管理工具对BMC进行管理；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21)应支持固件版本查询、固件升级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22)支持基于网络实现开关机和复位控制的功能；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23)BMC启动时间应不超过180s，实现功能包括网络、IPMI、散热、传感器服务可用；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24)支持BMC固件设置的恢复出厂功能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9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C51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2FA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89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0D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2D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BMC固件增强功能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09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a)网络控制、安装提供图形访问界面网络；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b)设备的BMC管理软件界面显示报警信息，且能够按报警的严重程度进行区分；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c)WebGUI采用BMC端口直连，平均响应时间为不大于1s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6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1DE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547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2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594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A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★BIOS固件基础功能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E6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a）支持查看固件版本、内存信息、主板信息、处理器信息和系统时间信息功能；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b）支持上电初始化界面显示CPU信息、内存信息、固件版本和部分快捷键信息功能；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c）支持设置界面中英文显示切换功能；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d）支持查看PCIe设备信息，SATA设备信息功能；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e）支持操作系统安装和引导功能，应并向操作系统提供计算机主板信息和服务接口；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f）支持设置启动顺序，并按照设置的启动顺序启动功能；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g）支持安全启动功能；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h）支持设置口令、修改口令、验证口令功能；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i）支持板载显示控制或独立显卡的显示控制功能；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j）支持RAID识别和启动功能；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k）支持串口重定向功能；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l）支持固件更新功能；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m）支持BIOS固件设置的恢复出厂功能；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n）支持网络引导启用和关闭功能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0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44D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469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3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AE5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9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★远程控制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2DC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支持远程关机和重新启动功能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33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E66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CCC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A9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9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操作系统及驱动功能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15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★操作系统及驱动的升级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14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支持通过网络、闪存盘对操作系统、驱动进行升级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65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A87F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C558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D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CB93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3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操作系统及驱动的备份还原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273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支持操作系统备份及还原功能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55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F18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372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CA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8F9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6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★操作系统功能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1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a)支持访问控制、安全审计、网络接入鉴别等功能；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b)操作系统其他功能应满足操作系统政府采购需求标准中加★的指标要求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6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F5DA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485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6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91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中文信息处理功能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1C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★中文信息处理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3A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符合GB 18030的有关规定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8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0F5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1B8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E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0C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机柜功能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42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机柜管理功能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A0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机柜管理系统包括服务器节点BMC管理系统、机柜管理系统或交换节点管理系统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D3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B2C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DB3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8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EC3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D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机柜通信方式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12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若配备机柜管理板可实现包括：资产管理、电源模块、功耗管理和液冷漏液检测等功能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7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F04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F265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F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67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6D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多集群作业管理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5B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支持多集群作业管理功能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71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9D5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AAD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3D4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713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关键部件安全要求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EA1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★关键部件安全要求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776CF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CPU和操作系统等关键部件应当符合安全可靠测评要求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8F2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1357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7C09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2F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8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固件安全要求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C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★故障检测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A1B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支持故障检测功能，可以检测到具体的FRU（内存、硬盘等）的故障并发出告警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E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EDE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81D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31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6C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5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内存故障智能预测和自愈修复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CAD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支持内存故障智能预测和自愈修复，提前自动硬隔离，避免内存故障引起的非预期宕机以及内存寿命的降低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4E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8BD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16A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4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11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16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硬盘故障智能预测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5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支持硬盘故障智能预测，基于故障模型预测出硬盘的故障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A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FA6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8D6E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FC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CA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C9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PCIe链路故障智能诊断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23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支持PCIe链路故障智能诊断，判断出现故障的PCIe链路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A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9B0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3AD9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6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AC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C1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内存故障隔离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9D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支持内存故障隔离，在内存产生CE故障时，内存地址被隔离成功，服务器正常运行，业务系统不中断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7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33C8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4AC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8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0F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84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内存、PCIe卡的故障精准告警功能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BC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支持内存、PCIe卡的故障精准告警功能，触发告警并明确指示具体的故障位置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A9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1B6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E64B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44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225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A86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异常下电关键数据保护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3D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支持异常下电关键数据保护，支持数据备份恢复机制，防止系统异常掉电导致的数据文件丢失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6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0A0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F83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6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9D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F7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BMC/BIOS固件双镜像保护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C5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支持BMC/BIOS固件双镜像保护，运行异常时自动切换到备份镜像运行，提升系统稳定性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3C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6F3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C4F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4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860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40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▲BMC管理功能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2D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支持通过BMC页面带外设置BIOS选项，不限于启动模式（Setup Mode）系统语言（System Language）、插槽配置（Socket Configuration）、可信计算（Trusted Computing）PCI参数设置（PCI Subsystem Settings）、FRB - 2 定时器(FRB-2 Timer)、FRB - 2 定时器超时（FRB-2 Timer timeout）、FRB - 2 定时器策略（FRB-2 Timer Policy）密码复杂度检查（Password Complexity Check）、密码历史检查（Password History Check），需提供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8F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2F6D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2261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78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8A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86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▲BMC安全检测功能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6A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检测BMC存在的安全隐患。可集中展示账号认证安全和应用服务安全，账号认证安全包括：密码复杂度检查、弱口令字典认证功能、登录失败锁定（次）、密码有效期（天）等；应用服务安全包括：SNMP团体名超长口令、SNMP V1/V2C开启状态、KVM加密模式、正在使用默认的证书、TLS版本、证书剩余有效期（天）等安全配置状态，及时识别BMC安全配置的风险。 当检测到风险时，可以查看详细信息和建议提高系统的安全性，需提供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9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00E4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9007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6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D5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21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▲BMC特性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BF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BMC可以根据主机系统工作负载的特性，自动推荐和场景匹配的性能模板，需提供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E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70B07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3C1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15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D3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▲BMC主机监测功能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7B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BMC支持监控主机状态进程信息，需提供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E7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790F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FC4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E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291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9D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CPU核重启隔离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D7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支持CPU核发生不可纠正故障后，重启后由BIOS隔离该故障核，OS不可见，防止OS再次使用导致系统异常，核0除外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5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CFD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42F6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B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2F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AFC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内存地址隔离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C1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在硬件支持的情况下，支持故障内存地址重启后隔离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9B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D69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E51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1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B36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4D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▲BIOS开机自检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A4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支持BIOS 开机自检代码明文化展示，将BIOS启动过程中的所有自检代码以明文化的形式展示在界面中，方便快速定位POST阶段故障，需提供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B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22D2D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C36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9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9A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349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内存存储阵列替换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B2C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在硬件支持的情况下，支持故障内存存储阵列替换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0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9C5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530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30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882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3B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▲安全检测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84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支持通过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BMC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页面带外设置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BIOS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选项，不限于启动项、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CPU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参数调节、带外配置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PCIE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参数等，需提供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CA4E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/>
                <w:highlight w:val="none"/>
              </w:rPr>
              <w:t>是</w:t>
            </w:r>
          </w:p>
        </w:tc>
      </w:tr>
      <w:tr w14:paraId="52D3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AE9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0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03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15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安全启动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3C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支持执行环境要求在整个系统启动的过程中，系统应提供一个机制来保护平台的完整性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0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7F8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3DE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C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BB5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8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▲服务器安全</w:t>
            </w:r>
          </w:p>
          <w:p w14:paraId="3B6FA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性监控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23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服务器支持智能温度监控，具备支持以图形化形式展示各组件温度传感器的分布图，可直观体现服务器整体温感状态，如发生温度告警可快速定位到具体区域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，需提供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52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是</w:t>
            </w:r>
          </w:p>
        </w:tc>
      </w:tr>
      <w:tr w14:paraId="5586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E55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23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B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系统安全要求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4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syslog双向鉴别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153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支持系统日志双向鉴别，对服务器根证书和客户端根证书进行鉴别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E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68E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0A01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F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61F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1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★弱口令字典检查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13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支持弱口令字典检查功能，出现在弱口令字典中的字符串不能被设置为用户口令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A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E02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B12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18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D18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0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★白名单访问控制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D9B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支持基于时间、IP或MAC白名单访问控制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19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AAF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2A0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8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F2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5A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双因素鉴别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C58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支持使用客户端证书和证书密码的双因素鉴别方式登录管理系统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E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43C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DAF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6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FE42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9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★二次鉴别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A1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支持二次鉴别功能。对于用户配置、权限配置、公钥导入等重要的管理操作，已登录用户应通过二次鉴别后，才能执行操作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D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2BF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236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D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AE2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82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匿名化用户告警接收邮箱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122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支持带外管理系统中的用户告警接收邮箱进行匿名化处理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3B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D91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B8E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B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9D9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9B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★密码证书安全加密存储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6CE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支持对带外管理系统中的用户口令和证书等敏感信息进行加密存储，禁止使用私有的和业界已知不安全的密码算法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23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4578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F35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D8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70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E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★敏感信息安全加密传输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87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支持使用安全的传输加密协议（如SSH或HTTPS等）传输用户的敏感信息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B9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50C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74F7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7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CC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D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★研发过程安全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87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6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BE1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D408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4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320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8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网络关键设备服务器要求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E2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作为网络关键设备的服务器应符合GB 40050的相关规定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8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BF9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DA0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21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78A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1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增强要求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F5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a)嵌入物理可信根，实现设备的信任链构建；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b)支持可信平台控制模块（TPCM）；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c)支持在固件系统（BMC、BIOS）启动前实现对固件度量的功能，支持物理可信根对BMC固件或BIOS固件进行完整性检测、更新和恢复；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d)支持对CPU、网络控制器等关键处理器进行身份识别与度量的功能；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e)支持基于处理器或可信计算模块度量的功能；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f)所采用的可信密码模块接口应符合GM/T0012的相关规定；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g)可信安全管理模块、处理器等硬件载体应通过国家相关部门的认证和许可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D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46CF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271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F0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8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物理安全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48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★物理安全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63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安全要求应符合GB 4943.1的规定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B4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BB9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945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4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61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限用物质的限量要求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1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★限用物质的限量要求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852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限用物质的限量应符合GB/T 26572的要求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58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B6E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CCC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1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F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CPU性能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93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★CPU主频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B3D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≥2.1GHz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5D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ABE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6C90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82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ACD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73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★单CPU核数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EEF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核，≥2颗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6D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B74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C165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AC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4A5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57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★单CPU末级缓存容量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F2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0MB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1B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4E8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F41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95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A0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内存性能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F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单内存模块容量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E2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≥64GB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2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A1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0F8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6B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ED2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EE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★内存速率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82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≥5600MT/s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B8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26F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FB3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7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6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2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RAID卡缓存容量大小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38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配备RAID卡且RAID卡有缓存容量，容量不少于4GB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D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FCF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827F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E7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F6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FC HBA卡性能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FC HBA卡速率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A4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若配备FC HBA卡，单端口最大的连接速率不少于8Gb/s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EB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B50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446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8D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1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网络性能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7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独立网卡速率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28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≥25GE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6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B51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9EC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C6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6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电源能耗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A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★电源能耗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65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符合GB/T 9813.3的有关规定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E5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D29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F6F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75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6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部件兼容性要求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C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★内存兼容性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041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适配3种及以上厂商的内存产品，且均不低于产品支持的内存规格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2A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009A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0E1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5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DD1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45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★固态存储兼容性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54B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适配3种或以上厂商的固态存储产品，且均不低于产品支持的固态存储设备规格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66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F00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463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6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A2C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1E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FC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HBA卡兼容性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CF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FC HBA应适配两种或以上厂商产品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9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39A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2CC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8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A4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96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8C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RAID卡应适配两种或以上厂商产品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1D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2F2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AF4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3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CCD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2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★网卡兼容性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6CA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网卡应适配两种或以上厂商产品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B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45A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D1A7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4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26C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A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★功能卡兼容性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C9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内置或适配符合PCIe的功能卡，如：网络功能卡、存储功能卡及图形显示功能卡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5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53AF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70E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3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5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外设兼容性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0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★外设兼容性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F3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兼容多种主流生产商的外部设备，包括显示器、键盘、鼠标、闪存盘、移动硬盘、USB光驱及KVM等，要求使用不同厂商的外部设备时，系统均能正常识别和安装驱动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2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2AF0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00D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50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7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软件兼容性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0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★数据库兼容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31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兼容3个及以上厂商的数据库产品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D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EF3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2E5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0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26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D3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★中间件兼容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F1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兼容3个及以上厂商的中间件产品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4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1A2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4BA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9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DB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1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★平台软件兼容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272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兼容3个及以上厂商的大数据平台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B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F4D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7FBC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4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81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D6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虚拟化软件兼容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EF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兼容2款及以上虚拟化软件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B6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669C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1773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72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可靠性要求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CA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整机可靠性要求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41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★整机可靠性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73B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m1值（MTBF的不可接受值）不得低于30000h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B54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1BBB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50C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2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可靠性要求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B7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7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★风扇可靠性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1D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风扇寿命应不低于40000h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A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3E50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953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96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可靠性要求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E5E5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1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★部件可靠性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5F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支持硬盘、电源、风扇热插拔（内置风扇除外）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77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1E4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BF5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0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包装及运输要求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5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包装及运输要求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21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★标志、包装、运输和贮存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E1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符合GB/T9813.3和商品包装政府采购需求标准的相关规定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9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6C4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603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CB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0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服务响应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8D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★服务响应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A3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a)提供电话、电子邮件、远程连接等多种形式服务；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b)提供同城4h、异地12h技术响应服务，2个工作日解决问题，对于未能解决的问题和故障应提供可行的升级方案，并提供周转设备；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c)建立全国技术服务体系和服务团体，符合专业服务体系标准要求，提供原厂中文服务；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d)服务周期内提供产品的维修、换件和升级服务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7B2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17F64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</w:tc>
      </w:tr>
      <w:tr w14:paraId="2204E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C78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D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687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F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★培训服务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7C7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供应商提供培训材料、产品手册、培训视频等培训相关内容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66C8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4098E73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57F3DC36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  <w:p w14:paraId="46C6E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4B5E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0A4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58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0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服务周期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4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★服务周期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195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a)产品免费服务周期（含换件和维修）应不小于3年；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b)设备停产后继续提供质量保障服务（含备品备件），服务终止时间与最后一批设备交付时间间隔不低于6年；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c)产品停止服务时间应提前1年告知客户；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d)产品发布日期需在随机文件中明确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B244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7DED1F8C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  <w:p w14:paraId="3F117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0B4C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A376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B8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5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服务工具要求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BF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★工具要求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6F6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供应商提供设置服务器硬件、辅助操作系统安装等功能的辅助工具和管理软件。且随附软件应具有合法授权或版权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A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4520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5515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0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BD0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F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辅助工具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1C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支持如下功能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a)本地的数据备份和还原功能；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b)网络的数据备份和还原功能；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c)服务器操作系统的自动安装功能；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d)服务器所配硬件需要的驱动程序和系统补丁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D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7524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EB1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D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F7E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0F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★驱动安装升级指引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F7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供应商提供出厂安装的配件所需的驱动程序，形式包括但不限于驱动光盘、驱动下载链接等。其他配件应提供指引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7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C66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127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C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55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C8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随机附开盖工具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F34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随服务器打包提供开机箱工具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5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172A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B0A9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98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898C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B0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★管理软件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B6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具备资源管理、系统管理、性能监控、健康监控、基于网络控制、报警设置功能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A3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否</w:t>
            </w:r>
          </w:p>
        </w:tc>
      </w:tr>
      <w:tr w14:paraId="0B3C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D48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C8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61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增值服务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8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★厂家升级产品软件与扩容服务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F3D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供应商提供原厂级的部件/软件产品升级和扩容能力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81C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5B476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</w:tc>
      </w:tr>
      <w:tr w14:paraId="6A0F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DD84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9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0F1F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9B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★提供上门服务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9B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供应商具备提供上门服务的能力（可收费）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5647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43459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</w:tc>
      </w:tr>
      <w:tr w14:paraId="65AE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07EA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3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供保要求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2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供应链质量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D7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★抗干扰性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B3E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当产品部件出现供应风险时，应通知客户并提供风险应对方案确保产品的服务保障，必要时应停止相关受影响产品的销售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AF4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1F74B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</w:tc>
      </w:tr>
      <w:tr w14:paraId="60267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601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6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供保要求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BE5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C8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★供应能力证明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73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供应商提供供应链稳定承诺书，确保产品的部件在产品服务周期内稳定供货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F55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5C1E3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</w:tc>
      </w:tr>
    </w:tbl>
    <w:p w14:paraId="1192B858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2.服务器互联设备</w:t>
      </w:r>
    </w:p>
    <w:tbl>
      <w:tblPr>
        <w:tblStyle w:val="2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4"/>
        <w:gridCol w:w="3653"/>
        <w:gridCol w:w="744"/>
        <w:gridCol w:w="838"/>
      </w:tblGrid>
      <w:tr w14:paraId="025F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43" w:type="dxa"/>
          </w:tcPr>
          <w:p w14:paraId="4AD8FF42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序号</w:t>
            </w:r>
          </w:p>
        </w:tc>
        <w:tc>
          <w:tcPr>
            <w:tcW w:w="1744" w:type="dxa"/>
          </w:tcPr>
          <w:p w14:paraId="11786C9E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标的名称</w:t>
            </w:r>
          </w:p>
        </w:tc>
        <w:tc>
          <w:tcPr>
            <w:tcW w:w="3653" w:type="dxa"/>
          </w:tcPr>
          <w:p w14:paraId="607C5720">
            <w:pPr>
              <w:jc w:val="left"/>
              <w:rPr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招标参数</w:t>
            </w:r>
          </w:p>
        </w:tc>
        <w:tc>
          <w:tcPr>
            <w:tcW w:w="744" w:type="dxa"/>
          </w:tcPr>
          <w:p w14:paraId="7449C656">
            <w:pPr>
              <w:jc w:val="left"/>
              <w:rPr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数量</w:t>
            </w:r>
          </w:p>
        </w:tc>
        <w:tc>
          <w:tcPr>
            <w:tcW w:w="838" w:type="dxa"/>
          </w:tcPr>
          <w:p w14:paraId="1BE813E8">
            <w:pPr>
              <w:jc w:val="left"/>
              <w:rPr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单位</w:t>
            </w:r>
          </w:p>
        </w:tc>
      </w:tr>
      <w:tr w14:paraId="58F3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743" w:type="dxa"/>
          </w:tcPr>
          <w:p w14:paraId="7920B64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744" w:type="dxa"/>
          </w:tcPr>
          <w:p w14:paraId="54D5B0C0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服务器互联设备</w:t>
            </w:r>
          </w:p>
        </w:tc>
        <w:tc>
          <w:tcPr>
            <w:tcW w:w="3653" w:type="dxa"/>
          </w:tcPr>
          <w:p w14:paraId="41B750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★1.性能要求：交换容量4.8Tbps，包转发率2000Mpps；</w:t>
            </w:r>
          </w:p>
          <w:p w14:paraId="5533DA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★2.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端口要求：≥48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个 25G SFP28端口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100G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QSFP28口端口；</w:t>
            </w:r>
          </w:p>
          <w:p w14:paraId="3D23BC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▲3.支持无损网络RoCE(RoCEv1/</w:t>
            </w:r>
          </w:p>
          <w:p w14:paraId="26D892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RoCEv2 功能)/RDMA，支持PFC、ECN、ETS、DCB，支持IPCC，提供</w:t>
            </w:r>
            <w:r>
              <w:rPr>
                <w:rFonts w:hint="eastAsia"/>
                <w:highlight w:val="none"/>
              </w:rPr>
              <w:t>国家认可的认证（检测）机构出具认证证书（检测报告）截图；</w:t>
            </w:r>
          </w:p>
          <w:p w14:paraId="249E2A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▲4.支持 MPLS/MPLS L3VPN/L2VPN </w:t>
            </w:r>
          </w:p>
          <w:p w14:paraId="37519D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(VPLS)/MPLS TE，</w:t>
            </w:r>
            <w:r>
              <w:rPr>
                <w:rFonts w:hint="eastAsia"/>
                <w:highlight w:val="none"/>
              </w:rPr>
              <w:t>国家认可的认证（检测）机构出具认证证书（检测报告）截图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 w14:paraId="6B4420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▲5.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支持Mini USB Console 接口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，提供官网截图证明</w:t>
            </w:r>
          </w:p>
          <w:p w14:paraId="44DC7814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支持RIP、OSPF、ISIS、BGP等IPv4动态路由协议</w:t>
            </w:r>
          </w:p>
          <w:p w14:paraId="7279021B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支持RIPng、OSPFv3、ISISv6、BGP4+等IPv6动态路由协议</w:t>
            </w:r>
          </w:p>
          <w:p w14:paraId="43928FFB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▲8.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整机最大路由地址表≥320K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，最大ARP地址表≥270K，最大MAC地址表≥280K，提供</w:t>
            </w:r>
            <w:r>
              <w:rPr>
                <w:rFonts w:hint="eastAsia"/>
                <w:highlight w:val="none"/>
              </w:rPr>
              <w:t>国家认可的认证（检测）机构出具认证证书（检测报告）截图；</w:t>
            </w:r>
          </w:p>
          <w:p w14:paraId="2592B9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9.支持TCP和UDP智能流量分析功能</w:t>
            </w:r>
          </w:p>
          <w:p w14:paraId="428DB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10.支持二层、三层Vxlan网关和BGP EVPN特性</w:t>
            </w:r>
          </w:p>
          <w:p w14:paraId="76EBD3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11.实际配置：配置冗余电源和风扇，25G SFP28多模光模块≥4块</w:t>
            </w:r>
          </w:p>
          <w:p w14:paraId="368182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62A06DC0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744" w:type="dxa"/>
          </w:tcPr>
          <w:p w14:paraId="0D367DED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838" w:type="dxa"/>
          </w:tcPr>
          <w:p w14:paraId="0A9F842D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台</w:t>
            </w:r>
          </w:p>
        </w:tc>
      </w:tr>
    </w:tbl>
    <w:p w14:paraId="52612C25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</w:p>
    <w:p w14:paraId="0D5D930E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2.2采购标的需满足的服务标准、期限、效率等要求</w:t>
      </w:r>
    </w:p>
    <w:tbl>
      <w:tblPr>
        <w:tblStyle w:val="2"/>
        <w:tblW w:w="8721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65"/>
        <w:gridCol w:w="887"/>
        <w:gridCol w:w="4980"/>
        <w:gridCol w:w="1662"/>
      </w:tblGrid>
      <w:tr w14:paraId="71861B4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7" w:type="dxa"/>
            <w:tcBorders>
              <w:bottom w:val="single" w:color="auto" w:sz="4" w:space="0"/>
            </w:tcBorders>
          </w:tcPr>
          <w:p w14:paraId="3721BAA0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序号</w:t>
            </w:r>
          </w:p>
        </w:tc>
        <w:tc>
          <w:tcPr>
            <w:tcW w:w="765" w:type="dxa"/>
            <w:tcBorders>
              <w:bottom w:val="single" w:color="auto" w:sz="4" w:space="0"/>
            </w:tcBorders>
          </w:tcPr>
          <w:p w14:paraId="32DF9117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内容</w:t>
            </w:r>
          </w:p>
        </w:tc>
        <w:tc>
          <w:tcPr>
            <w:tcW w:w="887" w:type="dxa"/>
            <w:tcBorders>
              <w:bottom w:val="single" w:color="auto" w:sz="4" w:space="0"/>
            </w:tcBorders>
          </w:tcPr>
          <w:p w14:paraId="7DB38DC9">
            <w:pPr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重要性</w:t>
            </w:r>
          </w:p>
        </w:tc>
        <w:tc>
          <w:tcPr>
            <w:tcW w:w="4980" w:type="dxa"/>
            <w:tcBorders>
              <w:bottom w:val="single" w:color="auto" w:sz="4" w:space="0"/>
            </w:tcBorders>
          </w:tcPr>
          <w:p w14:paraId="2B40571A">
            <w:pPr>
              <w:jc w:val="left"/>
              <w:rPr>
                <w:b/>
                <w:bCs/>
                <w:highlight w:val="none"/>
              </w:rPr>
            </w:pPr>
          </w:p>
          <w:p w14:paraId="0BE0D1D7">
            <w:pPr>
              <w:ind w:firstLine="1897" w:firstLineChars="900"/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服务要求标注</w:t>
            </w:r>
          </w:p>
        </w:tc>
        <w:tc>
          <w:tcPr>
            <w:tcW w:w="1662" w:type="dxa"/>
            <w:tcBorders>
              <w:bottom w:val="single" w:color="auto" w:sz="4" w:space="0"/>
            </w:tcBorders>
          </w:tcPr>
          <w:p w14:paraId="0BDA3B6B">
            <w:pPr>
              <w:jc w:val="left"/>
              <w:rPr>
                <w:b/>
                <w:bCs/>
                <w:highlight w:val="none"/>
              </w:rPr>
            </w:pPr>
          </w:p>
          <w:p w14:paraId="6293F265">
            <w:pPr>
              <w:ind w:firstLine="211" w:firstLineChars="100"/>
              <w:jc w:val="left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证明材料要求</w:t>
            </w:r>
          </w:p>
        </w:tc>
      </w:tr>
      <w:tr w14:paraId="408C2F9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43EB12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</w:tcPr>
          <w:p w14:paraId="0A813D63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服务标准、期限及服务效率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34087EF2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★</w:t>
            </w:r>
          </w:p>
        </w:tc>
        <w:tc>
          <w:tcPr>
            <w:tcW w:w="4980" w:type="dxa"/>
            <w:tcBorders>
              <w:top w:val="single" w:color="auto" w:sz="4" w:space="0"/>
              <w:bottom w:val="single" w:color="auto" w:sz="4" w:space="0"/>
            </w:tcBorders>
          </w:tcPr>
          <w:p w14:paraId="5C1D226B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服务响应：</w:t>
            </w:r>
          </w:p>
          <w:p w14:paraId="549489CF">
            <w:pPr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提供电话、电子邮件、远程连接等多种形式服务；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b)提供同城4h、异地12h技术响应服务，2个工作日解决问题，对于未能解决的问题和故障应提供可行的升级方案，并提供周转设备；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c)建立全国技术服务体系和服务团体，符合专业服务体系标准要求，提供原厂中文服务；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d)服务周期内提供产品的维修、换件和升级服务。</w:t>
            </w:r>
          </w:p>
          <w:p w14:paraId="3E0471AA">
            <w:pPr>
              <w:numPr>
                <w:ilvl w:val="255"/>
                <w:numId w:val="0"/>
              </w:num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服务周期：</w:t>
            </w:r>
          </w:p>
          <w:p w14:paraId="625E2897">
            <w:pPr>
              <w:numPr>
                <w:ilvl w:val="255"/>
                <w:numId w:val="0"/>
              </w:numPr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a)产品免费服务周期（含换件和维修）应不小于3年；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b)设备停产后继续提供质量保障服务（含备品备件），服务终止时间与最后一批设备交付时间间隔不低于6年；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c)产品停止服务时间应提前1年告知客户；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d)产品发布日期需在随机文件中明确。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B87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2A9A9E8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1A46588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7AE915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0C2E08B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4B0711C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提供承诺函</w:t>
            </w:r>
          </w:p>
          <w:p w14:paraId="7A261E33">
            <w:pPr>
              <w:jc w:val="left"/>
              <w:rPr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（加盖投标人公章）</w:t>
            </w:r>
          </w:p>
        </w:tc>
      </w:tr>
    </w:tbl>
    <w:p w14:paraId="12E167AB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</w:p>
    <w:p w14:paraId="73C066FB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2.3为落实政府采购政策需满足的要求</w:t>
      </w:r>
    </w:p>
    <w:p w14:paraId="379BF0BA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需满足中华人民共和国政府采购法</w:t>
      </w:r>
    </w:p>
    <w:p w14:paraId="2D84BC56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2.4采购标的的其他技术、服务等要求</w:t>
      </w:r>
    </w:p>
    <w:p w14:paraId="791EFEE8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无</w:t>
      </w:r>
    </w:p>
    <w:p w14:paraId="41F121E8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2.5需由供应商提供设计方案、解决方案或者组织方案的采购项目，应当说明采购标的的功能、应用场景、目标等基本要求</w:t>
      </w:r>
    </w:p>
    <w:p w14:paraId="5DF616A0">
      <w:pPr>
        <w:pStyle w:val="4"/>
        <w:adjustRightInd w:val="0"/>
        <w:spacing w:line="360" w:lineRule="auto"/>
        <w:ind w:firstLine="0" w:firstLineChars="0"/>
        <w:contextualSpacing/>
        <w:jc w:val="left"/>
        <w:rPr>
          <w:rFonts w:ascii="Times New Roman" w:hAnsi="Times New Roman"/>
          <w:sz w:val="24"/>
          <w:szCs w:val="24"/>
          <w:highlight w:val="none"/>
        </w:rPr>
      </w:pPr>
    </w:p>
    <w:p w14:paraId="266EDD45">
      <w:pPr>
        <w:spacing w:line="360" w:lineRule="auto"/>
        <w:contextualSpacing/>
        <w:rPr>
          <w:i/>
          <w:iCs/>
          <w:sz w:val="24"/>
          <w:highlight w:val="none"/>
        </w:rPr>
      </w:pPr>
      <w:r>
        <w:rPr>
          <w:sz w:val="24"/>
          <w:highlight w:val="none"/>
        </w:rPr>
        <w:t>3. 验收标准</w:t>
      </w:r>
    </w:p>
    <w:p w14:paraId="467EC0AD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设备进场验收的基本标准：</w:t>
      </w:r>
    </w:p>
    <w:p w14:paraId="3492EFC2">
      <w:pPr>
        <w:widowControl/>
        <w:numPr>
          <w:ilvl w:val="0"/>
          <w:numId w:val="8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进场的系统设备包装完整无损且符合合同规定；</w:t>
      </w:r>
    </w:p>
    <w:p w14:paraId="672D1CF7">
      <w:pPr>
        <w:widowControl/>
        <w:numPr>
          <w:ilvl w:val="0"/>
          <w:numId w:val="8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设备的品牌、规格型号、数量与合同约定一致；</w:t>
      </w:r>
    </w:p>
    <w:p w14:paraId="2F59A60A">
      <w:pPr>
        <w:widowControl/>
        <w:numPr>
          <w:ilvl w:val="0"/>
          <w:numId w:val="8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设备开箱后，根据装箱单清点核对全部零、部件、附属材料和专用工具，并检查说明书、合格证、检验记录和必要的装配图及技术文件是否齐全；</w:t>
      </w:r>
    </w:p>
    <w:p w14:paraId="389190AB">
      <w:pPr>
        <w:widowControl/>
        <w:numPr>
          <w:ilvl w:val="0"/>
          <w:numId w:val="8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设备及其零、部件表面无缺损和锈蚀等情况。</w:t>
      </w:r>
    </w:p>
    <w:p w14:paraId="2C1FB39A"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项目实施验收的基本标准：</w:t>
      </w:r>
    </w:p>
    <w:p w14:paraId="0D019D1B">
      <w:pPr>
        <w:widowControl/>
        <w:numPr>
          <w:ilvl w:val="0"/>
          <w:numId w:val="9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项目资料完整，符合相应的国家标准和规范；</w:t>
      </w:r>
    </w:p>
    <w:p w14:paraId="3A712538">
      <w:pPr>
        <w:widowControl/>
        <w:numPr>
          <w:ilvl w:val="0"/>
          <w:numId w:val="9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硬件设备在机柜中安装部署与机柜部署图一致，安装紧固、并对设备进行便于识别和维护的标识。</w:t>
      </w:r>
    </w:p>
    <w:p w14:paraId="50560AA0">
      <w:pPr>
        <w:widowControl/>
        <w:numPr>
          <w:ilvl w:val="0"/>
          <w:numId w:val="9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项目实施符合设计文件要求；</w:t>
      </w:r>
    </w:p>
    <w:p w14:paraId="5F002E74">
      <w:pPr>
        <w:widowControl/>
        <w:numPr>
          <w:ilvl w:val="0"/>
          <w:numId w:val="9"/>
        </w:numPr>
        <w:spacing w:line="360" w:lineRule="auto"/>
        <w:contextualSpacing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项目功能满足采购人的实际需求。</w:t>
      </w:r>
    </w:p>
    <w:p w14:paraId="05B04F61"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4. 其他要求（如有）</w:t>
      </w:r>
    </w:p>
    <w:p w14:paraId="18A13E59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无</w:t>
      </w:r>
    </w:p>
    <w:p w14:paraId="7E7444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210CC"/>
    <w:multiLevelType w:val="singleLevel"/>
    <w:tmpl w:val="98A210C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0EC822A"/>
    <w:multiLevelType w:val="singleLevel"/>
    <w:tmpl w:val="A0EC822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2CBAB76"/>
    <w:multiLevelType w:val="singleLevel"/>
    <w:tmpl w:val="E2CBAB7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FFA4C3E9"/>
    <w:multiLevelType w:val="singleLevel"/>
    <w:tmpl w:val="FFA4C3E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0882736"/>
    <w:multiLevelType w:val="singleLevel"/>
    <w:tmpl w:val="1088273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84FD82"/>
    <w:multiLevelType w:val="singleLevel"/>
    <w:tmpl w:val="6B84FD8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6E190793"/>
    <w:multiLevelType w:val="singleLevel"/>
    <w:tmpl w:val="6E19079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49D2AEF"/>
    <w:multiLevelType w:val="singleLevel"/>
    <w:tmpl w:val="749D2AEF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0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2025-11-10T06:27:32Z</dcterms:created>
  <dc:creator>luozhao</dc:creator>
  <cp:lastModifiedBy>LZ</cp:lastModifiedBy>
  <dcterms:modified xsi:type="dcterms:W3CDTF">2025-11-10T06:41:34Z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5DBC9747E44C4D5EACDC809966E701AD_12</vt:lpwstr>
  </property>
</Properties>
</file>