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2AAA">
      <w:pPr>
        <w:pStyle w:val="2"/>
        <w:pageBreakBefore w:val="0"/>
        <w:tabs>
          <w:tab w:val="left" w:pos="0"/>
          <w:tab w:val="left" w:pos="3165"/>
          <w:tab w:val="center" w:pos="4153"/>
        </w:tabs>
        <w:kinsoku/>
        <w:overflowPunct/>
        <w:topLinePunct w:val="0"/>
        <w:autoSpaceDE w:val="0"/>
        <w:autoSpaceDN w:val="0"/>
        <w:bidi w:val="0"/>
        <w:adjustRightInd w:val="0"/>
        <w:spacing w:before="0" w:after="0" w:line="360" w:lineRule="auto"/>
        <w:jc w:val="center"/>
        <w:textAlignment w:val="auto"/>
        <w:rPr>
          <w:rFonts w:ascii="华文中宋" w:hAnsi="华文中宋" w:eastAsia="华文中宋"/>
        </w:rPr>
      </w:pPr>
      <w:r>
        <w:rPr>
          <w:rFonts w:hint="eastAsia" w:ascii="华文中宋" w:hAnsi="华文中宋" w:eastAsia="华文中宋"/>
        </w:rPr>
        <w:t>公开招标公告</w:t>
      </w:r>
    </w:p>
    <w:p w14:paraId="0DB41373">
      <w:pPr>
        <w:pageBreakBefore w:val="0"/>
        <w:pBdr>
          <w:top w:val="single" w:color="auto" w:sz="4" w:space="1"/>
          <w:left w:val="single" w:color="auto" w:sz="4" w:space="4"/>
          <w:bottom w:val="single" w:color="auto" w:sz="4" w:space="1"/>
          <w:right w:val="single" w:color="auto" w:sz="4" w:space="4"/>
        </w:pBdr>
        <w:kinsoku/>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项目概况</w:t>
      </w:r>
    </w:p>
    <w:p w14:paraId="76EFDDA0">
      <w:pPr>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编外人员聘用管理项目</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"http://zbcg-bjzc.zhongcy.com/bjczj-portal-site/index.html#/home。获取招标文件，并于2023年6月" </w:instrText>
      </w:r>
      <w:r>
        <w:fldChar w:fldCharType="separate"/>
      </w:r>
      <w:r>
        <w:rPr>
          <w:rStyle w:val="15"/>
          <w:rFonts w:hint="eastAsia" w:ascii="宋体" w:hAnsi="宋体" w:cs="宋体"/>
          <w:color w:val="auto"/>
          <w:sz w:val="24"/>
          <w:szCs w:val="24"/>
          <w:u w:val="none"/>
        </w:rPr>
        <w:t>获取招标文件，并于</w:t>
      </w:r>
      <w:r>
        <w:rPr>
          <w:rStyle w:val="15"/>
          <w:rFonts w:hint="eastAsia" w:ascii="宋体" w:hAnsi="宋体" w:cs="宋体"/>
          <w:color w:val="auto"/>
          <w:sz w:val="24"/>
          <w:szCs w:val="24"/>
          <w:u w:val="none"/>
          <w:lang w:eastAsia="zh-CN"/>
        </w:rPr>
        <w:t>2025年</w:t>
      </w:r>
      <w:r>
        <w:rPr>
          <w:rStyle w:val="15"/>
          <w:rFonts w:hint="eastAsia" w:ascii="宋体" w:hAnsi="宋体" w:cs="宋体"/>
          <w:color w:val="auto"/>
          <w:sz w:val="24"/>
          <w:szCs w:val="24"/>
          <w:u w:val="none"/>
          <w:lang w:val="en-US" w:eastAsia="zh-CN"/>
        </w:rPr>
        <w:t>12</w:t>
      </w:r>
      <w:r>
        <w:rPr>
          <w:rStyle w:val="15"/>
          <w:rFonts w:hint="eastAsia" w:ascii="宋体" w:hAnsi="宋体" w:cs="宋体"/>
          <w:color w:val="auto"/>
          <w:sz w:val="24"/>
          <w:szCs w:val="24"/>
          <w:u w:val="none"/>
        </w:rPr>
        <w:t>月</w:t>
      </w:r>
      <w:r>
        <w:rPr>
          <w:rStyle w:val="15"/>
          <w:rFonts w:hint="eastAsia" w:ascii="宋体" w:hAnsi="宋体" w:cs="宋体"/>
          <w:color w:val="auto"/>
          <w:sz w:val="24"/>
          <w:szCs w:val="24"/>
          <w:u w:val="none"/>
          <w:lang w:val="en-US" w:eastAsia="zh-CN"/>
        </w:rPr>
        <w:t>18</w:t>
      </w:r>
      <w:r>
        <w:rPr>
          <w:rStyle w:val="15"/>
          <w:rFonts w:hint="eastAsia" w:ascii="宋体" w:hAnsi="宋体" w:cs="宋体"/>
          <w:color w:val="auto"/>
          <w:sz w:val="24"/>
          <w:szCs w:val="24"/>
          <w:u w:val="none"/>
        </w:rPr>
        <w:t>日</w:t>
      </w:r>
      <w:r>
        <w:rPr>
          <w:rStyle w:val="15"/>
          <w:rFonts w:hint="eastAsia" w:ascii="宋体" w:hAnsi="宋体" w:cs="宋体"/>
          <w:color w:val="auto"/>
          <w:sz w:val="24"/>
          <w:szCs w:val="24"/>
          <w:u w:val="none"/>
          <w:lang w:val="en-US" w:eastAsia="zh-CN"/>
        </w:rPr>
        <w:t>9</w:t>
      </w:r>
      <w:r>
        <w:rPr>
          <w:rStyle w:val="15"/>
          <w:rFonts w:hint="eastAsia" w:ascii="宋体" w:hAnsi="宋体" w:cs="宋体"/>
          <w:color w:val="auto"/>
          <w:sz w:val="24"/>
          <w:szCs w:val="24"/>
          <w:u w:val="none"/>
        </w:rPr>
        <w:t>点</w:t>
      </w:r>
      <w:r>
        <w:rPr>
          <w:rStyle w:val="15"/>
          <w:rFonts w:hint="eastAsia" w:ascii="宋体" w:hAnsi="宋体" w:cs="宋体"/>
          <w:color w:val="auto"/>
          <w:sz w:val="24"/>
          <w:szCs w:val="24"/>
          <w:u w:val="none"/>
          <w:lang w:val="en-US" w:eastAsia="zh-CN"/>
        </w:rPr>
        <w:t>3</w:t>
      </w:r>
      <w:r>
        <w:rPr>
          <w:rStyle w:val="15"/>
          <w:rFonts w:hint="eastAsia" w:ascii="宋体" w:hAnsi="宋体" w:cs="宋体"/>
          <w:color w:val="auto"/>
          <w:sz w:val="24"/>
          <w:szCs w:val="24"/>
          <w:u w:val="none"/>
        </w:rPr>
        <w:t>0分</w:t>
      </w:r>
      <w:r>
        <w:rPr>
          <w:rStyle w:val="15"/>
          <w:rFonts w:hint="eastAsia" w:ascii="宋体" w:hAnsi="宋体" w:cs="宋体"/>
          <w:color w:val="auto"/>
          <w:sz w:val="24"/>
          <w:szCs w:val="24"/>
          <w:u w:val="none"/>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5238CBDE">
      <w:pPr>
        <w:pStyle w:val="3"/>
        <w:pageBreakBefore w:val="0"/>
        <w:kinsoku/>
        <w:overflowPunct/>
        <w:topLinePunct w:val="0"/>
        <w:bidi w:val="0"/>
        <w:spacing w:before="0" w:line="360" w:lineRule="auto"/>
        <w:ind w:firstLine="482"/>
        <w:jc w:val="left"/>
        <w:textAlignment w:val="auto"/>
        <w:rPr>
          <w:rFonts w:ascii="宋体" w:hAnsi="宋体" w:eastAsia="宋体" w:cs="宋体"/>
          <w:sz w:val="24"/>
          <w:szCs w:val="24"/>
        </w:rPr>
      </w:pPr>
      <w:r>
        <w:rPr>
          <w:rFonts w:hint="eastAsia" w:ascii="宋体" w:hAnsi="宋体" w:eastAsia="宋体" w:cs="宋体"/>
          <w:sz w:val="24"/>
          <w:szCs w:val="24"/>
        </w:rPr>
        <w:t>一、项目基本情况</w:t>
      </w:r>
    </w:p>
    <w:p w14:paraId="5BF88A37">
      <w:pPr>
        <w:pageBreakBefore w:val="0"/>
        <w:kinsoku/>
        <w:overflowPunct/>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1.项目编号：11000025210200153663-XM001</w:t>
      </w:r>
    </w:p>
    <w:p w14:paraId="07D27859">
      <w:pPr>
        <w:pageBreakBefore w:val="0"/>
        <w:kinsoku/>
        <w:overflowPunct/>
        <w:topLinePunct w:val="0"/>
        <w:bidi w:val="0"/>
        <w:spacing w:line="360" w:lineRule="auto"/>
        <w:ind w:firstLine="720" w:firstLineChars="300"/>
        <w:textAlignment w:val="auto"/>
        <w:rPr>
          <w:rFonts w:hint="eastAsia" w:ascii="宋体" w:hAnsi="宋体" w:eastAsia="宋体" w:cs="宋体"/>
          <w:sz w:val="24"/>
          <w:lang w:eastAsia="zh-CN"/>
        </w:rPr>
      </w:pPr>
      <w:r>
        <w:rPr>
          <w:rFonts w:hint="eastAsia" w:ascii="宋体" w:hAnsi="宋体" w:cs="宋体"/>
          <w:sz w:val="24"/>
        </w:rPr>
        <w:t>项目代理编号：HCZB-2025-ZB1867</w:t>
      </w:r>
    </w:p>
    <w:p w14:paraId="7C6ABABC">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sz w:val="24"/>
          <w:szCs w:val="24"/>
          <w:lang w:eastAsia="zh-CN"/>
        </w:rPr>
        <w:t>编外人员聘用管理项目</w:t>
      </w:r>
    </w:p>
    <w:p w14:paraId="2EF92514">
      <w:pPr>
        <w:pageBreakBefore w:val="0"/>
        <w:kinsoku/>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3.项目预算金额：</w:t>
      </w:r>
      <w:r>
        <w:rPr>
          <w:rFonts w:hint="eastAsia" w:ascii="宋体" w:hAnsi="宋体" w:cs="宋体"/>
          <w:color w:val="auto"/>
          <w:sz w:val="24"/>
          <w:u w:val="single"/>
          <w:lang w:eastAsia="zh-CN"/>
        </w:rPr>
        <w:t>607.240757</w:t>
      </w:r>
      <w:r>
        <w:rPr>
          <w:rFonts w:hint="eastAsia" w:ascii="宋体" w:hAnsi="宋体" w:cs="宋体"/>
          <w:color w:val="auto"/>
          <w:sz w:val="24"/>
        </w:rPr>
        <w:t>万元、项目最高限价（如有）：</w:t>
      </w:r>
      <w:r>
        <w:rPr>
          <w:rFonts w:hint="eastAsia" w:ascii="宋体" w:hAnsi="宋体" w:cs="宋体"/>
          <w:sz w:val="24"/>
          <w:u w:val="single"/>
          <w:lang w:eastAsia="zh-CN"/>
        </w:rPr>
        <w:t>607.240757</w:t>
      </w:r>
      <w:r>
        <w:rPr>
          <w:rFonts w:hint="eastAsia" w:ascii="宋体" w:hAnsi="宋体" w:cs="宋体"/>
          <w:color w:val="auto"/>
          <w:sz w:val="24"/>
        </w:rPr>
        <w:t>万元</w:t>
      </w:r>
    </w:p>
    <w:p w14:paraId="48D3168E">
      <w:pPr>
        <w:pageBreakBefore w:val="0"/>
        <w:kinsoku/>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4.采购需求：</w:t>
      </w:r>
    </w:p>
    <w:tbl>
      <w:tblPr>
        <w:tblStyle w:val="12"/>
        <w:tblW w:w="0" w:type="auto"/>
        <w:tblInd w:w="0" w:type="dxa"/>
        <w:tblLayout w:type="autofit"/>
        <w:tblCellMar>
          <w:top w:w="0" w:type="dxa"/>
          <w:left w:w="108" w:type="dxa"/>
          <w:bottom w:w="0" w:type="dxa"/>
          <w:right w:w="108" w:type="dxa"/>
        </w:tblCellMar>
      </w:tblPr>
      <w:tblGrid>
        <w:gridCol w:w="621"/>
        <w:gridCol w:w="2671"/>
        <w:gridCol w:w="1770"/>
        <w:gridCol w:w="780"/>
        <w:gridCol w:w="3400"/>
      </w:tblGrid>
      <w:tr w14:paraId="37BCB4A0">
        <w:tblPrEx>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l2br w:val="nil"/>
              <w:tr2bl w:val="nil"/>
            </w:tcBorders>
            <w:vAlign w:val="center"/>
          </w:tcPr>
          <w:p w14:paraId="676CCA21">
            <w:pPr>
              <w:pageBreakBefore w:val="0"/>
              <w:kinsoku/>
              <w:overflowPunct/>
              <w:topLinePunct w:val="0"/>
              <w:bidi w:val="0"/>
              <w:spacing w:line="360" w:lineRule="auto"/>
              <w:jc w:val="center"/>
              <w:textAlignment w:val="auto"/>
              <w:rPr>
                <w:rFonts w:ascii="宋体" w:hAnsi="宋体" w:cs="宋体"/>
                <w:color w:val="000000"/>
                <w:sz w:val="24"/>
              </w:rPr>
            </w:pPr>
            <w:r>
              <w:rPr>
                <w:rFonts w:hint="eastAsia" w:ascii="宋体" w:hAnsi="宋体" w:cs="宋体"/>
                <w:color w:val="000000"/>
                <w:sz w:val="24"/>
              </w:rPr>
              <w:t>包号</w:t>
            </w:r>
          </w:p>
        </w:tc>
        <w:tc>
          <w:tcPr>
            <w:tcW w:w="2671" w:type="dxa"/>
            <w:tcBorders>
              <w:top w:val="single" w:color="000000" w:sz="4" w:space="0"/>
              <w:left w:val="single" w:color="000000" w:sz="4" w:space="0"/>
              <w:bottom w:val="single" w:color="000000" w:sz="4" w:space="0"/>
              <w:right w:val="single" w:color="000000" w:sz="4" w:space="0"/>
              <w:tl2br w:val="nil"/>
              <w:tr2bl w:val="nil"/>
            </w:tcBorders>
            <w:vAlign w:val="center"/>
          </w:tcPr>
          <w:p w14:paraId="766958EE">
            <w:pPr>
              <w:pageBreakBefore w:val="0"/>
              <w:kinsoku/>
              <w:overflowPunct/>
              <w:topLinePunct w:val="0"/>
              <w:bidi w:val="0"/>
              <w:spacing w:line="360" w:lineRule="auto"/>
              <w:jc w:val="center"/>
              <w:textAlignment w:val="auto"/>
              <w:rPr>
                <w:rFonts w:ascii="宋体" w:hAnsi="宋体" w:cs="宋体"/>
                <w:color w:val="000000"/>
                <w:sz w:val="24"/>
              </w:rPr>
            </w:pPr>
            <w:r>
              <w:rPr>
                <w:rFonts w:hint="eastAsia" w:ascii="宋体" w:hAnsi="宋体" w:cs="宋体"/>
                <w:color w:val="000000"/>
                <w:sz w:val="24"/>
              </w:rPr>
              <w:t>标的名称</w:t>
            </w:r>
          </w:p>
        </w:tc>
        <w:tc>
          <w:tcPr>
            <w:tcW w:w="1770" w:type="dxa"/>
            <w:tcBorders>
              <w:top w:val="single" w:color="000000" w:sz="4" w:space="0"/>
              <w:left w:val="single" w:color="000000" w:sz="4" w:space="0"/>
              <w:bottom w:val="single" w:color="000000" w:sz="4" w:space="0"/>
              <w:right w:val="single" w:color="000000" w:sz="4" w:space="0"/>
              <w:tl2br w:val="nil"/>
              <w:tr2bl w:val="nil"/>
            </w:tcBorders>
            <w:vAlign w:val="center"/>
          </w:tcPr>
          <w:p w14:paraId="07844EBC">
            <w:pPr>
              <w:pageBreakBefore w:val="0"/>
              <w:kinsoku/>
              <w:overflowPunct/>
              <w:topLinePunct w:val="0"/>
              <w:bidi w:val="0"/>
              <w:spacing w:line="360" w:lineRule="auto"/>
              <w:jc w:val="center"/>
              <w:textAlignment w:val="auto"/>
              <w:rPr>
                <w:rFonts w:ascii="宋体" w:hAnsi="宋体" w:cs="宋体"/>
                <w:color w:val="000000"/>
                <w:sz w:val="24"/>
              </w:rPr>
            </w:pPr>
            <w:r>
              <w:rPr>
                <w:rFonts w:hint="eastAsia" w:ascii="宋体" w:hAnsi="宋体" w:cs="宋体"/>
                <w:color w:val="000000"/>
                <w:sz w:val="24"/>
              </w:rPr>
              <w:t>采购包预算金额（万元）</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14:paraId="79C87A48">
            <w:pPr>
              <w:pageBreakBefore w:val="0"/>
              <w:kinsoku/>
              <w:overflowPunct/>
              <w:topLinePunct w:val="0"/>
              <w:bidi w:val="0"/>
              <w:spacing w:line="360" w:lineRule="auto"/>
              <w:jc w:val="center"/>
              <w:textAlignment w:val="auto"/>
              <w:rPr>
                <w:rFonts w:ascii="宋体" w:hAnsi="宋体" w:cs="宋体"/>
                <w:color w:val="000000"/>
                <w:sz w:val="24"/>
              </w:rPr>
            </w:pPr>
            <w:r>
              <w:rPr>
                <w:rFonts w:hint="eastAsia" w:ascii="宋体" w:hAnsi="宋体" w:cs="宋体"/>
                <w:color w:val="000000"/>
                <w:sz w:val="24"/>
              </w:rPr>
              <w:t>数量</w:t>
            </w:r>
          </w:p>
        </w:tc>
        <w:tc>
          <w:tcPr>
            <w:tcW w:w="3400" w:type="dxa"/>
            <w:tcBorders>
              <w:top w:val="single" w:color="000000" w:sz="4" w:space="0"/>
              <w:left w:val="single" w:color="000000" w:sz="4" w:space="0"/>
              <w:bottom w:val="single" w:color="000000" w:sz="4" w:space="0"/>
              <w:right w:val="single" w:color="000000" w:sz="4" w:space="0"/>
              <w:tl2br w:val="nil"/>
              <w:tr2bl w:val="nil"/>
            </w:tcBorders>
            <w:vAlign w:val="center"/>
          </w:tcPr>
          <w:p w14:paraId="7F86FB2A">
            <w:pPr>
              <w:pageBreakBefore w:val="0"/>
              <w:kinsoku/>
              <w:overflowPunct/>
              <w:topLinePunct w:val="0"/>
              <w:bidi w:val="0"/>
              <w:spacing w:line="360" w:lineRule="auto"/>
              <w:jc w:val="center"/>
              <w:textAlignment w:val="auto"/>
              <w:rPr>
                <w:rFonts w:ascii="宋体" w:hAnsi="宋体" w:cs="宋体"/>
                <w:color w:val="000000"/>
                <w:sz w:val="24"/>
              </w:rPr>
            </w:pPr>
            <w:r>
              <w:rPr>
                <w:rFonts w:hint="eastAsia" w:ascii="宋体" w:hAnsi="宋体" w:cs="宋体"/>
                <w:color w:val="000000"/>
                <w:sz w:val="24"/>
              </w:rPr>
              <w:t>简要技术需求或服务要求</w:t>
            </w:r>
          </w:p>
        </w:tc>
      </w:tr>
      <w:tr w14:paraId="24EDCB12">
        <w:tblPrEx>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l2br w:val="nil"/>
              <w:tr2bl w:val="nil"/>
            </w:tcBorders>
            <w:vAlign w:val="center"/>
          </w:tcPr>
          <w:p w14:paraId="54E57076">
            <w:pPr>
              <w:pageBreakBefore w:val="0"/>
              <w:kinsoku/>
              <w:overflowPunct/>
              <w:topLinePunct w:val="0"/>
              <w:bidi w:val="0"/>
              <w:spacing w:line="360" w:lineRule="auto"/>
              <w:jc w:val="center"/>
              <w:textAlignment w:val="auto"/>
              <w:rPr>
                <w:rFonts w:ascii="宋体" w:hAnsi="宋体" w:cs="宋体"/>
                <w:color w:val="auto"/>
                <w:sz w:val="24"/>
              </w:rPr>
            </w:pPr>
            <w:r>
              <w:rPr>
                <w:rFonts w:hint="eastAsia" w:ascii="宋体" w:hAnsi="宋体" w:cs="宋体"/>
                <w:color w:val="auto"/>
                <w:sz w:val="24"/>
              </w:rPr>
              <w:t>01</w:t>
            </w:r>
          </w:p>
        </w:tc>
        <w:tc>
          <w:tcPr>
            <w:tcW w:w="2671" w:type="dxa"/>
            <w:tcBorders>
              <w:top w:val="single" w:color="000000" w:sz="4" w:space="0"/>
              <w:left w:val="single" w:color="000000" w:sz="4" w:space="0"/>
              <w:bottom w:val="single" w:color="000000" w:sz="4" w:space="0"/>
              <w:right w:val="single" w:color="000000" w:sz="4" w:space="0"/>
              <w:tl2br w:val="nil"/>
              <w:tr2bl w:val="nil"/>
            </w:tcBorders>
            <w:vAlign w:val="center"/>
          </w:tcPr>
          <w:p w14:paraId="019050E2">
            <w:pPr>
              <w:pageBreakBefore w:val="0"/>
              <w:kinsoku/>
              <w:overflowPunct/>
              <w:topLinePunct w:val="0"/>
              <w:bidi w:val="0"/>
              <w:spacing w:line="360" w:lineRule="auto"/>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编外人员聘用管理项目</w:t>
            </w:r>
          </w:p>
        </w:tc>
        <w:tc>
          <w:tcPr>
            <w:tcW w:w="1770" w:type="dxa"/>
            <w:tcBorders>
              <w:top w:val="single" w:color="000000" w:sz="4" w:space="0"/>
              <w:left w:val="single" w:color="000000" w:sz="4" w:space="0"/>
              <w:bottom w:val="single" w:color="000000" w:sz="4" w:space="0"/>
              <w:right w:val="single" w:color="000000" w:sz="4" w:space="0"/>
              <w:tl2br w:val="nil"/>
              <w:tr2bl w:val="nil"/>
            </w:tcBorders>
            <w:vAlign w:val="center"/>
          </w:tcPr>
          <w:p w14:paraId="4A679F57">
            <w:pPr>
              <w:pageBreakBefore w:val="0"/>
              <w:kinsoku/>
              <w:overflowPunct/>
              <w:topLinePunct w:val="0"/>
              <w:bidi w:val="0"/>
              <w:spacing w:line="360" w:lineRule="auto"/>
              <w:jc w:val="center"/>
              <w:textAlignment w:val="auto"/>
              <w:rPr>
                <w:rFonts w:ascii="宋体" w:hAnsi="宋体" w:cs="宋体"/>
                <w:color w:val="auto"/>
                <w:sz w:val="24"/>
              </w:rPr>
            </w:pPr>
            <w:r>
              <w:rPr>
                <w:rFonts w:hint="eastAsia" w:ascii="宋体" w:hAnsi="宋体" w:cs="宋体"/>
                <w:color w:val="auto"/>
                <w:sz w:val="24"/>
              </w:rPr>
              <w:t>607.240757</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14:paraId="538129C8">
            <w:pPr>
              <w:pageBreakBefore w:val="0"/>
              <w:kinsoku/>
              <w:overflowPunct/>
              <w:topLinePunct w:val="0"/>
              <w:bidi w:val="0"/>
              <w:spacing w:line="360" w:lineRule="auto"/>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1项</w:t>
            </w:r>
          </w:p>
        </w:tc>
        <w:tc>
          <w:tcPr>
            <w:tcW w:w="3400" w:type="dxa"/>
            <w:tcBorders>
              <w:top w:val="single" w:color="000000" w:sz="4" w:space="0"/>
              <w:left w:val="single" w:color="000000" w:sz="4" w:space="0"/>
              <w:bottom w:val="single" w:color="000000" w:sz="4" w:space="0"/>
              <w:right w:val="single" w:color="000000" w:sz="4" w:space="0"/>
              <w:tl2br w:val="nil"/>
              <w:tr2bl w:val="nil"/>
            </w:tcBorders>
            <w:vAlign w:val="center"/>
          </w:tcPr>
          <w:p w14:paraId="486090D9">
            <w:pPr>
              <w:pStyle w:val="5"/>
              <w:pageBreakBefore w:val="0"/>
              <w:tabs>
                <w:tab w:val="left" w:pos="567"/>
              </w:tabs>
              <w:kinsoku/>
              <w:overflowPunct/>
              <w:topLinePunct w:val="0"/>
              <w:bidi w:val="0"/>
              <w:spacing w:line="360" w:lineRule="auto"/>
              <w:textAlignment w:val="auto"/>
              <w:rPr>
                <w:rFonts w:hint="default" w:eastAsia="宋体"/>
                <w:color w:val="auto"/>
                <w:sz w:val="24"/>
                <w:szCs w:val="24"/>
                <w:lang w:val="en-US" w:eastAsia="zh-CN"/>
              </w:rPr>
            </w:pPr>
            <w:r>
              <w:rPr>
                <w:rFonts w:hint="eastAsia"/>
                <w:sz w:val="24"/>
                <w:highlight w:val="none"/>
              </w:rPr>
              <w:t>本项目的服务人员主要负责综合分平台的场所服务保障工作，确保公共资源交易综合分平台交易活动顺利开展，具体要求详见第五章 采购需求。</w:t>
            </w:r>
          </w:p>
        </w:tc>
      </w:tr>
    </w:tbl>
    <w:p w14:paraId="575F1A5F">
      <w:pPr>
        <w:pageBreakBefore w:val="0"/>
        <w:kinsoku/>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w:t>
      </w:r>
      <w:r>
        <w:rPr>
          <w:sz w:val="24"/>
        </w:rPr>
        <w:t>合同履行期限</w:t>
      </w:r>
      <w:r>
        <w:rPr>
          <w:rFonts w:hint="eastAsia" w:ascii="宋体" w:hAnsi="宋体" w:cs="宋体"/>
          <w:sz w:val="24"/>
        </w:rPr>
        <w:t>：</w:t>
      </w:r>
      <w:r>
        <w:rPr>
          <w:rFonts w:hint="eastAsia" w:ascii="宋体" w:hAnsi="宋体" w:cs="宋体"/>
          <w:sz w:val="24"/>
          <w:lang w:eastAsia="zh-CN"/>
        </w:rPr>
        <w:t>2026 年1月1日起至2027年6月30日止</w:t>
      </w:r>
      <w:r>
        <w:rPr>
          <w:rFonts w:hint="eastAsia" w:ascii="宋体" w:hAnsi="宋体" w:cs="宋体"/>
          <w:sz w:val="24"/>
        </w:rPr>
        <w:t>。</w:t>
      </w:r>
    </w:p>
    <w:p w14:paraId="163D805A">
      <w:pPr>
        <w:pageBreakBefore w:val="0"/>
        <w:kinsoku/>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 xml:space="preserve">.本项目是否接受联合体投标：□是  </w:t>
      </w:r>
      <w:r>
        <w:rPr>
          <w:rFonts w:hint="eastAsia" w:ascii="宋体" w:hAnsi="宋体" w:cs="宋体"/>
          <w:b/>
          <w:sz w:val="24"/>
        </w:rPr>
        <w:t>■</w:t>
      </w:r>
      <w:r>
        <w:rPr>
          <w:rFonts w:hint="eastAsia" w:ascii="宋体" w:hAnsi="宋体" w:cs="宋体"/>
          <w:sz w:val="24"/>
        </w:rPr>
        <w:t>否。</w:t>
      </w:r>
    </w:p>
    <w:p w14:paraId="4449D2E5">
      <w:pPr>
        <w:pStyle w:val="3"/>
        <w:autoSpaceDE/>
        <w:autoSpaceDN/>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二、申请人的资格要求（须同时满足）</w:t>
      </w:r>
      <w:bookmarkStart w:id="0" w:name="_GoBack"/>
      <w:bookmarkEnd w:id="0"/>
    </w:p>
    <w:p w14:paraId="3D6E4600">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4CEEF202">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69CCA422">
      <w:pPr>
        <w:spacing w:line="360" w:lineRule="auto"/>
        <w:ind w:firstLine="480" w:firstLineChars="200"/>
        <w:rPr>
          <w:rFonts w:ascii="宋体" w:hAnsi="宋体" w:cs="宋体"/>
          <w:sz w:val="24"/>
        </w:rPr>
      </w:pPr>
      <w:r>
        <w:rPr>
          <w:rFonts w:hint="eastAsia" w:ascii="宋体" w:hAnsi="宋体" w:cs="宋体"/>
          <w:sz w:val="24"/>
        </w:rPr>
        <w:t>2.1 中小企业政策</w:t>
      </w:r>
    </w:p>
    <w:p w14:paraId="7C13E001">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53E4DDDA">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01EF28EA">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 xml:space="preserve">。  </w:t>
      </w:r>
    </w:p>
    <w:p w14:paraId="3148F4D8">
      <w:pPr>
        <w:spacing w:line="360" w:lineRule="auto"/>
        <w:ind w:firstLine="480" w:firstLineChars="200"/>
        <w:rPr>
          <w:rFonts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4FCC6700">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5431C15F">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3A7BF42D">
      <w:pPr>
        <w:spacing w:line="360" w:lineRule="auto"/>
        <w:ind w:firstLine="480" w:firstLineChars="200"/>
        <w:rPr>
          <w:rFonts w:hint="eastAsia" w:ascii="宋体" w:hAnsi="宋体" w:cs="宋体"/>
          <w:b w:val="0"/>
          <w:bCs/>
          <w:sz w:val="24"/>
        </w:rPr>
      </w:pPr>
      <w:r>
        <w:rPr>
          <w:rFonts w:hint="eastAsia" w:ascii="宋体" w:hAnsi="宋体" w:cs="宋体"/>
          <w:b w:val="0"/>
          <w:bCs/>
          <w:sz w:val="24"/>
        </w:rPr>
        <w:t>■否</w:t>
      </w:r>
    </w:p>
    <w:p w14:paraId="5341FE55">
      <w:pPr>
        <w:spacing w:line="360" w:lineRule="auto"/>
        <w:ind w:firstLine="480" w:firstLineChars="200"/>
        <w:rPr>
          <w:rFonts w:hint="eastAsia" w:ascii="宋体" w:hAnsi="宋体" w:cs="宋体"/>
          <w:b w:val="0"/>
          <w:bCs/>
          <w:sz w:val="24"/>
        </w:rPr>
      </w:pPr>
      <w:r>
        <w:rPr>
          <w:rFonts w:hint="eastAsia" w:ascii="宋体" w:hAnsi="宋体" w:cs="宋体"/>
          <w:b w:val="0"/>
          <w:bCs/>
          <w:sz w:val="24"/>
        </w:rPr>
        <w:t>□是，公益一类事业单位、使用事业编制且由财政拨款保障的群团组织，不得作为承接主体；</w:t>
      </w:r>
    </w:p>
    <w:p w14:paraId="72A4E120">
      <w:pPr>
        <w:spacing w:line="360" w:lineRule="auto"/>
        <w:ind w:firstLine="480" w:firstLineChars="200"/>
        <w:rPr>
          <w:rFonts w:hint="eastAsia" w:ascii="宋体" w:hAnsi="宋体" w:cs="宋体"/>
          <w:sz w:val="24"/>
        </w:rPr>
      </w:pPr>
      <w:r>
        <w:rPr>
          <w:rFonts w:hint="eastAsia" w:ascii="宋体" w:hAnsi="宋体" w:cs="宋体"/>
          <w:sz w:val="24"/>
        </w:rPr>
        <w:t>3.2其他特定资格要求：投标人未被“信用中国”网站（www.creditchina.gov.cn）列入失信被执行人和重大税收违法失信主体</w:t>
      </w:r>
      <w:r>
        <w:rPr>
          <w:rFonts w:hint="eastAsia" w:ascii="宋体" w:hAnsi="宋体" w:cs="宋体"/>
          <w:sz w:val="24"/>
          <w:lang w:eastAsia="zh-CN"/>
        </w:rPr>
        <w:t>名单，</w:t>
      </w:r>
      <w:r>
        <w:rPr>
          <w:rFonts w:hint="eastAsia" w:ascii="宋体" w:hAnsi="宋体" w:cs="宋体"/>
          <w:sz w:val="24"/>
        </w:rPr>
        <w:t>未被</w:t>
      </w:r>
      <w:r>
        <w:rPr>
          <w:rFonts w:hint="eastAsia" w:ascii="宋体" w:hAnsi="宋体" w:cs="宋体"/>
          <w:sz w:val="24"/>
          <w:lang w:eastAsia="zh-CN"/>
        </w:rPr>
        <w:t>列入</w:t>
      </w:r>
      <w:r>
        <w:rPr>
          <w:rFonts w:hint="eastAsia" w:ascii="宋体" w:hAnsi="宋体" w:cs="宋体"/>
          <w:sz w:val="24"/>
        </w:rPr>
        <w:t>“中国政府采购网”网站（www.ccgp.gov.cn）政府采购严重违法失信行为记录名单。</w:t>
      </w:r>
    </w:p>
    <w:p w14:paraId="1B777452">
      <w:pPr>
        <w:spacing w:line="360" w:lineRule="auto"/>
        <w:ind w:firstLine="480" w:firstLineChars="200"/>
        <w:rPr>
          <w:rFonts w:ascii="宋体" w:hAnsi="宋体" w:cs="宋体"/>
          <w:i/>
          <w:iCs/>
          <w:sz w:val="24"/>
          <w:u w:val="single"/>
        </w:rPr>
      </w:pPr>
    </w:p>
    <w:p w14:paraId="2214141B">
      <w:pPr>
        <w:pStyle w:val="3"/>
        <w:widowControl/>
        <w:autoSpaceDE/>
        <w:autoSpaceDN/>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三、获取招标文件</w:t>
      </w:r>
    </w:p>
    <w:p w14:paraId="629EA1FF">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highlight w:val="none"/>
        </w:rPr>
        <w:t>：</w:t>
      </w:r>
      <w:r>
        <w:rPr>
          <w:rFonts w:hint="eastAsia" w:ascii="宋体" w:hAnsi="宋体" w:cs="宋体"/>
          <w:sz w:val="24"/>
          <w:highlight w:val="none"/>
          <w:lang w:eastAsia="zh-CN"/>
        </w:rPr>
        <w:t>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日至</w:t>
      </w:r>
      <w:r>
        <w:rPr>
          <w:rFonts w:hint="eastAsia" w:ascii="宋体" w:hAnsi="宋体" w:cs="宋体"/>
          <w:sz w:val="24"/>
          <w:highlight w:val="none"/>
          <w:lang w:eastAsia="zh-CN"/>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w:t>
      </w:r>
      <w:r>
        <w:rPr>
          <w:rFonts w:hint="eastAsia" w:ascii="宋体" w:hAnsi="宋体" w:cs="宋体"/>
          <w:sz w:val="24"/>
        </w:rPr>
        <w:t>每天9</w:t>
      </w:r>
      <w:r>
        <w:rPr>
          <w:rFonts w:hint="eastAsia" w:ascii="宋体" w:hAnsi="宋体" w:cs="宋体"/>
          <w:sz w:val="24"/>
          <w:lang w:eastAsia="zh-CN"/>
        </w:rPr>
        <w:t>:</w:t>
      </w:r>
      <w:r>
        <w:rPr>
          <w:rFonts w:hint="eastAsia" w:ascii="宋体" w:hAnsi="宋体" w:cs="宋体"/>
          <w:sz w:val="24"/>
        </w:rPr>
        <w:t>00至12</w:t>
      </w:r>
      <w:r>
        <w:rPr>
          <w:rFonts w:hint="eastAsia" w:ascii="宋体" w:hAnsi="宋体" w:cs="宋体"/>
          <w:sz w:val="24"/>
          <w:lang w:eastAsia="zh-CN"/>
        </w:rPr>
        <w:t>:</w:t>
      </w:r>
      <w:r>
        <w:rPr>
          <w:rFonts w:hint="eastAsia" w:ascii="宋体" w:hAnsi="宋体" w:cs="宋体"/>
          <w:sz w:val="24"/>
        </w:rPr>
        <w:t>00，下午13：00至17</w:t>
      </w:r>
      <w:r>
        <w:rPr>
          <w:rFonts w:hint="eastAsia" w:ascii="宋体" w:hAnsi="宋体" w:cs="宋体"/>
          <w:sz w:val="24"/>
          <w:lang w:eastAsia="zh-CN"/>
        </w:rPr>
        <w:t>:</w:t>
      </w:r>
      <w:r>
        <w:rPr>
          <w:rFonts w:hint="eastAsia" w:ascii="宋体" w:hAnsi="宋体" w:cs="宋体"/>
          <w:sz w:val="24"/>
        </w:rPr>
        <w:t>00（北京时间，法定节假日除外）</w:t>
      </w:r>
    </w:p>
    <w:p w14:paraId="4A972CC1">
      <w:pPr>
        <w:wordWrap w:val="0"/>
        <w:spacing w:line="360" w:lineRule="auto"/>
        <w:ind w:firstLine="480" w:firstLineChars="200"/>
        <w:rPr>
          <w:rFonts w:ascii="宋体" w:hAnsi="宋体" w:cs="宋体"/>
          <w:sz w:val="24"/>
        </w:rPr>
      </w:pPr>
      <w:r>
        <w:rPr>
          <w:rFonts w:hint="eastAsia" w:ascii="宋体" w:hAnsi="宋体" w:cs="宋体"/>
          <w:sz w:val="24"/>
        </w:rPr>
        <w:t>地点：北京市政府采购电子交易平台</w:t>
      </w:r>
    </w:p>
    <w:p w14:paraId="0D79A0C1">
      <w:pPr>
        <w:spacing w:line="360" w:lineRule="auto"/>
        <w:ind w:firstLine="480" w:firstLineChars="200"/>
        <w:rPr>
          <w:rFonts w:ascii="宋体" w:hAnsi="宋体" w:cs="宋体"/>
          <w:sz w:val="24"/>
        </w:rPr>
      </w:pPr>
      <w:r>
        <w:rPr>
          <w:rFonts w:hint="eastAsia" w:ascii="宋体" w:hAnsi="宋体" w:cs="宋体"/>
          <w:sz w:val="24"/>
        </w:rPr>
        <w:t>方式：本项目采用电子化与线下流程结合招标方式，相关操作如下：</w:t>
      </w:r>
    </w:p>
    <w:p w14:paraId="21A01631">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（1）办理 CA数字证书或电子营业执照</w:t>
      </w:r>
    </w:p>
    <w:p w14:paraId="0CB24E50">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53298F78">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7DA3FFE5">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（3）招标文件获取方式</w:t>
      </w:r>
      <w:r>
        <w:rPr>
          <w:rFonts w:hint="eastAsia" w:ascii="宋体" w:hAnsi="宋体" w:cs="宋体"/>
          <w:sz w:val="24"/>
          <w:lang w:eastAsia="zh-CN" w:bidi="ar"/>
        </w:rPr>
        <w:t>：</w:t>
      </w:r>
      <w:r>
        <w:rPr>
          <w:rFonts w:hint="eastAsia" w:ascii="宋体" w:hAnsi="宋体" w:cs="宋体"/>
          <w:sz w:val="24"/>
          <w:lang w:bidi="ar"/>
        </w:rPr>
        <w:t>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11CD15C6">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（4）证书驱动下载</w:t>
      </w:r>
      <w:r>
        <w:rPr>
          <w:rFonts w:hint="eastAsia" w:ascii="宋体" w:hAnsi="宋体" w:cs="宋体"/>
          <w:sz w:val="24"/>
          <w:lang w:eastAsia="zh-CN" w:bidi="ar"/>
        </w:rPr>
        <w:t>：</w:t>
      </w:r>
      <w:r>
        <w:rPr>
          <w:rFonts w:hint="eastAsia" w:ascii="宋体" w:hAnsi="宋体" w:cs="宋体"/>
          <w:sz w:val="24"/>
          <w:lang w:bidi="ar"/>
        </w:rPr>
        <w:t>于北京市政府采购电子交易平台“用户指南”→“工具下载”→“招标采购系统文件驱动安装包”下载相关驱动。</w:t>
      </w:r>
    </w:p>
    <w:p w14:paraId="5176EDA3">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67A7B607">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注意</w:t>
      </w:r>
      <w:r>
        <w:rPr>
          <w:rFonts w:hint="eastAsia" w:ascii="宋体" w:hAnsi="宋体" w:cs="宋体"/>
          <w:sz w:val="24"/>
          <w:lang w:eastAsia="zh-CN" w:bidi="ar"/>
        </w:rPr>
        <w:t>：</w:t>
      </w:r>
      <w:r>
        <w:rPr>
          <w:rFonts w:hint="eastAsia" w:ascii="宋体" w:hAnsi="宋体" w:cs="宋体"/>
          <w:sz w:val="24"/>
          <w:lang w:bidi="ar"/>
        </w:rPr>
        <w:t>请供应商认真学习北京市政府采购电子交易平台发布的相关操作手册。</w:t>
      </w:r>
    </w:p>
    <w:p w14:paraId="0A06091D">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145C1B02">
      <w:pPr>
        <w:pStyle w:val="3"/>
        <w:widowControl/>
        <w:autoSpaceDE/>
        <w:autoSpaceDN/>
        <w:spacing w:before="0" w:line="360" w:lineRule="auto"/>
        <w:ind w:firstLine="482"/>
        <w:jc w:val="left"/>
        <w:rPr>
          <w:rFonts w:ascii="宋体" w:hAnsi="宋体" w:eastAsia="宋体" w:cs="宋体"/>
          <w:sz w:val="24"/>
          <w:szCs w:val="24"/>
          <w:highlight w:val="none"/>
        </w:rPr>
      </w:pPr>
      <w:r>
        <w:rPr>
          <w:rFonts w:hint="eastAsia" w:ascii="宋体" w:hAnsi="宋体" w:eastAsia="宋体" w:cs="宋体"/>
          <w:sz w:val="24"/>
          <w:szCs w:val="24"/>
        </w:rPr>
        <w:t>四、提交投标文件截止时</w:t>
      </w:r>
      <w:r>
        <w:rPr>
          <w:rFonts w:hint="eastAsia" w:ascii="宋体" w:hAnsi="宋体" w:eastAsia="宋体" w:cs="宋体"/>
          <w:sz w:val="24"/>
          <w:szCs w:val="24"/>
          <w:highlight w:val="none"/>
        </w:rPr>
        <w:t>间、开标时间和地点</w:t>
      </w:r>
    </w:p>
    <w:p w14:paraId="175E7338">
      <w:pPr>
        <w:spacing w:line="360" w:lineRule="auto"/>
        <w:ind w:firstLine="480" w:firstLineChars="200"/>
        <w:rPr>
          <w:rFonts w:ascii="宋体" w:hAnsi="宋体" w:cs="宋体"/>
          <w:bCs/>
          <w:sz w:val="24"/>
          <w:u w:val="single"/>
        </w:rPr>
      </w:pPr>
      <w:r>
        <w:rPr>
          <w:rFonts w:hint="eastAsia" w:ascii="宋体" w:hAnsi="宋体" w:cs="宋体"/>
          <w:sz w:val="24"/>
          <w:highlight w:val="none"/>
          <w:lang w:bidi="ar"/>
        </w:rPr>
        <w:t>投标截止时间、开标时间：</w:t>
      </w:r>
      <w:r>
        <w:rPr>
          <w:rFonts w:hint="eastAsia" w:ascii="宋体" w:hAnsi="宋体" w:cs="宋体"/>
          <w:sz w:val="24"/>
          <w:highlight w:val="none"/>
          <w:lang w:eastAsia="zh-CN"/>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点</w:t>
      </w:r>
      <w:r>
        <w:rPr>
          <w:rFonts w:hint="eastAsia" w:ascii="宋体" w:hAnsi="宋体" w:cs="宋体"/>
          <w:sz w:val="24"/>
          <w:highlight w:val="none"/>
          <w:lang w:val="en-US" w:eastAsia="zh-CN"/>
        </w:rPr>
        <w:t>3</w:t>
      </w:r>
      <w:r>
        <w:rPr>
          <w:rFonts w:hint="eastAsia" w:ascii="宋体" w:hAnsi="宋体" w:cs="宋体"/>
          <w:sz w:val="24"/>
          <w:highlight w:val="none"/>
        </w:rPr>
        <w:t>0分</w:t>
      </w:r>
      <w:r>
        <w:rPr>
          <w:rFonts w:hint="eastAsia" w:ascii="宋体" w:hAnsi="宋体" w:cs="宋体"/>
          <w:bCs/>
          <w:sz w:val="24"/>
          <w:highlight w:val="none"/>
          <w:lang w:bidi="ar"/>
        </w:rPr>
        <w:t>（</w:t>
      </w:r>
      <w:r>
        <w:rPr>
          <w:rFonts w:hint="eastAsia" w:ascii="宋体" w:hAnsi="宋体" w:cs="宋体"/>
          <w:bCs/>
          <w:sz w:val="24"/>
          <w:lang w:bidi="ar"/>
        </w:rPr>
        <w:t>北京时间）</w:t>
      </w:r>
      <w:r>
        <w:rPr>
          <w:rFonts w:hint="eastAsia" w:ascii="宋体" w:hAnsi="宋体" w:cs="宋体"/>
          <w:iCs/>
          <w:sz w:val="24"/>
          <w:lang w:bidi="ar"/>
        </w:rPr>
        <w:t>。</w:t>
      </w:r>
    </w:p>
    <w:p w14:paraId="782A6D95">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地点：北京市丰台区广安路9号国投财富广场6号楼15层1518会议室</w:t>
      </w:r>
      <w:r>
        <w:rPr>
          <w:rFonts w:hint="eastAsia" w:ascii="宋体" w:hAnsi="宋体" w:cs="宋体"/>
          <w:sz w:val="24"/>
          <w:lang w:val="zh-TW"/>
        </w:rPr>
        <w:t>。</w:t>
      </w:r>
    </w:p>
    <w:p w14:paraId="1164C134">
      <w:pPr>
        <w:pStyle w:val="3"/>
        <w:autoSpaceDE/>
        <w:autoSpaceDN/>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五、公告期限</w:t>
      </w:r>
    </w:p>
    <w:p w14:paraId="76DF815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7B54B3E6">
      <w:pPr>
        <w:pStyle w:val="3"/>
        <w:autoSpaceDE/>
        <w:autoSpaceDN/>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六、其他补充事宜</w:t>
      </w:r>
    </w:p>
    <w:p w14:paraId="79490208">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4C67C491">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本项目招标公告在中国政府采购网、北京市政府采购网上同步发布</w:t>
      </w:r>
    </w:p>
    <w:p w14:paraId="0BF299F5">
      <w:pPr>
        <w:pStyle w:val="3"/>
        <w:autoSpaceDE/>
        <w:autoSpaceDN/>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14:paraId="00B7D399">
      <w:pPr>
        <w:widowControl/>
        <w:spacing w:line="360" w:lineRule="auto"/>
        <w:ind w:left="210" w:leftChars="100" w:firstLine="482" w:firstLineChars="200"/>
        <w:jc w:val="left"/>
        <w:rPr>
          <w:rFonts w:ascii="宋体" w:hAnsi="宋体" w:cs="宋体"/>
          <w:b/>
          <w:sz w:val="24"/>
        </w:rPr>
      </w:pPr>
      <w:r>
        <w:rPr>
          <w:rFonts w:hint="eastAsia" w:ascii="宋体" w:hAnsi="宋体" w:cs="宋体"/>
          <w:b/>
          <w:sz w:val="24"/>
        </w:rPr>
        <w:t>1.采购人信息</w:t>
      </w:r>
    </w:p>
    <w:p w14:paraId="773A25A5">
      <w:pPr>
        <w:spacing w:line="360" w:lineRule="auto"/>
        <w:ind w:left="210" w:leftChars="100" w:firstLine="480" w:firstLineChars="200"/>
        <w:jc w:val="left"/>
        <w:rPr>
          <w:rFonts w:ascii="宋体" w:hAnsi="宋体" w:cs="宋体"/>
          <w:sz w:val="24"/>
        </w:rPr>
      </w:pPr>
      <w:r>
        <w:rPr>
          <w:rFonts w:hint="eastAsia" w:ascii="宋体" w:hAnsi="宋体" w:cs="宋体"/>
          <w:sz w:val="24"/>
        </w:rPr>
        <w:t>名    称：北京市优化营商环境促进中心</w:t>
      </w:r>
    </w:p>
    <w:p w14:paraId="3E49A610">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址：北京市通州区运河东大街55号院4号楼</w:t>
      </w:r>
    </w:p>
    <w:p w14:paraId="5EDDF468">
      <w:pPr>
        <w:spacing w:line="360" w:lineRule="auto"/>
        <w:ind w:left="210" w:leftChars="100" w:firstLine="480" w:firstLineChars="200"/>
        <w:jc w:val="left"/>
        <w:rPr>
          <w:rFonts w:ascii="宋体" w:hAnsi="宋体" w:cs="宋体"/>
          <w:sz w:val="24"/>
        </w:rPr>
      </w:pPr>
      <w:r>
        <w:rPr>
          <w:rFonts w:hint="eastAsia" w:ascii="宋体" w:hAnsi="宋体" w:cs="宋体"/>
          <w:sz w:val="24"/>
        </w:rPr>
        <w:t>联系方式：孟庆玮 010-89150737</w:t>
      </w:r>
    </w:p>
    <w:p w14:paraId="541CE436">
      <w:pPr>
        <w:spacing w:line="360" w:lineRule="auto"/>
        <w:ind w:left="210" w:leftChars="100" w:firstLine="482" w:firstLineChars="200"/>
        <w:jc w:val="left"/>
        <w:rPr>
          <w:rFonts w:ascii="宋体" w:hAnsi="宋体" w:cs="宋体"/>
          <w:b/>
          <w:sz w:val="24"/>
        </w:rPr>
      </w:pPr>
      <w:r>
        <w:rPr>
          <w:rFonts w:hint="eastAsia" w:ascii="宋体" w:hAnsi="宋体" w:cs="宋体"/>
          <w:b/>
          <w:sz w:val="24"/>
        </w:rPr>
        <w:t>2.采购代理机构信息</w:t>
      </w:r>
    </w:p>
    <w:p w14:paraId="1A2713FF">
      <w:pPr>
        <w:spacing w:line="360" w:lineRule="auto"/>
        <w:ind w:left="210" w:leftChars="100" w:firstLine="480" w:firstLineChars="200"/>
        <w:jc w:val="left"/>
        <w:rPr>
          <w:rFonts w:ascii="宋体" w:hAnsi="宋体" w:cs="宋体"/>
          <w:sz w:val="24"/>
        </w:rPr>
      </w:pPr>
      <w:r>
        <w:rPr>
          <w:rFonts w:hint="eastAsia" w:ascii="宋体" w:hAnsi="宋体" w:cs="宋体"/>
          <w:sz w:val="24"/>
        </w:rPr>
        <w:t>名    称：华采招标集团有限公司</w:t>
      </w:r>
    </w:p>
    <w:p w14:paraId="1B8C4195">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址：北京市丰台区广安路9号国投财富广场6号楼1601室</w:t>
      </w:r>
    </w:p>
    <w:p w14:paraId="2F2B0A09">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联系方式：崔丽洁、赵娜、</w:t>
      </w:r>
      <w:r>
        <w:rPr>
          <w:rFonts w:hint="eastAsia" w:hAnsi="宋体" w:cs="宋体"/>
          <w:sz w:val="24"/>
          <w:lang w:eastAsia="zh-CN"/>
        </w:rPr>
        <w:t>白敏娜</w:t>
      </w:r>
      <w:r>
        <w:rPr>
          <w:rFonts w:hint="eastAsia" w:hAnsi="宋体" w:cs="宋体"/>
          <w:sz w:val="24"/>
        </w:rPr>
        <w:t>、</w:t>
      </w:r>
      <w:r>
        <w:rPr>
          <w:rFonts w:hint="eastAsia" w:ascii="宋体" w:hAnsi="宋体" w:cs="宋体"/>
          <w:sz w:val="24"/>
        </w:rPr>
        <w:t>金珊</w:t>
      </w:r>
      <w:r>
        <w:rPr>
          <w:rFonts w:hint="eastAsia" w:hAnsi="宋体" w:cs="宋体"/>
          <w:sz w:val="24"/>
        </w:rPr>
        <w:t xml:space="preserve">、刘金秀 </w:t>
      </w:r>
      <w:r>
        <w:rPr>
          <w:rFonts w:hint="eastAsia" w:ascii="宋体" w:hAnsi="宋体" w:cs="宋体"/>
          <w:sz w:val="24"/>
        </w:rPr>
        <w:t>010-63509799-</w:t>
      </w:r>
      <w:r>
        <w:rPr>
          <w:rFonts w:hint="eastAsia" w:ascii="宋体" w:hAnsi="宋体" w:cs="宋体"/>
          <w:sz w:val="24"/>
          <w:lang w:eastAsia="zh-CN"/>
        </w:rPr>
        <w:t>8022、8034</w:t>
      </w:r>
    </w:p>
    <w:p w14:paraId="02EB3B1E">
      <w:pPr>
        <w:spacing w:line="360" w:lineRule="auto"/>
        <w:ind w:left="210" w:leftChars="100" w:firstLine="482" w:firstLineChars="200"/>
        <w:rPr>
          <w:rFonts w:ascii="宋体" w:hAnsi="宋体" w:cs="宋体"/>
          <w:b/>
          <w:sz w:val="24"/>
        </w:rPr>
      </w:pPr>
      <w:r>
        <w:rPr>
          <w:rFonts w:hint="eastAsia" w:ascii="宋体" w:hAnsi="宋体" w:cs="宋体"/>
          <w:b/>
          <w:sz w:val="24"/>
        </w:rPr>
        <w:t>3.项目联系方式</w:t>
      </w:r>
    </w:p>
    <w:p w14:paraId="5AF9AB77">
      <w:pPr>
        <w:pStyle w:val="8"/>
        <w:spacing w:line="360" w:lineRule="auto"/>
        <w:ind w:left="210" w:leftChars="100" w:firstLine="480" w:firstLineChars="200"/>
        <w:rPr>
          <w:rFonts w:hint="default" w:hAnsi="宋体" w:cs="宋体"/>
          <w:sz w:val="24"/>
          <w:szCs w:val="24"/>
        </w:rPr>
      </w:pPr>
      <w:r>
        <w:rPr>
          <w:rFonts w:hAnsi="宋体" w:cs="宋体"/>
          <w:sz w:val="24"/>
          <w:szCs w:val="24"/>
        </w:rPr>
        <w:t>项目联系人：</w:t>
      </w:r>
      <w:r>
        <w:rPr>
          <w:rFonts w:hAnsi="宋体" w:cs="宋体"/>
          <w:sz w:val="24"/>
        </w:rPr>
        <w:t>崔丽洁、赵娜、</w:t>
      </w:r>
      <w:r>
        <w:rPr>
          <w:rFonts w:hint="eastAsia" w:hAnsi="宋体" w:cs="宋体"/>
          <w:sz w:val="24"/>
          <w:lang w:eastAsia="zh-CN"/>
        </w:rPr>
        <w:t>白敏娜</w:t>
      </w:r>
      <w:r>
        <w:rPr>
          <w:rFonts w:hAnsi="宋体" w:cs="宋体"/>
          <w:sz w:val="24"/>
        </w:rPr>
        <w:t>、金珊、刘金秀</w:t>
      </w:r>
    </w:p>
    <w:p w14:paraId="14EB1ADB">
      <w:pPr>
        <w:pageBreakBefore w:val="0"/>
        <w:kinsoku/>
        <w:overflowPunct/>
        <w:topLinePunct w:val="0"/>
        <w:bidi w:val="0"/>
        <w:spacing w:line="360" w:lineRule="auto"/>
        <w:ind w:firstLine="720" w:firstLineChars="300"/>
        <w:textAlignment w:val="auto"/>
      </w:pPr>
      <w:r>
        <w:rPr>
          <w:rFonts w:hAnsi="宋体" w:cs="宋体"/>
          <w:sz w:val="24"/>
        </w:rPr>
        <w:t>电      话：010-63509799-</w:t>
      </w:r>
      <w:r>
        <w:rPr>
          <w:rFonts w:hint="eastAsia" w:hAnsi="宋体" w:cs="宋体"/>
          <w:sz w:val="24"/>
          <w:lang w:eastAsia="zh-CN"/>
        </w:rPr>
        <w:t>8022、8034</w:t>
      </w: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WIzNDA3MzkyNGZjN2MzYjVkNjBlNjc0NTY3N2EifQ=="/>
  </w:docVars>
  <w:rsids>
    <w:rsidRoot w:val="003058FD"/>
    <w:rsid w:val="0001557C"/>
    <w:rsid w:val="00055FD2"/>
    <w:rsid w:val="00077678"/>
    <w:rsid w:val="001216A9"/>
    <w:rsid w:val="0012557A"/>
    <w:rsid w:val="001E394A"/>
    <w:rsid w:val="00215515"/>
    <w:rsid w:val="00216EF1"/>
    <w:rsid w:val="00226858"/>
    <w:rsid w:val="003053C1"/>
    <w:rsid w:val="003058FD"/>
    <w:rsid w:val="00316189"/>
    <w:rsid w:val="00332178"/>
    <w:rsid w:val="003650E6"/>
    <w:rsid w:val="0037431B"/>
    <w:rsid w:val="003C2F1A"/>
    <w:rsid w:val="0041370D"/>
    <w:rsid w:val="00471B64"/>
    <w:rsid w:val="00494598"/>
    <w:rsid w:val="004E4B34"/>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356A4"/>
    <w:rsid w:val="00A95530"/>
    <w:rsid w:val="00AC51E9"/>
    <w:rsid w:val="00AE75D4"/>
    <w:rsid w:val="00C123E5"/>
    <w:rsid w:val="00C21273"/>
    <w:rsid w:val="00C269A7"/>
    <w:rsid w:val="00D41394"/>
    <w:rsid w:val="00D87402"/>
    <w:rsid w:val="00DC5EF2"/>
    <w:rsid w:val="00DD6FB5"/>
    <w:rsid w:val="00DF10E1"/>
    <w:rsid w:val="00E00279"/>
    <w:rsid w:val="00E946BB"/>
    <w:rsid w:val="00F52754"/>
    <w:rsid w:val="00F55B61"/>
    <w:rsid w:val="00FA6115"/>
    <w:rsid w:val="00FC4C28"/>
    <w:rsid w:val="044036B7"/>
    <w:rsid w:val="04992D52"/>
    <w:rsid w:val="092C4B5A"/>
    <w:rsid w:val="096807EB"/>
    <w:rsid w:val="09C32013"/>
    <w:rsid w:val="0EEC54CF"/>
    <w:rsid w:val="12332670"/>
    <w:rsid w:val="147144F6"/>
    <w:rsid w:val="17101F77"/>
    <w:rsid w:val="182501E1"/>
    <w:rsid w:val="1A763000"/>
    <w:rsid w:val="1B0F4B9F"/>
    <w:rsid w:val="1B717DF3"/>
    <w:rsid w:val="1DA6682E"/>
    <w:rsid w:val="1F525FB8"/>
    <w:rsid w:val="2031330F"/>
    <w:rsid w:val="2515637F"/>
    <w:rsid w:val="26AB18D8"/>
    <w:rsid w:val="26AD77E2"/>
    <w:rsid w:val="299A59FA"/>
    <w:rsid w:val="2AA8279A"/>
    <w:rsid w:val="31E626A4"/>
    <w:rsid w:val="38557936"/>
    <w:rsid w:val="3D646077"/>
    <w:rsid w:val="3E0E4AA2"/>
    <w:rsid w:val="3EE6289D"/>
    <w:rsid w:val="41865B62"/>
    <w:rsid w:val="45B85ED0"/>
    <w:rsid w:val="462B0663"/>
    <w:rsid w:val="47A934A7"/>
    <w:rsid w:val="49154CC0"/>
    <w:rsid w:val="49FA5194"/>
    <w:rsid w:val="4A1C1E51"/>
    <w:rsid w:val="4CD2753F"/>
    <w:rsid w:val="53974572"/>
    <w:rsid w:val="5C367F47"/>
    <w:rsid w:val="5D7646F6"/>
    <w:rsid w:val="5E501768"/>
    <w:rsid w:val="5F2D3D93"/>
    <w:rsid w:val="61011DFA"/>
    <w:rsid w:val="62F7077A"/>
    <w:rsid w:val="63C9306E"/>
    <w:rsid w:val="63D15F9E"/>
    <w:rsid w:val="642873A1"/>
    <w:rsid w:val="67D9063A"/>
    <w:rsid w:val="692A5B18"/>
    <w:rsid w:val="6A672180"/>
    <w:rsid w:val="6E527997"/>
    <w:rsid w:val="6F2911A5"/>
    <w:rsid w:val="7091206C"/>
    <w:rsid w:val="72E61148"/>
    <w:rsid w:val="73D06E12"/>
    <w:rsid w:val="74E53270"/>
    <w:rsid w:val="75E21518"/>
    <w:rsid w:val="79077609"/>
    <w:rsid w:val="7A4575D8"/>
    <w:rsid w:val="7D0B0B62"/>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autoRedefine/>
    <w:unhideWhenUsed/>
    <w:qFormat/>
    <w:uiPriority w:val="99"/>
    <w:pPr>
      <w:spacing w:after="120"/>
    </w:pPr>
    <w:rPr>
      <w:rFonts w:ascii="Calibri" w:hAnsi="Calibri"/>
      <w:szCs w:val="24"/>
    </w:rPr>
  </w:style>
  <w:style w:type="paragraph" w:styleId="6">
    <w:name w:val="Body Text Indent"/>
    <w:basedOn w:val="1"/>
    <w:autoRedefine/>
    <w:qFormat/>
    <w:uiPriority w:val="0"/>
    <w:pPr>
      <w:spacing w:line="360" w:lineRule="auto"/>
      <w:ind w:firstLine="570"/>
    </w:pPr>
    <w:rPr>
      <w:sz w:val="24"/>
    </w:rPr>
  </w:style>
  <w:style w:type="paragraph" w:styleId="7">
    <w:name w:val="List 2"/>
    <w:basedOn w:val="1"/>
    <w:autoRedefine/>
    <w:qFormat/>
    <w:uiPriority w:val="0"/>
    <w:pPr>
      <w:ind w:left="100" w:leftChars="200" w:hanging="200" w:hangingChars="200"/>
    </w:pPr>
  </w:style>
  <w:style w:type="paragraph" w:styleId="8">
    <w:name w:val="Plain Text"/>
    <w:basedOn w:val="1"/>
    <w:autoRedefine/>
    <w:qFormat/>
    <w:uiPriority w:val="0"/>
    <w:rPr>
      <w:rFonts w:ascii="宋体" w:hAnsi="Courier New" w:eastAsiaTheme="minorEastAsia" w:cstheme="minorBidi"/>
      <w:szCs w:val="22"/>
    </w:rPr>
  </w:style>
  <w:style w:type="paragraph" w:styleId="9">
    <w:name w:val="footer"/>
    <w:basedOn w:val="1"/>
    <w:link w:val="18"/>
    <w:autoRedefine/>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1"/>
    <w:autoRedefine/>
    <w:qFormat/>
    <w:uiPriority w:val="0"/>
    <w:pPr>
      <w:spacing w:after="120" w:line="480" w:lineRule="exact"/>
      <w:ind w:left="420" w:leftChars="200" w:firstLine="420" w:firstLineChars="200"/>
    </w:p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563C1" w:themeColor="hyperlink"/>
      <w:u w:val="single"/>
      <w14:textFill>
        <w14:solidFill>
          <w14:schemeClr w14:val="hlink"/>
        </w14:solidFill>
      </w14:textFill>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10"/>
    <w:autoRedefine/>
    <w:qFormat/>
    <w:uiPriority w:val="0"/>
    <w:rPr>
      <w:kern w:val="2"/>
      <w:sz w:val="18"/>
      <w:szCs w:val="18"/>
    </w:rPr>
  </w:style>
  <w:style w:type="character" w:customStyle="1" w:styleId="18">
    <w:name w:val="页脚 字符"/>
    <w:basedOn w:val="14"/>
    <w:link w:val="9"/>
    <w:autoRedefine/>
    <w:qFormat/>
    <w:uiPriority w:val="0"/>
    <w:rPr>
      <w:kern w:val="2"/>
      <w:sz w:val="18"/>
      <w:szCs w:val="18"/>
    </w:rPr>
  </w:style>
  <w:style w:type="character" w:customStyle="1" w:styleId="19">
    <w:name w:val="NormalCharacter"/>
    <w:autoRedefine/>
    <w:qFormat/>
    <w:uiPriority w:val="0"/>
  </w:style>
  <w:style w:type="paragraph" w:customStyle="1" w:styleId="20">
    <w:name w:val="样式 样式 样式 标题 2 + 宋体 五号 非加粗 黑色 + 段前: 6 磅 段后: 0 磅 行距: 单倍行距 + 段前: 12..."/>
    <w:basedOn w:val="1"/>
    <w:autoRedefine/>
    <w:qFormat/>
    <w:uiPriority w:val="0"/>
    <w:pPr>
      <w:keepNext/>
      <w:keepLines/>
      <w:adjustRightInd w:val="0"/>
      <w:spacing w:before="240"/>
      <w:ind w:left="840"/>
      <w:jc w:val="left"/>
      <w:textAlignment w:val="baseline"/>
      <w:outlineLvl w:val="1"/>
    </w:pPr>
    <w:rPr>
      <w:rFonts w:ascii="宋体" w:hAnsi="宋体" w:cs="宋体"/>
      <w:color w:val="000000"/>
      <w:kern w:val="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1661</Words>
  <Characters>1916</Characters>
  <Lines>15</Lines>
  <Paragraphs>4</Paragraphs>
  <TotalTime>0</TotalTime>
  <ScaleCrop>false</ScaleCrop>
  <LinksUpToDate>false</LinksUpToDate>
  <CharactersWithSpaces>1968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Alger</cp:lastModifiedBy>
  <dcterms:modified xsi:type="dcterms:W3CDTF">2025-11-27T07:02:14Z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57FCE2EF35C4423494CF296A616B04B2</vt:lpwstr>
  </property>
  <property fmtid="{D5CDD505-2E9C-101B-9397-08002B2CF9AE}" pid="4" name="KSOTemplateDocerSaveRecord">
    <vt:lpwstr>eyJoZGlkIjoiMDE4YWJlZGJkYjhlYjgwYTY0N2YxMjI0ZTU3MGQxOGUiLCJ1c2VySWQiOiI1ODg0MTU2MDcifQ==</vt:lpwstr>
  </property>
</Properties>
</file>