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69" w:rsidRDefault="00497C69" w:rsidP="00497C69">
      <w:pPr>
        <w:snapToGrid w:val="0"/>
        <w:spacing w:line="540" w:lineRule="exact"/>
        <w:jc w:val="center"/>
        <w:outlineLvl w:val="0"/>
        <w:rPr>
          <w:b/>
          <w:sz w:val="36"/>
          <w:szCs w:val="36"/>
        </w:rPr>
      </w:pPr>
      <w:r>
        <w:rPr>
          <w:rFonts w:hint="eastAsia"/>
          <w:b/>
          <w:sz w:val="36"/>
          <w:szCs w:val="36"/>
        </w:rPr>
        <w:t>采购需求</w:t>
      </w:r>
    </w:p>
    <w:p w:rsidR="00497C69" w:rsidRDefault="00497C69" w:rsidP="00497C69">
      <w:pPr>
        <w:snapToGrid w:val="0"/>
        <w:spacing w:line="540" w:lineRule="exact"/>
        <w:jc w:val="center"/>
        <w:outlineLvl w:val="0"/>
        <w:rPr>
          <w:b/>
          <w:sz w:val="36"/>
          <w:szCs w:val="36"/>
        </w:rPr>
      </w:pPr>
    </w:p>
    <w:p w:rsidR="00497C69" w:rsidRDefault="00497C69" w:rsidP="00497C69">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497C69" w:rsidRDefault="00497C69" w:rsidP="00497C69">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w:t>
      </w:r>
      <w:proofErr w:type="gramStart"/>
      <w:r>
        <w:rPr>
          <w:rFonts w:ascii="仿宋" w:eastAsia="仿宋" w:hAnsi="仿宋" w:hint="eastAsia"/>
          <w:b/>
          <w:bCs/>
          <w:szCs w:val="24"/>
        </w:rPr>
        <w:t>一</w:t>
      </w:r>
      <w:proofErr w:type="gramEnd"/>
      <w:r>
        <w:rPr>
          <w:rFonts w:ascii="仿宋" w:eastAsia="仿宋" w:hAnsi="仿宋" w:hint="eastAsia"/>
          <w:b/>
          <w:bCs/>
          <w:szCs w:val="24"/>
        </w:rPr>
        <w:t>)采购标的需实现的功能或者目标：</w:t>
      </w:r>
    </w:p>
    <w:p w:rsidR="00497C69" w:rsidRDefault="00497C69" w:rsidP="00497C69">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市创伤骨科研究所配置基本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497C69" w:rsidRDefault="00497C69" w:rsidP="00497C69">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497C69" w:rsidRDefault="00497C69" w:rsidP="00497C69">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497C69" w:rsidRDefault="00497C69" w:rsidP="00497C69">
      <w:pPr>
        <w:pStyle w:val="SOW"/>
        <w:numPr>
          <w:ilvl w:val="0"/>
          <w:numId w:val="1"/>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497C69" w:rsidRDefault="00497C69" w:rsidP="00497C69">
      <w:pPr>
        <w:pStyle w:val="SOW"/>
        <w:numPr>
          <w:ilvl w:val="0"/>
          <w:numId w:val="1"/>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97C69" w:rsidRDefault="00497C69" w:rsidP="00497C69">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w:t>
      </w:r>
      <w:r>
        <w:rPr>
          <w:rFonts w:ascii="仿宋" w:eastAsia="仿宋" w:hAnsi="仿宋" w:hint="eastAsia"/>
          <w:sz w:val="24"/>
        </w:rPr>
        <w:lastRenderedPageBreak/>
        <w:t>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497C69" w:rsidRDefault="00497C69" w:rsidP="00497C69">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497C69" w:rsidRDefault="00497C69" w:rsidP="00497C69">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497C69" w:rsidRDefault="00497C69" w:rsidP="00497C69">
      <w:pPr>
        <w:tabs>
          <w:tab w:val="left" w:pos="420"/>
        </w:tabs>
        <w:spacing w:line="360" w:lineRule="auto"/>
        <w:rPr>
          <w:rFonts w:ascii="仿宋" w:eastAsia="仿宋" w:hAnsi="仿宋"/>
          <w:b/>
          <w:kern w:val="0"/>
          <w:sz w:val="24"/>
        </w:rPr>
      </w:pPr>
      <w:r>
        <w:rPr>
          <w:rFonts w:ascii="仿宋" w:eastAsia="仿宋" w:hAnsi="仿宋" w:hint="eastAsia"/>
          <w:b/>
          <w:kern w:val="0"/>
          <w:sz w:val="24"/>
        </w:rPr>
        <w:t>★1、投标产品属于辐射或射线类的设备或材料的，需提供投标人获得的环境保护主管部门出具的辐射安全许可证复印件和所投设备制造商获得的环境保护主管部门出具的辐射安全许可证复印件（不适用的情况除外）。投标产品属于压力容器的，投标人需要根据国家特种设备制造相关管理规定，提供投标产品制造商的特种设备制造许可证（压力容器）。</w:t>
      </w:r>
    </w:p>
    <w:p w:rsidR="00497C69" w:rsidRDefault="00497C69" w:rsidP="00497C69">
      <w:pPr>
        <w:tabs>
          <w:tab w:val="left" w:pos="420"/>
        </w:tabs>
        <w:spacing w:line="360" w:lineRule="auto"/>
        <w:rPr>
          <w:rFonts w:ascii="仿宋" w:eastAsia="仿宋" w:hAnsi="仿宋"/>
          <w:b/>
          <w:sz w:val="24"/>
        </w:rPr>
      </w:pPr>
      <w:r>
        <w:rPr>
          <w:rFonts w:ascii="仿宋" w:eastAsia="仿宋" w:hAnsi="仿宋"/>
          <w:b/>
          <w:kern w:val="0"/>
          <w:sz w:val="24"/>
        </w:rPr>
        <w:t>★</w:t>
      </w:r>
      <w:r>
        <w:rPr>
          <w:rFonts w:ascii="仿宋" w:eastAsia="仿宋" w:hAnsi="仿宋" w:hint="eastAsia"/>
          <w:b/>
          <w:sz w:val="24"/>
        </w:rPr>
        <w:t>2</w:t>
      </w:r>
      <w:r>
        <w:rPr>
          <w:rFonts w:ascii="仿宋" w:eastAsia="仿宋" w:hAnsi="仿宋"/>
          <w:b/>
          <w:sz w:val="24"/>
        </w:rPr>
        <w:t>.</w:t>
      </w:r>
      <w:r>
        <w:rPr>
          <w:rFonts w:ascii="仿宋" w:eastAsia="仿宋" w:hAnsi="仿宋" w:hint="eastAsia"/>
          <w:b/>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b/>
          <w:sz w:val="24"/>
        </w:rPr>
        <w:t>相关证明文件的复印件</w:t>
      </w:r>
      <w:r>
        <w:rPr>
          <w:rFonts w:ascii="仿宋" w:eastAsia="仿宋" w:hAnsi="仿宋" w:hint="eastAsia"/>
          <w:b/>
          <w:sz w:val="24"/>
        </w:rPr>
        <w:t>。</w:t>
      </w:r>
    </w:p>
    <w:p w:rsidR="00497C69" w:rsidRDefault="00497C69" w:rsidP="00497C69">
      <w:pPr>
        <w:tabs>
          <w:tab w:val="left" w:pos="420"/>
        </w:tabs>
        <w:spacing w:line="360" w:lineRule="auto"/>
        <w:rPr>
          <w:rFonts w:ascii="仿宋" w:eastAsia="仿宋" w:hAnsi="仿宋"/>
          <w:bCs/>
          <w:sz w:val="24"/>
        </w:rPr>
      </w:pPr>
      <w:r>
        <w:rPr>
          <w:rFonts w:ascii="仿宋" w:eastAsia="仿宋" w:hAnsi="仿宋" w:hint="eastAsia"/>
          <w:sz w:val="24"/>
        </w:rPr>
        <w:t>3.</w:t>
      </w:r>
      <w:r>
        <w:rPr>
          <w:rFonts w:ascii="仿宋" w:eastAsia="仿宋" w:hAnsi="仿宋" w:hint="eastAsia"/>
          <w:bCs/>
          <w:sz w:val="24"/>
        </w:rPr>
        <w:t xml:space="preserve"> 投标产品的包装应符合《</w:t>
      </w:r>
      <w:r>
        <w:rPr>
          <w:rFonts w:ascii="仿宋" w:eastAsia="仿宋" w:hAnsi="仿宋" w:hint="eastAsia"/>
          <w:sz w:val="24"/>
        </w:rPr>
        <w:t>财政部等三部门联合印发商品包装和快递包装政府采购需求标准（试行）</w:t>
      </w:r>
      <w:r>
        <w:rPr>
          <w:rFonts w:ascii="仿宋" w:eastAsia="仿宋" w:hAnsi="仿宋" w:hint="eastAsia"/>
          <w:bCs/>
          <w:sz w:val="24"/>
        </w:rPr>
        <w:t>》</w:t>
      </w:r>
      <w:r>
        <w:rPr>
          <w:rFonts w:ascii="仿宋" w:eastAsia="仿宋" w:hAnsi="仿宋" w:hint="eastAsia"/>
          <w:sz w:val="24"/>
        </w:rPr>
        <w:t>（财办库〔</w:t>
      </w:r>
      <w:r>
        <w:rPr>
          <w:rFonts w:ascii="仿宋" w:eastAsia="仿宋" w:hAnsi="仿宋"/>
          <w:sz w:val="24"/>
        </w:rPr>
        <w:t>2020</w:t>
      </w:r>
      <w:r>
        <w:rPr>
          <w:rFonts w:ascii="仿宋" w:eastAsia="仿宋" w:hAnsi="仿宋" w:hint="eastAsia"/>
          <w:sz w:val="24"/>
        </w:rPr>
        <w:t>〕</w:t>
      </w:r>
      <w:r>
        <w:rPr>
          <w:rFonts w:ascii="仿宋" w:eastAsia="仿宋" w:hAnsi="仿宋"/>
          <w:sz w:val="24"/>
        </w:rPr>
        <w:t>123</w:t>
      </w:r>
      <w:r>
        <w:rPr>
          <w:rFonts w:ascii="仿宋" w:eastAsia="仿宋" w:hAnsi="仿宋" w:hint="eastAsia"/>
          <w:sz w:val="24"/>
        </w:rPr>
        <w:t>号）的规定。</w:t>
      </w:r>
    </w:p>
    <w:p w:rsidR="00497C69" w:rsidRDefault="00497C69" w:rsidP="00497C69">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497C69" w:rsidRDefault="00497C69" w:rsidP="00497C69">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1033"/>
        <w:gridCol w:w="3990"/>
        <w:gridCol w:w="990"/>
        <w:gridCol w:w="2517"/>
      </w:tblGrid>
      <w:tr w:rsidR="00497C69" w:rsidTr="00791454">
        <w:trPr>
          <w:trHeight w:val="57"/>
        </w:trPr>
        <w:tc>
          <w:tcPr>
            <w:tcW w:w="408" w:type="pct"/>
            <w:vAlign w:val="center"/>
          </w:tcPr>
          <w:p w:rsidR="00497C69" w:rsidRDefault="00497C69" w:rsidP="00791454">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56" w:type="pct"/>
            <w:vAlign w:val="center"/>
          </w:tcPr>
          <w:p w:rsidR="00497C69" w:rsidRDefault="00497C69" w:rsidP="00791454">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148" w:type="pct"/>
            <w:vAlign w:val="center"/>
          </w:tcPr>
          <w:p w:rsidR="00497C69" w:rsidRDefault="00497C69" w:rsidP="00791454">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33" w:type="pct"/>
            <w:vAlign w:val="center"/>
          </w:tcPr>
          <w:p w:rsidR="00497C69" w:rsidRDefault="00497C69" w:rsidP="00791454">
            <w:pPr>
              <w:jc w:val="center"/>
              <w:rPr>
                <w:rFonts w:ascii="仿宋" w:eastAsia="仿宋" w:hAnsi="仿宋"/>
                <w:sz w:val="24"/>
              </w:rPr>
            </w:pPr>
            <w:r>
              <w:rPr>
                <w:rFonts w:ascii="仿宋" w:eastAsia="仿宋" w:hAnsi="仿宋" w:hint="eastAsia"/>
                <w:sz w:val="24"/>
              </w:rPr>
              <w:t>数量</w:t>
            </w:r>
          </w:p>
        </w:tc>
        <w:tc>
          <w:tcPr>
            <w:tcW w:w="1355" w:type="pct"/>
            <w:vAlign w:val="center"/>
          </w:tcPr>
          <w:p w:rsidR="00497C69" w:rsidRDefault="00497C69" w:rsidP="00791454">
            <w:pPr>
              <w:jc w:val="center"/>
              <w:rPr>
                <w:rFonts w:ascii="仿宋" w:eastAsia="仿宋" w:hAnsi="仿宋"/>
                <w:sz w:val="24"/>
              </w:rPr>
            </w:pPr>
            <w:r>
              <w:rPr>
                <w:rFonts w:ascii="仿宋" w:eastAsia="仿宋" w:hAnsi="仿宋" w:hint="eastAsia"/>
                <w:sz w:val="24"/>
              </w:rPr>
              <w:t>是否接受进口产品</w:t>
            </w:r>
          </w:p>
        </w:tc>
      </w:tr>
      <w:tr w:rsidR="00497C69" w:rsidRPr="005678E7" w:rsidTr="00791454">
        <w:trPr>
          <w:trHeight w:val="535"/>
        </w:trPr>
        <w:tc>
          <w:tcPr>
            <w:tcW w:w="408" w:type="pct"/>
            <w:vMerge w:val="restart"/>
            <w:noWrap/>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1</w:t>
            </w:r>
          </w:p>
        </w:tc>
        <w:tc>
          <w:tcPr>
            <w:tcW w:w="556" w:type="pct"/>
            <w:noWrap/>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1-1</w:t>
            </w:r>
          </w:p>
        </w:tc>
        <w:tc>
          <w:tcPr>
            <w:tcW w:w="2148" w:type="pct"/>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超高分辨激光共聚焦显微镜</w:t>
            </w:r>
          </w:p>
        </w:tc>
        <w:tc>
          <w:tcPr>
            <w:tcW w:w="533" w:type="pct"/>
            <w:noWrap/>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1套</w:t>
            </w:r>
          </w:p>
        </w:tc>
        <w:tc>
          <w:tcPr>
            <w:tcW w:w="1355" w:type="pct"/>
            <w:vAlign w:val="center"/>
          </w:tcPr>
          <w:p w:rsidR="00497C69" w:rsidRPr="005678E7" w:rsidRDefault="00497C69" w:rsidP="00791454">
            <w:pPr>
              <w:jc w:val="center"/>
              <w:rPr>
                <w:rFonts w:ascii="仿宋" w:eastAsia="仿宋" w:hAnsi="仿宋"/>
                <w:sz w:val="24"/>
              </w:rPr>
            </w:pPr>
            <w:r w:rsidRPr="005678E7">
              <w:rPr>
                <w:rFonts w:ascii="仿宋" w:eastAsia="仿宋" w:hAnsi="仿宋" w:hint="eastAsia"/>
                <w:sz w:val="24"/>
              </w:rPr>
              <w:t>是</w:t>
            </w:r>
          </w:p>
        </w:tc>
      </w:tr>
      <w:tr w:rsidR="00497C69" w:rsidRPr="005678E7" w:rsidTr="00791454">
        <w:trPr>
          <w:trHeight w:val="535"/>
        </w:trPr>
        <w:tc>
          <w:tcPr>
            <w:tcW w:w="408" w:type="pct"/>
            <w:vMerge/>
            <w:noWrap/>
            <w:vAlign w:val="center"/>
          </w:tcPr>
          <w:p w:rsidR="00497C69" w:rsidRPr="005678E7" w:rsidRDefault="00497C69" w:rsidP="00791454">
            <w:pPr>
              <w:widowControl/>
              <w:jc w:val="center"/>
              <w:rPr>
                <w:rFonts w:ascii="仿宋" w:eastAsia="仿宋" w:hAnsi="仿宋" w:cs="宋体"/>
                <w:szCs w:val="21"/>
              </w:rPr>
            </w:pPr>
          </w:p>
        </w:tc>
        <w:tc>
          <w:tcPr>
            <w:tcW w:w="556" w:type="pct"/>
            <w:noWrap/>
            <w:vAlign w:val="center"/>
          </w:tcPr>
          <w:p w:rsidR="00497C69" w:rsidRPr="005678E7" w:rsidRDefault="00497C69" w:rsidP="00791454">
            <w:pPr>
              <w:widowControl/>
              <w:jc w:val="center"/>
              <w:rPr>
                <w:rFonts w:ascii="仿宋" w:eastAsia="仿宋" w:hAnsi="仿宋" w:cs="宋体"/>
                <w:szCs w:val="21"/>
              </w:rPr>
            </w:pPr>
            <w:r w:rsidRPr="005678E7">
              <w:rPr>
                <w:rFonts w:ascii="仿宋" w:eastAsia="仿宋" w:hAnsi="仿宋" w:cs="宋体" w:hint="eastAsia"/>
                <w:kern w:val="0"/>
                <w:sz w:val="24"/>
              </w:rPr>
              <w:t>1-2</w:t>
            </w:r>
          </w:p>
        </w:tc>
        <w:tc>
          <w:tcPr>
            <w:tcW w:w="2148" w:type="pct"/>
            <w:vAlign w:val="center"/>
          </w:tcPr>
          <w:p w:rsidR="00497C69" w:rsidRPr="005678E7" w:rsidRDefault="00497C69" w:rsidP="00791454">
            <w:pPr>
              <w:jc w:val="center"/>
              <w:rPr>
                <w:rFonts w:ascii="仿宋" w:eastAsia="仿宋" w:hAnsi="仿宋" w:cs="宋体"/>
                <w:szCs w:val="21"/>
              </w:rPr>
            </w:pPr>
            <w:r w:rsidRPr="005678E7">
              <w:rPr>
                <w:rFonts w:ascii="仿宋" w:eastAsia="仿宋" w:hAnsi="仿宋" w:cs="宋体" w:hint="eastAsia"/>
                <w:kern w:val="0"/>
                <w:sz w:val="24"/>
              </w:rPr>
              <w:t>流式细胞仪</w:t>
            </w:r>
          </w:p>
        </w:tc>
        <w:tc>
          <w:tcPr>
            <w:tcW w:w="533" w:type="pct"/>
            <w:noWrap/>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1套</w:t>
            </w:r>
          </w:p>
        </w:tc>
        <w:tc>
          <w:tcPr>
            <w:tcW w:w="1355" w:type="pct"/>
            <w:vAlign w:val="center"/>
          </w:tcPr>
          <w:p w:rsidR="00497C69" w:rsidRPr="005678E7" w:rsidRDefault="00497C69" w:rsidP="00791454">
            <w:pPr>
              <w:jc w:val="center"/>
              <w:rPr>
                <w:rFonts w:ascii="仿宋" w:eastAsia="仿宋" w:hAnsi="仿宋"/>
                <w:sz w:val="24"/>
              </w:rPr>
            </w:pPr>
            <w:r w:rsidRPr="005678E7">
              <w:rPr>
                <w:rFonts w:ascii="仿宋" w:eastAsia="仿宋" w:hAnsi="仿宋" w:hint="eastAsia"/>
                <w:sz w:val="24"/>
              </w:rPr>
              <w:t>是</w:t>
            </w:r>
          </w:p>
        </w:tc>
      </w:tr>
      <w:tr w:rsidR="00497C69" w:rsidRPr="005678E7" w:rsidTr="00791454">
        <w:trPr>
          <w:trHeight w:val="535"/>
        </w:trPr>
        <w:tc>
          <w:tcPr>
            <w:tcW w:w="408" w:type="pct"/>
            <w:vMerge/>
            <w:noWrap/>
            <w:vAlign w:val="center"/>
          </w:tcPr>
          <w:p w:rsidR="00497C69" w:rsidRPr="005678E7" w:rsidRDefault="00497C69" w:rsidP="00791454">
            <w:pPr>
              <w:widowControl/>
              <w:jc w:val="center"/>
              <w:rPr>
                <w:rFonts w:ascii="仿宋" w:eastAsia="仿宋" w:hAnsi="仿宋" w:cs="宋体"/>
                <w:szCs w:val="21"/>
              </w:rPr>
            </w:pPr>
          </w:p>
        </w:tc>
        <w:tc>
          <w:tcPr>
            <w:tcW w:w="556" w:type="pct"/>
            <w:noWrap/>
            <w:vAlign w:val="center"/>
          </w:tcPr>
          <w:p w:rsidR="00497C69" w:rsidRPr="005678E7" w:rsidRDefault="00497C69" w:rsidP="00791454">
            <w:pPr>
              <w:widowControl/>
              <w:jc w:val="center"/>
              <w:rPr>
                <w:rFonts w:ascii="仿宋" w:eastAsia="仿宋" w:hAnsi="仿宋" w:cs="宋体"/>
                <w:szCs w:val="21"/>
              </w:rPr>
            </w:pPr>
            <w:r w:rsidRPr="005678E7">
              <w:rPr>
                <w:rFonts w:ascii="仿宋" w:eastAsia="仿宋" w:hAnsi="仿宋" w:cs="宋体" w:hint="eastAsia"/>
                <w:kern w:val="0"/>
                <w:sz w:val="24"/>
              </w:rPr>
              <w:t>1-3</w:t>
            </w:r>
          </w:p>
        </w:tc>
        <w:tc>
          <w:tcPr>
            <w:tcW w:w="2148" w:type="pct"/>
            <w:vAlign w:val="center"/>
          </w:tcPr>
          <w:p w:rsidR="00497C69" w:rsidRPr="005678E7" w:rsidRDefault="00497C69" w:rsidP="00791454">
            <w:pPr>
              <w:jc w:val="center"/>
              <w:rPr>
                <w:rFonts w:ascii="仿宋" w:eastAsia="仿宋" w:hAnsi="仿宋" w:cs="宋体"/>
                <w:szCs w:val="21"/>
              </w:rPr>
            </w:pPr>
            <w:r w:rsidRPr="005678E7">
              <w:rPr>
                <w:rFonts w:ascii="仿宋" w:eastAsia="仿宋" w:hAnsi="仿宋" w:cs="宋体" w:hint="eastAsia"/>
                <w:kern w:val="0"/>
                <w:sz w:val="24"/>
              </w:rPr>
              <w:t>冷冻切片机</w:t>
            </w:r>
          </w:p>
        </w:tc>
        <w:tc>
          <w:tcPr>
            <w:tcW w:w="533" w:type="pct"/>
            <w:noWrap/>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1台</w:t>
            </w:r>
          </w:p>
        </w:tc>
        <w:tc>
          <w:tcPr>
            <w:tcW w:w="1355" w:type="pct"/>
            <w:vAlign w:val="center"/>
          </w:tcPr>
          <w:p w:rsidR="00497C69" w:rsidRPr="005678E7" w:rsidRDefault="00497C69" w:rsidP="00791454">
            <w:pPr>
              <w:jc w:val="center"/>
              <w:rPr>
                <w:rFonts w:ascii="仿宋" w:eastAsia="仿宋" w:hAnsi="仿宋"/>
                <w:sz w:val="24"/>
              </w:rPr>
            </w:pPr>
            <w:r w:rsidRPr="005678E7">
              <w:rPr>
                <w:rFonts w:ascii="仿宋" w:eastAsia="仿宋" w:hAnsi="仿宋"/>
                <w:sz w:val="24"/>
              </w:rPr>
              <w:t>否</w:t>
            </w:r>
          </w:p>
        </w:tc>
      </w:tr>
      <w:tr w:rsidR="00497C69" w:rsidRPr="005678E7" w:rsidTr="00791454">
        <w:trPr>
          <w:trHeight w:val="535"/>
        </w:trPr>
        <w:tc>
          <w:tcPr>
            <w:tcW w:w="408" w:type="pct"/>
            <w:vMerge/>
            <w:noWrap/>
            <w:vAlign w:val="center"/>
          </w:tcPr>
          <w:p w:rsidR="00497C69" w:rsidRPr="005678E7" w:rsidRDefault="00497C69" w:rsidP="00791454">
            <w:pPr>
              <w:widowControl/>
              <w:jc w:val="center"/>
              <w:rPr>
                <w:rFonts w:ascii="仿宋" w:eastAsia="仿宋" w:hAnsi="仿宋" w:cs="宋体"/>
                <w:szCs w:val="21"/>
              </w:rPr>
            </w:pPr>
          </w:p>
        </w:tc>
        <w:tc>
          <w:tcPr>
            <w:tcW w:w="556" w:type="pct"/>
            <w:noWrap/>
            <w:vAlign w:val="center"/>
          </w:tcPr>
          <w:p w:rsidR="00497C69" w:rsidRPr="005678E7" w:rsidRDefault="00497C69" w:rsidP="00791454">
            <w:pPr>
              <w:widowControl/>
              <w:jc w:val="center"/>
              <w:rPr>
                <w:rFonts w:ascii="仿宋" w:eastAsia="仿宋" w:hAnsi="仿宋" w:cs="宋体"/>
                <w:szCs w:val="21"/>
              </w:rPr>
            </w:pPr>
            <w:r w:rsidRPr="005678E7">
              <w:rPr>
                <w:rFonts w:ascii="仿宋" w:eastAsia="仿宋" w:hAnsi="仿宋" w:cs="宋体" w:hint="eastAsia"/>
                <w:kern w:val="0"/>
                <w:sz w:val="24"/>
              </w:rPr>
              <w:t>1-4</w:t>
            </w:r>
          </w:p>
        </w:tc>
        <w:tc>
          <w:tcPr>
            <w:tcW w:w="2148" w:type="pct"/>
            <w:vAlign w:val="center"/>
          </w:tcPr>
          <w:p w:rsidR="00497C69" w:rsidRPr="005678E7" w:rsidRDefault="00497C69" w:rsidP="00791454">
            <w:pPr>
              <w:jc w:val="center"/>
              <w:rPr>
                <w:rFonts w:ascii="仿宋" w:eastAsia="仿宋" w:hAnsi="仿宋" w:cs="宋体"/>
                <w:szCs w:val="21"/>
              </w:rPr>
            </w:pPr>
            <w:r w:rsidRPr="005678E7">
              <w:rPr>
                <w:rFonts w:ascii="仿宋" w:eastAsia="仿宋" w:hAnsi="仿宋" w:cs="宋体" w:hint="eastAsia"/>
                <w:kern w:val="0"/>
                <w:sz w:val="24"/>
              </w:rPr>
              <w:t>数字</w:t>
            </w:r>
            <w:proofErr w:type="gramStart"/>
            <w:r w:rsidRPr="005678E7">
              <w:rPr>
                <w:rFonts w:ascii="仿宋" w:eastAsia="仿宋" w:hAnsi="仿宋" w:cs="宋体" w:hint="eastAsia"/>
                <w:kern w:val="0"/>
                <w:sz w:val="24"/>
              </w:rPr>
              <w:t>玻</w:t>
            </w:r>
            <w:proofErr w:type="gramEnd"/>
            <w:r w:rsidRPr="005678E7">
              <w:rPr>
                <w:rFonts w:ascii="仿宋" w:eastAsia="仿宋" w:hAnsi="仿宋" w:cs="宋体" w:hint="eastAsia"/>
                <w:kern w:val="0"/>
                <w:sz w:val="24"/>
              </w:rPr>
              <w:t>片扫描仪</w:t>
            </w:r>
          </w:p>
        </w:tc>
        <w:tc>
          <w:tcPr>
            <w:tcW w:w="533" w:type="pct"/>
            <w:noWrap/>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1套</w:t>
            </w:r>
          </w:p>
        </w:tc>
        <w:tc>
          <w:tcPr>
            <w:tcW w:w="1355" w:type="pct"/>
            <w:vAlign w:val="center"/>
          </w:tcPr>
          <w:p w:rsidR="00497C69" w:rsidRPr="005678E7" w:rsidRDefault="00497C69" w:rsidP="00791454">
            <w:pPr>
              <w:jc w:val="center"/>
              <w:rPr>
                <w:rFonts w:ascii="仿宋" w:eastAsia="仿宋" w:hAnsi="仿宋"/>
                <w:sz w:val="24"/>
              </w:rPr>
            </w:pPr>
            <w:r w:rsidRPr="005678E7">
              <w:rPr>
                <w:rFonts w:ascii="仿宋" w:eastAsia="仿宋" w:hAnsi="仿宋"/>
                <w:sz w:val="24"/>
              </w:rPr>
              <w:t>否</w:t>
            </w:r>
          </w:p>
        </w:tc>
      </w:tr>
      <w:tr w:rsidR="00497C69" w:rsidRPr="005678E7" w:rsidTr="00791454">
        <w:trPr>
          <w:trHeight w:val="535"/>
        </w:trPr>
        <w:tc>
          <w:tcPr>
            <w:tcW w:w="408" w:type="pct"/>
            <w:vMerge/>
            <w:noWrap/>
            <w:vAlign w:val="center"/>
          </w:tcPr>
          <w:p w:rsidR="00497C69" w:rsidRPr="005678E7" w:rsidRDefault="00497C69" w:rsidP="00791454">
            <w:pPr>
              <w:widowControl/>
              <w:jc w:val="center"/>
              <w:rPr>
                <w:rFonts w:ascii="仿宋" w:eastAsia="仿宋" w:hAnsi="仿宋" w:cs="宋体"/>
                <w:szCs w:val="21"/>
              </w:rPr>
            </w:pPr>
          </w:p>
        </w:tc>
        <w:tc>
          <w:tcPr>
            <w:tcW w:w="556" w:type="pct"/>
            <w:noWrap/>
            <w:vAlign w:val="center"/>
          </w:tcPr>
          <w:p w:rsidR="00497C69" w:rsidRPr="005678E7" w:rsidRDefault="00497C69" w:rsidP="00791454">
            <w:pPr>
              <w:widowControl/>
              <w:jc w:val="center"/>
              <w:rPr>
                <w:rFonts w:ascii="仿宋" w:eastAsia="仿宋" w:hAnsi="仿宋" w:cs="宋体"/>
                <w:szCs w:val="21"/>
              </w:rPr>
            </w:pPr>
            <w:r w:rsidRPr="005678E7">
              <w:rPr>
                <w:rFonts w:ascii="仿宋" w:eastAsia="仿宋" w:hAnsi="仿宋" w:cs="宋体" w:hint="eastAsia"/>
                <w:kern w:val="0"/>
                <w:sz w:val="24"/>
              </w:rPr>
              <w:t>1-5</w:t>
            </w:r>
          </w:p>
        </w:tc>
        <w:tc>
          <w:tcPr>
            <w:tcW w:w="2148" w:type="pct"/>
            <w:vAlign w:val="center"/>
          </w:tcPr>
          <w:p w:rsidR="00497C69" w:rsidRPr="005678E7" w:rsidRDefault="00497C69" w:rsidP="00791454">
            <w:pPr>
              <w:jc w:val="center"/>
              <w:rPr>
                <w:rFonts w:ascii="仿宋" w:eastAsia="仿宋" w:hAnsi="仿宋" w:cs="宋体"/>
                <w:szCs w:val="21"/>
              </w:rPr>
            </w:pPr>
            <w:r w:rsidRPr="005678E7">
              <w:rPr>
                <w:rFonts w:ascii="仿宋" w:eastAsia="仿宋" w:hAnsi="仿宋" w:cs="宋体" w:hint="eastAsia"/>
                <w:kern w:val="0"/>
                <w:sz w:val="24"/>
              </w:rPr>
              <w:t>超低温冷冻储存箱</w:t>
            </w:r>
          </w:p>
        </w:tc>
        <w:tc>
          <w:tcPr>
            <w:tcW w:w="533" w:type="pct"/>
            <w:noWrap/>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1台</w:t>
            </w:r>
          </w:p>
        </w:tc>
        <w:tc>
          <w:tcPr>
            <w:tcW w:w="1355" w:type="pct"/>
            <w:vAlign w:val="center"/>
          </w:tcPr>
          <w:p w:rsidR="00497C69" w:rsidRPr="005678E7" w:rsidRDefault="00497C69" w:rsidP="00791454">
            <w:pPr>
              <w:jc w:val="center"/>
              <w:rPr>
                <w:rFonts w:ascii="仿宋" w:eastAsia="仿宋" w:hAnsi="仿宋"/>
                <w:sz w:val="24"/>
              </w:rPr>
            </w:pPr>
            <w:r w:rsidRPr="005678E7">
              <w:rPr>
                <w:rFonts w:ascii="仿宋" w:eastAsia="仿宋" w:hAnsi="仿宋"/>
                <w:sz w:val="24"/>
              </w:rPr>
              <w:t>否</w:t>
            </w:r>
          </w:p>
        </w:tc>
      </w:tr>
      <w:tr w:rsidR="00497C69" w:rsidRPr="005678E7" w:rsidTr="00791454">
        <w:trPr>
          <w:trHeight w:val="535"/>
        </w:trPr>
        <w:tc>
          <w:tcPr>
            <w:tcW w:w="408" w:type="pct"/>
            <w:vMerge/>
            <w:noWrap/>
            <w:vAlign w:val="center"/>
          </w:tcPr>
          <w:p w:rsidR="00497C69" w:rsidRPr="005678E7" w:rsidRDefault="00497C69" w:rsidP="00791454">
            <w:pPr>
              <w:widowControl/>
              <w:jc w:val="center"/>
              <w:rPr>
                <w:rFonts w:ascii="仿宋" w:eastAsia="仿宋" w:hAnsi="仿宋" w:cs="宋体"/>
                <w:szCs w:val="21"/>
              </w:rPr>
            </w:pPr>
          </w:p>
        </w:tc>
        <w:tc>
          <w:tcPr>
            <w:tcW w:w="556" w:type="pct"/>
            <w:noWrap/>
            <w:vAlign w:val="center"/>
          </w:tcPr>
          <w:p w:rsidR="00497C69" w:rsidRPr="005678E7" w:rsidRDefault="00497C69" w:rsidP="00791454">
            <w:pPr>
              <w:widowControl/>
              <w:jc w:val="center"/>
              <w:rPr>
                <w:rFonts w:ascii="仿宋" w:eastAsia="仿宋" w:hAnsi="仿宋" w:cs="宋体"/>
                <w:szCs w:val="21"/>
              </w:rPr>
            </w:pPr>
            <w:r w:rsidRPr="005678E7">
              <w:rPr>
                <w:rFonts w:ascii="仿宋" w:eastAsia="仿宋" w:hAnsi="仿宋" w:cs="宋体" w:hint="eastAsia"/>
                <w:kern w:val="0"/>
                <w:sz w:val="24"/>
              </w:rPr>
              <w:t>1-6</w:t>
            </w:r>
          </w:p>
        </w:tc>
        <w:tc>
          <w:tcPr>
            <w:tcW w:w="2148" w:type="pct"/>
            <w:vAlign w:val="center"/>
          </w:tcPr>
          <w:p w:rsidR="00497C69" w:rsidRPr="005678E7" w:rsidRDefault="00497C69" w:rsidP="00791454">
            <w:pPr>
              <w:jc w:val="center"/>
              <w:rPr>
                <w:rFonts w:ascii="仿宋" w:eastAsia="仿宋" w:hAnsi="仿宋" w:cs="宋体"/>
                <w:szCs w:val="21"/>
              </w:rPr>
            </w:pPr>
            <w:r w:rsidRPr="005678E7">
              <w:rPr>
                <w:rFonts w:ascii="仿宋" w:eastAsia="仿宋" w:hAnsi="仿宋" w:cs="宋体" w:hint="eastAsia"/>
                <w:kern w:val="0"/>
                <w:sz w:val="24"/>
              </w:rPr>
              <w:t>医用冷藏冷冻箱</w:t>
            </w:r>
          </w:p>
        </w:tc>
        <w:tc>
          <w:tcPr>
            <w:tcW w:w="533" w:type="pct"/>
            <w:noWrap/>
            <w:vAlign w:val="center"/>
          </w:tcPr>
          <w:p w:rsidR="00497C69" w:rsidRPr="005678E7" w:rsidRDefault="00497C69" w:rsidP="00791454">
            <w:pPr>
              <w:widowControl/>
              <w:jc w:val="center"/>
              <w:rPr>
                <w:rFonts w:ascii="仿宋" w:eastAsia="仿宋" w:hAnsi="仿宋" w:cs="宋体"/>
                <w:kern w:val="0"/>
                <w:sz w:val="24"/>
              </w:rPr>
            </w:pPr>
            <w:r w:rsidRPr="005678E7">
              <w:rPr>
                <w:rFonts w:ascii="仿宋" w:eastAsia="仿宋" w:hAnsi="仿宋" w:cs="宋体" w:hint="eastAsia"/>
                <w:kern w:val="0"/>
                <w:sz w:val="24"/>
              </w:rPr>
              <w:t>7台</w:t>
            </w:r>
          </w:p>
        </w:tc>
        <w:tc>
          <w:tcPr>
            <w:tcW w:w="1355" w:type="pct"/>
            <w:vAlign w:val="center"/>
          </w:tcPr>
          <w:p w:rsidR="00497C69" w:rsidRPr="005678E7" w:rsidRDefault="00497C69" w:rsidP="00791454">
            <w:pPr>
              <w:jc w:val="center"/>
              <w:rPr>
                <w:rFonts w:ascii="仿宋" w:eastAsia="仿宋" w:hAnsi="仿宋"/>
                <w:sz w:val="24"/>
              </w:rPr>
            </w:pPr>
            <w:r w:rsidRPr="005678E7">
              <w:rPr>
                <w:rFonts w:ascii="仿宋" w:eastAsia="仿宋" w:hAnsi="仿宋"/>
                <w:sz w:val="24"/>
              </w:rPr>
              <w:t>否</w:t>
            </w:r>
          </w:p>
        </w:tc>
      </w:tr>
    </w:tbl>
    <w:p w:rsidR="00497C69" w:rsidRDefault="00497C69" w:rsidP="00497C69">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lastRenderedPageBreak/>
        <w:t>（二）采购项目交付或者实施的时间和地点：</w:t>
      </w:r>
    </w:p>
    <w:p w:rsidR="00497C69" w:rsidRDefault="00497C69" w:rsidP="00497C69">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w:t>
      </w:r>
      <w:r w:rsidRPr="005678E7">
        <w:rPr>
          <w:rFonts w:ascii="仿宋" w:eastAsia="仿宋" w:hAnsi="仿宋" w:hint="eastAsia"/>
          <w:sz w:val="24"/>
        </w:rPr>
        <w:t>自合同签订之日起180天内完成供货</w:t>
      </w:r>
      <w:r>
        <w:rPr>
          <w:rFonts w:ascii="仿宋" w:eastAsia="仿宋" w:hAnsi="仿宋" w:hint="eastAsia"/>
          <w:sz w:val="24"/>
        </w:rPr>
        <w:t>。</w:t>
      </w:r>
    </w:p>
    <w:p w:rsidR="00497C69" w:rsidRDefault="00497C69" w:rsidP="00497C69">
      <w:pPr>
        <w:spacing w:beforeLines="50" w:before="120" w:line="360" w:lineRule="auto"/>
        <w:rPr>
          <w:rFonts w:ascii="仿宋" w:eastAsia="仿宋" w:hAnsi="仿宋"/>
          <w:sz w:val="24"/>
        </w:rPr>
      </w:pPr>
      <w:r>
        <w:rPr>
          <w:rFonts w:ascii="仿宋" w:eastAsia="仿宋" w:hAnsi="仿宋" w:cs="宋体" w:hint="eastAsia"/>
          <w:sz w:val="24"/>
        </w:rPr>
        <w:t>2、采购项目（标的）交付的地点：北京市创伤骨科研究所指定地点。</w:t>
      </w:r>
    </w:p>
    <w:p w:rsidR="00497C69" w:rsidRDefault="00497C69" w:rsidP="00497C69">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497C69" w:rsidRDefault="00497C69" w:rsidP="00497C69">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497C69" w:rsidRDefault="00497C69" w:rsidP="00497C69">
      <w:pPr>
        <w:numPr>
          <w:ilvl w:val="0"/>
          <w:numId w:val="2"/>
        </w:numPr>
        <w:spacing w:before="50" w:line="360" w:lineRule="auto"/>
        <w:rPr>
          <w:rFonts w:ascii="仿宋" w:eastAsia="仿宋" w:hAnsi="仿宋"/>
          <w:bCs/>
          <w:sz w:val="24"/>
        </w:rPr>
      </w:pPr>
      <w:r>
        <w:rPr>
          <w:rFonts w:ascii="仿宋" w:eastAsia="仿宋" w:hAnsi="仿宋" w:hint="eastAsia"/>
          <w:bCs/>
          <w:sz w:val="24"/>
        </w:rPr>
        <w:t>投标人应有能力做好售后服务工作和提供技术保障。投标人或投标产品制造商应设有专业的售后服</w:t>
      </w:r>
      <w:r w:rsidRPr="005678E7">
        <w:rPr>
          <w:rFonts w:ascii="仿宋" w:eastAsia="仿宋" w:hAnsi="仿宋" w:hint="eastAsia"/>
          <w:bCs/>
          <w:sz w:val="24"/>
        </w:rPr>
        <w:t>务维修机构，有充足的零件储备和能力相当的技术服务人员，</w:t>
      </w:r>
      <w:r w:rsidRPr="005678E7">
        <w:rPr>
          <w:rFonts w:ascii="仿宋" w:eastAsia="仿宋" w:hAnsi="仿宋" w:hint="eastAsia"/>
          <w:sz w:val="24"/>
        </w:rPr>
        <w:t>并保证投标产品停产后5年的备件供应</w:t>
      </w:r>
      <w:r w:rsidRPr="005678E7">
        <w:rPr>
          <w:rFonts w:ascii="仿宋" w:eastAsia="仿宋" w:hAnsi="仿宋" w:hint="eastAsia"/>
          <w:bCs/>
          <w:sz w:val="24"/>
        </w:rPr>
        <w:t>。投标时须提供有关其投标产品专业的售后服务（维修站）的信息，包</w:t>
      </w:r>
      <w:r>
        <w:rPr>
          <w:rFonts w:ascii="仿宋" w:eastAsia="仿宋" w:hAnsi="仿宋" w:hint="eastAsia"/>
          <w:bCs/>
          <w:sz w:val="24"/>
        </w:rPr>
        <w:t>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497C69" w:rsidRDefault="00497C69" w:rsidP="00497C69">
      <w:pPr>
        <w:numPr>
          <w:ilvl w:val="0"/>
          <w:numId w:val="2"/>
        </w:numPr>
        <w:spacing w:before="50" w:line="360" w:lineRule="auto"/>
        <w:rPr>
          <w:rFonts w:ascii="仿宋" w:eastAsia="仿宋" w:hAnsi="仿宋"/>
          <w:bCs/>
          <w:sz w:val="24"/>
        </w:rPr>
      </w:pPr>
      <w:r>
        <w:rPr>
          <w:rFonts w:ascii="仿宋" w:eastAsia="仿宋" w:hAnsi="仿宋" w:hint="eastAsia"/>
          <w:sz w:val="24"/>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免费寄给采购人。</w:t>
      </w:r>
    </w:p>
    <w:p w:rsidR="00497C69" w:rsidRDefault="00497C69" w:rsidP="00497C69">
      <w:pPr>
        <w:numPr>
          <w:ilvl w:val="0"/>
          <w:numId w:val="2"/>
        </w:numPr>
        <w:spacing w:before="50" w:line="360" w:lineRule="auto"/>
        <w:rPr>
          <w:rFonts w:ascii="仿宋" w:eastAsia="仿宋" w:hAnsi="仿宋"/>
          <w:bCs/>
          <w:sz w:val="24"/>
        </w:rPr>
      </w:pPr>
      <w:r>
        <w:rPr>
          <w:rFonts w:ascii="仿宋" w:eastAsia="仿宋" w:hAnsi="仿宋" w:hint="eastAsia"/>
          <w:sz w:val="24"/>
        </w:rPr>
        <w:t>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497C69" w:rsidRDefault="00497C69" w:rsidP="00497C69">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投标人应负责投标货物质量保证期内的免费维修和配件供应，投标人售后服务维修机构应备有所购货物及时维修所需的关键零部件。</w:t>
      </w:r>
    </w:p>
    <w:p w:rsidR="00497C69" w:rsidRDefault="00497C69" w:rsidP="00497C69">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投标人应保证在质量保证期内提供投标货物专用的软件和相应数据库资料的免费升级服务。（如果有）</w:t>
      </w:r>
    </w:p>
    <w:p w:rsidR="00497C69" w:rsidRDefault="00497C69" w:rsidP="00497C69">
      <w:pPr>
        <w:pStyle w:val="a5"/>
        <w:numPr>
          <w:ilvl w:val="0"/>
          <w:numId w:val="2"/>
        </w:numPr>
        <w:spacing w:before="50" w:line="360" w:lineRule="auto"/>
        <w:rPr>
          <w:rFonts w:ascii="仿宋" w:eastAsia="仿宋" w:hAnsi="仿宋" w:hint="default"/>
          <w:sz w:val="24"/>
          <w:szCs w:val="24"/>
        </w:rPr>
      </w:pPr>
      <w:r>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w:t>
      </w:r>
      <w:r>
        <w:rPr>
          <w:rFonts w:ascii="仿宋" w:eastAsia="仿宋" w:hAnsi="仿宋"/>
          <w:sz w:val="24"/>
          <w:szCs w:val="24"/>
        </w:rPr>
        <w:lastRenderedPageBreak/>
        <w:t>人使用。</w:t>
      </w:r>
    </w:p>
    <w:p w:rsidR="00497C69" w:rsidRDefault="00497C69" w:rsidP="00497C69">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497C69" w:rsidRDefault="00497C69" w:rsidP="00497C69">
      <w:pPr>
        <w:tabs>
          <w:tab w:val="left" w:pos="900"/>
        </w:tabs>
        <w:spacing w:beforeLines="50" w:before="120" w:line="360" w:lineRule="auto"/>
        <w:rPr>
          <w:rFonts w:ascii="仿宋" w:hAnsi="仿宋"/>
          <w:sz w:val="24"/>
        </w:rPr>
      </w:pPr>
      <w:r>
        <w:rPr>
          <w:rFonts w:ascii="仿宋" w:eastAsia="仿宋" w:hAnsi="仿宋" w:hint="eastAsia"/>
          <w:sz w:val="24"/>
        </w:rPr>
        <w:t>1.质量保证期（保修期）及服务要求：品目1-1</w:t>
      </w:r>
      <w:r>
        <w:rPr>
          <w:rFonts w:ascii="仿宋" w:eastAsia="仿宋" w:hAnsi="仿宋" w:hint="eastAsia"/>
          <w:sz w:val="24"/>
        </w:rPr>
        <w:tab/>
        <w:t>超高分辨激光共聚焦显微镜、品目1-2流式细胞仪、品目1-3</w:t>
      </w:r>
      <w:r>
        <w:rPr>
          <w:rFonts w:ascii="仿宋" w:eastAsia="仿宋" w:hAnsi="仿宋" w:hint="eastAsia"/>
          <w:sz w:val="24"/>
        </w:rPr>
        <w:tab/>
        <w:t>冷冻切片机和品目1-4数字</w:t>
      </w:r>
      <w:proofErr w:type="gramStart"/>
      <w:r>
        <w:rPr>
          <w:rFonts w:ascii="仿宋" w:eastAsia="仿宋" w:hAnsi="仿宋" w:hint="eastAsia"/>
          <w:sz w:val="24"/>
        </w:rPr>
        <w:t>玻</w:t>
      </w:r>
      <w:proofErr w:type="gramEnd"/>
      <w:r>
        <w:rPr>
          <w:rFonts w:ascii="仿宋" w:eastAsia="仿宋" w:hAnsi="仿宋" w:hint="eastAsia"/>
          <w:sz w:val="24"/>
        </w:rPr>
        <w:t>片扫描仪质保期≥3年；品目1-5超低温冷冻储存箱和品目1-6医用冷藏冷冻箱质保期≥5年</w:t>
      </w:r>
      <w:r>
        <w:rPr>
          <w:rStyle w:val="a6"/>
          <w:rFonts w:hint="eastAsia"/>
        </w:rPr>
        <w:t>。</w:t>
      </w:r>
    </w:p>
    <w:p w:rsidR="00497C69" w:rsidRDefault="00497C69" w:rsidP="00497C69">
      <w:pPr>
        <w:pStyle w:val="SOW"/>
        <w:spacing w:beforeLines="50" w:line="360" w:lineRule="auto"/>
        <w:ind w:firstLine="0"/>
        <w:rPr>
          <w:rFonts w:ascii="仿宋" w:eastAsia="仿宋" w:hAnsi="仿宋"/>
          <w:b/>
          <w:szCs w:val="24"/>
        </w:rPr>
      </w:pPr>
      <w:r>
        <w:rPr>
          <w:rFonts w:ascii="仿宋" w:eastAsia="仿宋" w:hAnsi="仿宋" w:hint="eastAsia"/>
          <w:b/>
          <w:szCs w:val="24"/>
        </w:rPr>
        <w:t>五、采购标的物验收标准</w:t>
      </w:r>
    </w:p>
    <w:p w:rsidR="00497C69" w:rsidRDefault="00497C69" w:rsidP="00497C69">
      <w:pPr>
        <w:tabs>
          <w:tab w:val="left" w:pos="900"/>
        </w:tabs>
        <w:spacing w:beforeLines="50" w:before="120" w:line="360" w:lineRule="auto"/>
        <w:rPr>
          <w:rFonts w:ascii="仿宋" w:eastAsia="仿宋" w:hAnsi="仿宋"/>
          <w:sz w:val="24"/>
        </w:rPr>
      </w:pPr>
      <w:r>
        <w:rPr>
          <w:rFonts w:ascii="仿宋" w:eastAsia="仿宋" w:hAnsi="仿宋" w:hint="eastAsia"/>
          <w:sz w:val="24"/>
        </w:rPr>
        <w:t>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497C69" w:rsidRDefault="00497C69" w:rsidP="00497C69">
      <w:pPr>
        <w:tabs>
          <w:tab w:val="left" w:pos="900"/>
        </w:tabs>
        <w:spacing w:beforeLines="50" w:before="120" w:line="360" w:lineRule="auto"/>
        <w:rPr>
          <w:rFonts w:ascii="仿宋" w:eastAsia="仿宋" w:hAnsi="仿宋"/>
          <w:sz w:val="24"/>
        </w:rPr>
      </w:pPr>
      <w:r>
        <w:rPr>
          <w:rFonts w:ascii="仿宋" w:eastAsia="仿宋" w:hAnsi="仿宋" w:hint="eastAsia"/>
          <w:sz w:val="24"/>
        </w:rPr>
        <w:t>2. 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497C69" w:rsidRDefault="00497C69" w:rsidP="00497C69">
      <w:pPr>
        <w:tabs>
          <w:tab w:val="left" w:pos="900"/>
        </w:tabs>
        <w:spacing w:beforeLines="50" w:before="120" w:line="360" w:lineRule="auto"/>
        <w:rPr>
          <w:rFonts w:ascii="仿宋" w:eastAsia="仿宋" w:hAnsi="仿宋"/>
          <w:sz w:val="24"/>
        </w:rPr>
      </w:pPr>
      <w:r>
        <w:rPr>
          <w:rFonts w:ascii="仿宋" w:eastAsia="仿宋" w:hAnsi="仿宋" w:hint="eastAsia"/>
          <w:sz w:val="24"/>
        </w:rPr>
        <w:t>3.投标人应负责使所供计量仪器通过计量部门的验收，并承担相关费用（包括运费）。若需要，应在检测期间提供备用仪器，以便不影响采购人的使用。</w:t>
      </w:r>
    </w:p>
    <w:p w:rsidR="00497C69" w:rsidRDefault="00497C69" w:rsidP="00497C69">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497C69" w:rsidRDefault="00497C69" w:rsidP="00497C69">
      <w:pPr>
        <w:numPr>
          <w:ilvl w:val="0"/>
          <w:numId w:val="3"/>
        </w:numPr>
        <w:spacing w:line="360" w:lineRule="auto"/>
        <w:rPr>
          <w:rFonts w:ascii="仿宋" w:eastAsia="仿宋" w:hAnsi="仿宋"/>
          <w:b/>
          <w:sz w:val="24"/>
        </w:rPr>
      </w:pPr>
      <w:r>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w:t>
      </w:r>
      <w:r>
        <w:rPr>
          <w:rFonts w:ascii="仿宋" w:eastAsia="仿宋" w:hAnsi="仿宋" w:hint="eastAsia"/>
          <w:b/>
          <w:sz w:val="24"/>
        </w:rPr>
        <w:lastRenderedPageBreak/>
        <w:t>生的评标风险，由投标人承担。</w:t>
      </w:r>
    </w:p>
    <w:p w:rsidR="00497C69" w:rsidRDefault="00497C69" w:rsidP="00497C69">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投标人所提供的部件之间及设备之间的连线或接插件均视为设备内部部件，应包含在相应的配置中。</w:t>
      </w:r>
    </w:p>
    <w:p w:rsidR="00497C69" w:rsidRDefault="00497C69" w:rsidP="00497C69">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工作条件：</w:t>
      </w:r>
      <w:r>
        <w:rPr>
          <w:rFonts w:ascii="仿宋" w:eastAsia="仿宋" w:hAnsi="仿宋" w:hint="eastAsia"/>
          <w:bCs/>
          <w:kern w:val="0"/>
          <w:sz w:val="24"/>
        </w:rPr>
        <w:t>除了在技术规格中另有规定外，投标人提供的一切仪器、设备和系统，应符合下列条件：</w:t>
      </w:r>
    </w:p>
    <w:p w:rsidR="00497C69" w:rsidRDefault="00497C69" w:rsidP="00497C69">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Pr>
          <w:rFonts w:ascii="仿宋" w:eastAsia="仿宋" w:hAnsi="仿宋" w:hint="eastAsia"/>
          <w:sz w:val="24"/>
        </w:rPr>
        <w:t>仪器设备的插头要符合中国电工标准。如不符合，则应提供适合仪器插头的插座，必须要有接地。</w:t>
      </w:r>
    </w:p>
    <w:p w:rsidR="00497C69" w:rsidRDefault="00497C69" w:rsidP="00497C69">
      <w:pPr>
        <w:numPr>
          <w:ilvl w:val="0"/>
          <w:numId w:val="4"/>
        </w:numPr>
        <w:tabs>
          <w:tab w:val="clear" w:pos="1140"/>
          <w:tab w:val="left" w:pos="735"/>
        </w:tabs>
        <w:spacing w:beforeLines="50" w:before="120" w:line="360" w:lineRule="auto"/>
        <w:ind w:left="735" w:hanging="315"/>
        <w:rPr>
          <w:rFonts w:ascii="仿宋" w:eastAsia="仿宋" w:hAnsi="仿宋"/>
          <w:bCs/>
          <w:kern w:val="0"/>
          <w:sz w:val="24"/>
        </w:rPr>
      </w:pPr>
      <w:r>
        <w:rPr>
          <w:rFonts w:ascii="仿宋" w:eastAsia="仿宋" w:hAnsi="仿宋" w:hint="eastAsia"/>
          <w:kern w:val="0"/>
          <w:sz w:val="24"/>
        </w:rPr>
        <w:t>如果仪器设备需特殊的工作条件（如：水、电源、磁场强度、特殊温度、湿度、震动强度等），投标人应在有关投标文件中加以说明。</w:t>
      </w:r>
    </w:p>
    <w:p w:rsidR="00497C69" w:rsidRDefault="00497C69" w:rsidP="00497C69">
      <w:pPr>
        <w:numPr>
          <w:ilvl w:val="0"/>
          <w:numId w:val="3"/>
        </w:numPr>
        <w:tabs>
          <w:tab w:val="left" w:pos="900"/>
        </w:tabs>
        <w:spacing w:beforeLines="50" w:before="120" w:line="360" w:lineRule="auto"/>
        <w:rPr>
          <w:rFonts w:ascii="仿宋" w:eastAsia="仿宋" w:hAnsi="仿宋"/>
          <w:sz w:val="24"/>
        </w:rPr>
      </w:pPr>
      <w:r>
        <w:rPr>
          <w:rFonts w:ascii="仿宋" w:eastAsia="仿宋" w:hAnsi="仿宋" w:hint="eastAsia"/>
          <w:sz w:val="24"/>
        </w:rPr>
        <w:t>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培训教员的差旅费、食宿费、培训教材等费用，应计入投标报价。（以各包技术规格中要求为准，如技术规格中无要求，则以本款要求为准。）</w:t>
      </w:r>
    </w:p>
    <w:p w:rsidR="00497C69" w:rsidRDefault="00497C69" w:rsidP="00497C69">
      <w:pPr>
        <w:tabs>
          <w:tab w:val="left" w:pos="900"/>
        </w:tabs>
        <w:spacing w:beforeLines="50" w:before="120" w:line="360" w:lineRule="auto"/>
        <w:rPr>
          <w:rFonts w:ascii="仿宋" w:eastAsia="仿宋" w:hAnsi="仿宋"/>
          <w:b/>
          <w:sz w:val="24"/>
        </w:rPr>
      </w:pPr>
      <w:r>
        <w:rPr>
          <w:rFonts w:ascii="仿宋" w:eastAsia="仿宋" w:hAnsi="仿宋" w:hint="eastAsia"/>
          <w:b/>
          <w:sz w:val="24"/>
        </w:rPr>
        <w:t>七、采购标的需满足的质量、安全、技术规格、物理特性等要求：</w:t>
      </w:r>
    </w:p>
    <w:p w:rsidR="00497C69" w:rsidRDefault="00497C69" w:rsidP="00497C6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t>第1包</w:t>
      </w:r>
      <w:r>
        <w:rPr>
          <w:rFonts w:ascii="仿宋" w:eastAsia="仿宋" w:hAnsi="仿宋" w:hint="eastAsia"/>
          <w:b/>
          <w:sz w:val="24"/>
        </w:rPr>
        <w:tab/>
        <w:t>品目1-1</w:t>
      </w:r>
      <w:r>
        <w:rPr>
          <w:rFonts w:ascii="仿宋" w:eastAsia="仿宋" w:hAnsi="仿宋" w:hint="eastAsia"/>
          <w:b/>
          <w:sz w:val="24"/>
        </w:rPr>
        <w:tab/>
        <w:t>超高分辨激光共聚焦显微镜</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（一）激光器</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1、采用固体激光器， 激光器波段，功率至少包括：</w:t>
      </w:r>
    </w:p>
    <w:p w:rsidR="00497C69" w:rsidRDefault="00497C69" w:rsidP="00497C69">
      <w:pPr>
        <w:tabs>
          <w:tab w:val="left" w:pos="900"/>
        </w:tabs>
        <w:spacing w:beforeLines="50" w:before="120" w:line="360" w:lineRule="auto"/>
        <w:ind w:firstLineChars="200" w:firstLine="480"/>
        <w:jc w:val="left"/>
        <w:rPr>
          <w:rFonts w:ascii="仿宋" w:eastAsia="仿宋" w:hAnsi="仿宋"/>
          <w:sz w:val="24"/>
        </w:rPr>
      </w:pPr>
      <w:r>
        <w:rPr>
          <w:rFonts w:ascii="仿宋" w:eastAsia="仿宋" w:hAnsi="仿宋" w:hint="eastAsia"/>
          <w:sz w:val="24"/>
        </w:rPr>
        <w:t>1.1、二极管激光器405±2nm：额定功率≥30mW；</w:t>
      </w:r>
    </w:p>
    <w:p w:rsidR="00497C69" w:rsidRDefault="00497C69" w:rsidP="00497C69">
      <w:pPr>
        <w:tabs>
          <w:tab w:val="left" w:pos="900"/>
        </w:tabs>
        <w:spacing w:beforeLines="50" w:before="120" w:line="360" w:lineRule="auto"/>
        <w:ind w:firstLineChars="200" w:firstLine="480"/>
        <w:jc w:val="left"/>
        <w:rPr>
          <w:rFonts w:ascii="仿宋" w:eastAsia="仿宋" w:hAnsi="仿宋"/>
          <w:sz w:val="24"/>
        </w:rPr>
      </w:pPr>
      <w:r>
        <w:rPr>
          <w:rFonts w:ascii="仿宋" w:eastAsia="仿宋" w:hAnsi="仿宋" w:hint="eastAsia"/>
          <w:sz w:val="24"/>
        </w:rPr>
        <w:t>1.2、二极管激光器490±2nm：额定功率≥30mW；</w:t>
      </w:r>
    </w:p>
    <w:p w:rsidR="00497C69" w:rsidRDefault="00497C69" w:rsidP="00497C69">
      <w:pPr>
        <w:tabs>
          <w:tab w:val="left" w:pos="900"/>
        </w:tabs>
        <w:spacing w:beforeLines="50" w:before="120" w:line="360" w:lineRule="auto"/>
        <w:ind w:firstLineChars="200" w:firstLine="480"/>
        <w:jc w:val="left"/>
        <w:rPr>
          <w:rFonts w:ascii="仿宋" w:eastAsia="仿宋" w:hAnsi="仿宋"/>
          <w:sz w:val="24"/>
        </w:rPr>
      </w:pPr>
      <w:r>
        <w:rPr>
          <w:rFonts w:ascii="仿宋" w:eastAsia="仿宋" w:hAnsi="仿宋" w:hint="eastAsia"/>
          <w:sz w:val="24"/>
        </w:rPr>
        <w:t>1.3、二极管激光器515±2nm：额定功率≥30mW；</w:t>
      </w:r>
    </w:p>
    <w:p w:rsidR="00497C69" w:rsidRDefault="00497C69" w:rsidP="00497C69">
      <w:pPr>
        <w:tabs>
          <w:tab w:val="left" w:pos="900"/>
        </w:tabs>
        <w:spacing w:beforeLines="50" w:before="120" w:line="360" w:lineRule="auto"/>
        <w:ind w:firstLineChars="200" w:firstLine="480"/>
        <w:jc w:val="left"/>
        <w:rPr>
          <w:rFonts w:ascii="仿宋" w:eastAsia="仿宋" w:hAnsi="仿宋"/>
          <w:sz w:val="24"/>
        </w:rPr>
      </w:pPr>
      <w:r>
        <w:rPr>
          <w:rFonts w:ascii="仿宋" w:eastAsia="仿宋" w:hAnsi="仿宋" w:hint="eastAsia"/>
          <w:sz w:val="24"/>
        </w:rPr>
        <w:t>1.4、二极管激光器560±2nm：额定功率≥25mW；</w:t>
      </w:r>
    </w:p>
    <w:p w:rsidR="00497C69" w:rsidRDefault="00497C69" w:rsidP="00497C69">
      <w:pPr>
        <w:tabs>
          <w:tab w:val="left" w:pos="900"/>
        </w:tabs>
        <w:spacing w:beforeLines="50" w:before="120" w:line="360" w:lineRule="auto"/>
        <w:ind w:firstLineChars="200" w:firstLine="480"/>
        <w:jc w:val="left"/>
        <w:rPr>
          <w:rFonts w:ascii="仿宋" w:eastAsia="仿宋" w:hAnsi="仿宋"/>
          <w:sz w:val="24"/>
        </w:rPr>
      </w:pPr>
      <w:r>
        <w:rPr>
          <w:rFonts w:ascii="仿宋" w:eastAsia="仿宋" w:hAnsi="仿宋" w:hint="eastAsia"/>
          <w:sz w:val="24"/>
        </w:rPr>
        <w:t>1.5、二极管激光器640±2nm：额定功率≥25mW。</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2、可见光激光器功率独立可调，最小调节精度≤0.005%；</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3、软件可以直接控制所有激光器开关以及强度，并具有自动休眠功能。</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（二）扫描模块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1、扫描器与显微镜一体化设计，一体化像差及色差校正。所有扫描器组件都直接耦合，无光纤连接；</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2、扫描头，检测器，扫描模块中的电子部件，均采用液态制冷方式，动态反馈系统保证温度稳定，减少信号干扰；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3、扫描</w:t>
      </w:r>
      <w:proofErr w:type="gramStart"/>
      <w:r>
        <w:rPr>
          <w:rFonts w:ascii="仿宋" w:eastAsia="仿宋" w:hAnsi="仿宋" w:hint="eastAsia"/>
          <w:sz w:val="24"/>
        </w:rPr>
        <w:t>振镜数量</w:t>
      </w:r>
      <w:proofErr w:type="gramEnd"/>
      <w:r>
        <w:rPr>
          <w:rFonts w:ascii="仿宋" w:eastAsia="仿宋" w:hAnsi="仿宋" w:hint="eastAsia"/>
          <w:sz w:val="24"/>
        </w:rPr>
        <w:t>≤2个，采用</w:t>
      </w:r>
      <w:proofErr w:type="gramStart"/>
      <w:r>
        <w:rPr>
          <w:rFonts w:ascii="仿宋" w:eastAsia="仿宋" w:hAnsi="仿宋" w:hint="eastAsia"/>
          <w:sz w:val="24"/>
        </w:rPr>
        <w:t>线扫及帧</w:t>
      </w:r>
      <w:proofErr w:type="gramEnd"/>
      <w:r>
        <w:rPr>
          <w:rFonts w:ascii="仿宋" w:eastAsia="仿宋" w:hAnsi="仿宋" w:hint="eastAsia"/>
          <w:sz w:val="24"/>
        </w:rPr>
        <w:t>飞回技术；</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4、扫描头采取线性扫描：1μs像素停留时间，512x512分辨率成像条件下，单幅成像时间≤0.32 秒；</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5、扫描方式：在所有成像模式下均可以实现</w:t>
      </w:r>
      <w:proofErr w:type="spellStart"/>
      <w:r>
        <w:rPr>
          <w:rFonts w:ascii="仿宋" w:eastAsia="仿宋" w:hAnsi="仿宋" w:hint="eastAsia"/>
          <w:sz w:val="24"/>
        </w:rPr>
        <w:t>xy</w:t>
      </w:r>
      <w:proofErr w:type="spellEnd"/>
      <w:r>
        <w:rPr>
          <w:rFonts w:ascii="仿宋" w:eastAsia="仿宋" w:hAnsi="仿宋" w:hint="eastAsia"/>
          <w:sz w:val="24"/>
        </w:rPr>
        <w:t>，xyz，</w:t>
      </w:r>
      <w:proofErr w:type="spellStart"/>
      <w:r>
        <w:rPr>
          <w:rFonts w:ascii="仿宋" w:eastAsia="仿宋" w:hAnsi="仿宋" w:hint="eastAsia"/>
          <w:sz w:val="24"/>
        </w:rPr>
        <w:t>xyt</w:t>
      </w:r>
      <w:proofErr w:type="spellEnd"/>
      <w:r>
        <w:rPr>
          <w:rFonts w:ascii="仿宋" w:eastAsia="仿宋" w:hAnsi="仿宋" w:hint="eastAsia"/>
          <w:sz w:val="24"/>
        </w:rPr>
        <w:t>，</w:t>
      </w:r>
      <w:proofErr w:type="spellStart"/>
      <w:r>
        <w:rPr>
          <w:rFonts w:ascii="仿宋" w:eastAsia="仿宋" w:hAnsi="仿宋" w:hint="eastAsia"/>
          <w:sz w:val="24"/>
        </w:rPr>
        <w:t>xyzt</w:t>
      </w:r>
      <w:proofErr w:type="spellEnd"/>
      <w:r>
        <w:rPr>
          <w:rFonts w:ascii="仿宋" w:eastAsia="仿宋" w:hAnsi="仿宋" w:hint="eastAsia"/>
          <w:sz w:val="24"/>
        </w:rPr>
        <w:t>，直线扫描，曲线扫描，点扫描，旋转扫描，且直线扫描，曲线扫描，点扫描可以在图像上自由选取位置；</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6、扫描分辨率：≥8000 x 8000，同时扫描分辨率可自动匹配采样频率和分辨率；</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7、在实时扫描预览方式下（扫描过程中），均可以进行左右360°任意旋转扫描线的方向，同时可以变倍以及移动扫描区域的中心；</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8、扫描光学变倍：可以做≤0.7x的变倍扫描，且变倍连续可调；</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9、主分光镜，≤15°的小角度入射或AOBS，杂散背景激光压制效率≥99.99999%（OD7）；</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10、扫描视场数≥20mm；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11、非共振扫描模式，共聚焦扫描可同时满足以下速度：</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11.1、≥13幅/秒（512x512像素）；</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11.2、≥420幅/秒（512x16像素）；</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11.3、≥25幅/秒（256x256像素）；</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11.4、线扫描速度≥6800线/秒（512x1像素）。</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12、信号检测器：可见光荧光检测单元≥3个，透射光检测单元1个，用于样品明场及DIC的透射激光成像；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13、荧光光谱分光系统: 采用光栅分光方式，并且可以对分光中散射或折射的光谱再次循环回收进行分光，光谱检测范围380nm~750nm。系统分光效率≥90%以上；</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14、荧光光谱分辨率及检测器调节精度：在全荧光检测范围内光谱分辨率≤3nm，全部荧光检测器调节精度≤1.5nm；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15、共聚焦针孔采用复消色差校正，适合短波长（如 405 nm）激光成像，调节范围0.0-8 Airy units；</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16、实时电子组件监控，控制显微镜、激光器、扫描模块和其它附件；通过实时电路进行数据采集和同步管理；过量采样读取逻辑电路；在采集图像的同时可进行。</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（三）分子动力学检测系统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1、利用阵列检测器收集荧光分子涨落信息，用以进行荧光相关光谱分析（FCS），提供了对分子浓度和分子扩散的可靠测量；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2、无需对针孔校准，利用检测单元已知的空间信息，可以用于分子浓度信息的定量测量；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3、分子动态分析器模块：通过导航设置调用内置面阵列</w:t>
      </w:r>
      <w:proofErr w:type="spellStart"/>
      <w:r>
        <w:rPr>
          <w:rFonts w:ascii="仿宋" w:eastAsia="仿宋" w:hAnsi="仿宋" w:hint="eastAsia"/>
          <w:sz w:val="24"/>
        </w:rPr>
        <w:t>GaAsP</w:t>
      </w:r>
      <w:proofErr w:type="spellEnd"/>
      <w:r>
        <w:rPr>
          <w:rFonts w:ascii="仿宋" w:eastAsia="仿宋" w:hAnsi="仿宋" w:hint="eastAsia"/>
          <w:sz w:val="24"/>
        </w:rPr>
        <w:t>（磷酸砷化镓）检测器中心≥19个检测单元收集荧光相关光谱（FCS）数据，同时软件内置≥6种适合不同样品类型的相关性拟合模型，允许用户快速获取样品荧光标记分子的浓度及扩散动力学特征并给出直观的可视化图表。</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（四）超高分辨率成像部分</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1、超高分辨率成像方法：只接受</w:t>
      </w:r>
      <w:proofErr w:type="spellStart"/>
      <w:r>
        <w:rPr>
          <w:rFonts w:ascii="仿宋" w:eastAsia="仿宋" w:hAnsi="仿宋" w:hint="eastAsia"/>
          <w:sz w:val="24"/>
        </w:rPr>
        <w:t>Airyscan</w:t>
      </w:r>
      <w:proofErr w:type="spellEnd"/>
      <w:r>
        <w:rPr>
          <w:rFonts w:ascii="仿宋" w:eastAsia="仿宋" w:hAnsi="仿宋" w:hint="eastAsia"/>
          <w:sz w:val="24"/>
        </w:rPr>
        <w:t>、PALM、SIM、STED、STORM通过硬件方法实现的超高分辨率成像方式；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2、超高分辨率检测器采用由≥30个</w:t>
      </w:r>
      <w:proofErr w:type="spellStart"/>
      <w:r>
        <w:rPr>
          <w:rFonts w:ascii="仿宋" w:eastAsia="仿宋" w:hAnsi="仿宋" w:hint="eastAsia"/>
          <w:sz w:val="24"/>
        </w:rPr>
        <w:t>GaAsP</w:t>
      </w:r>
      <w:proofErr w:type="spellEnd"/>
      <w:r>
        <w:rPr>
          <w:rFonts w:ascii="仿宋" w:eastAsia="仿宋" w:hAnsi="仿宋" w:hint="eastAsia"/>
          <w:sz w:val="24"/>
        </w:rPr>
        <w:t>（磷酸砷化镓）组成的高灵敏度面阵列检测器，可支持≥4个荧光激发点同时检测；</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3、超高分辨率成像分辨率：在确保高荧光收集效率情况下（针孔≥2.5AU），分辨率XY方向≤80 nm，Z方向≤200 nm，同时检测靶面≥1.2AU；</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4、分辨率：XY≤80nm，Z≤250nm，且在确保荧光收集效率的情况下（针孔≥2.5AU），共振扫描或快速并行扫描超高分辨率成像速度：≥24.5幅/秒（512x512像素，16位）；</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5、荧光样品选择：所有适合配置激光器激发的荧光样品都可以进行超高分辨率成像，无需选择特定的荧光染料；</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6、获取图像时系统可自动配置各项参数，一键式处理生成超分辨率图像，也可支持在线实时处理生成超分辨率图像，并保存原始数据。</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（五）显微镜主机</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1、研究型全自动倒置显微镜，齐焦距45mm；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2、显微镜主机本身自带电动调焦驱动马达，最</w:t>
      </w:r>
      <w:proofErr w:type="gramStart"/>
      <w:r>
        <w:rPr>
          <w:rFonts w:ascii="仿宋" w:eastAsia="仿宋" w:hAnsi="仿宋" w:hint="eastAsia"/>
          <w:sz w:val="24"/>
        </w:rPr>
        <w:t>小步进</w:t>
      </w:r>
      <w:proofErr w:type="gramEnd"/>
      <w:r>
        <w:rPr>
          <w:rFonts w:ascii="仿宋" w:eastAsia="仿宋" w:hAnsi="仿宋" w:hint="eastAsia"/>
          <w:sz w:val="24"/>
        </w:rPr>
        <w:t>≤10nm，最大速度≥5mm/s；</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3、全电动扫描台，行程范围≥130mm x 100mm，载物台面积 ≥320 mm x 140 mm，最大速度≥50mm/s；</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4、显微镜透射光源：12V 100W卤素灯，根据所用物镜，光源自动匹配适当亮度；</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5、显微镜反射荧光光源： 白光LED光源：通过液态光纤连接，激发光波长范围380nm-770nm，可由软件控制开关及波长切换；</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6、目镜一对：10X，视场数≥23；</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7、多功能长工</w:t>
      </w:r>
      <w:proofErr w:type="gramStart"/>
      <w:r>
        <w:rPr>
          <w:rFonts w:ascii="仿宋" w:eastAsia="仿宋" w:hAnsi="仿宋" w:hint="eastAsia"/>
          <w:sz w:val="24"/>
        </w:rPr>
        <w:t>作距离</w:t>
      </w:r>
      <w:proofErr w:type="gramEnd"/>
      <w:r>
        <w:rPr>
          <w:rFonts w:ascii="仿宋" w:eastAsia="仿宋" w:hAnsi="仿宋" w:hint="eastAsia"/>
          <w:sz w:val="24"/>
        </w:rPr>
        <w:t>聚光镜，NA≥0.55；</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8、物镜：</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8.1、2x-2.5x干镜，数值孔径≥0.085；</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8.2、10x干镜，数值孔径≥0.45；</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8.3、20x干镜，数值孔径≥0.8；</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8.4、40x干镜，数值孔径≥0.95，同时满足工作距离≥250微米；</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8.5、60x-63x油镜，数值孔径≥1.4，同时满足工作距离≥190微米；</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8.6、100X油镜，数值孔径≥1.4；</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9、可通过TFT电子触控屏系统控制显微镜并显示工作状态，TFT触摸屏可以远离显微镜机身实现远程控制；</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10、显微成像系统专用气体悬浮防震台，尺寸≥1200 x 900 mm。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（六）人工智能样品识别系统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1、可以实现自动识别</w:t>
      </w:r>
      <w:proofErr w:type="gramStart"/>
      <w:r>
        <w:rPr>
          <w:rFonts w:ascii="仿宋" w:eastAsia="仿宋" w:hAnsi="仿宋" w:hint="eastAsia"/>
          <w:sz w:val="24"/>
        </w:rPr>
        <w:t>样品载具规格</w:t>
      </w:r>
      <w:proofErr w:type="gramEnd"/>
      <w:r>
        <w:rPr>
          <w:rFonts w:ascii="仿宋" w:eastAsia="仿宋" w:hAnsi="仿宋" w:hint="eastAsia"/>
          <w:sz w:val="24"/>
        </w:rPr>
        <w:t>，自动调焦，自动快速生成概览图，自动识别样品区域，用于后期的图像获取；</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2、采用≥630nm的LED光源进行照明，为样本提供复合暗场对比度，实现染色与未染色样本可视化；</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3、概览相机单次形成的</w:t>
      </w:r>
      <w:proofErr w:type="gramStart"/>
      <w:r>
        <w:rPr>
          <w:rFonts w:ascii="仿宋" w:eastAsia="仿宋" w:hAnsi="仿宋" w:hint="eastAsia"/>
          <w:sz w:val="24"/>
        </w:rPr>
        <w:t>概览图</w:t>
      </w:r>
      <w:proofErr w:type="gramEnd"/>
      <w:r>
        <w:rPr>
          <w:rFonts w:ascii="仿宋" w:eastAsia="仿宋" w:hAnsi="仿宋" w:hint="eastAsia"/>
          <w:sz w:val="24"/>
        </w:rPr>
        <w:t>视野大于等于7.5 cm x 5 cm；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4、组成硬件：LED 阵列板，概览专用彩色相机，共聚焦系统专用的激光反射组件；</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5、自动化的工作流程：概览图像的获取，</w:t>
      </w:r>
      <w:proofErr w:type="gramStart"/>
      <w:r>
        <w:rPr>
          <w:rFonts w:ascii="仿宋" w:eastAsia="仿宋" w:hAnsi="仿宋" w:hint="eastAsia"/>
          <w:sz w:val="24"/>
        </w:rPr>
        <w:t>样品载具规格</w:t>
      </w:r>
      <w:proofErr w:type="gramEnd"/>
      <w:r>
        <w:rPr>
          <w:rFonts w:ascii="仿宋" w:eastAsia="仿宋" w:hAnsi="仿宋" w:hint="eastAsia"/>
          <w:sz w:val="24"/>
        </w:rPr>
        <w:t xml:space="preserve">的识别 ，相关样品区域的检测，各感兴趣区域的调焦，完全无需人工干预。 </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（七）锁焦系统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1、支持长时间实验锁定焦面，支持自动拼图和多位点</w:t>
      </w:r>
      <w:proofErr w:type="gramStart"/>
      <w:r>
        <w:rPr>
          <w:rFonts w:ascii="仿宋" w:eastAsia="仿宋" w:hAnsi="仿宋" w:hint="eastAsia"/>
          <w:sz w:val="24"/>
        </w:rPr>
        <w:t>采图过程</w:t>
      </w:r>
      <w:proofErr w:type="gramEnd"/>
      <w:r>
        <w:rPr>
          <w:rFonts w:ascii="仿宋" w:eastAsia="仿宋" w:hAnsi="仿宋" w:hint="eastAsia"/>
          <w:sz w:val="24"/>
        </w:rPr>
        <w:t>的多点漂移补偿；</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2、使用≥850nm红外LED光源通过光栅投影方式监测焦面的位置变化；</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3、采样频率≥200Hz；</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4、兼容塑料培养皿和多孔板、普通</w:t>
      </w:r>
      <w:proofErr w:type="gramStart"/>
      <w:r>
        <w:rPr>
          <w:rFonts w:ascii="仿宋" w:eastAsia="仿宋" w:hAnsi="仿宋" w:hint="eastAsia"/>
          <w:sz w:val="24"/>
        </w:rPr>
        <w:t>玻</w:t>
      </w:r>
      <w:proofErr w:type="gramEnd"/>
      <w:r>
        <w:rPr>
          <w:rFonts w:ascii="仿宋" w:eastAsia="仿宋" w:hAnsi="仿宋" w:hint="eastAsia"/>
          <w:sz w:val="24"/>
        </w:rPr>
        <w:t>片、腔室载玻片，支持Cy5.5波段荧光成像。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（八）活细胞培养系统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1、可控制温度、CO2浓度以及湿度；</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2、细胞培养在独立空间内，培养皿底部可加热，</w:t>
      </w:r>
      <w:proofErr w:type="gramStart"/>
      <w:r>
        <w:rPr>
          <w:rFonts w:ascii="仿宋" w:eastAsia="仿宋" w:hAnsi="仿宋" w:hint="eastAsia"/>
          <w:sz w:val="24"/>
        </w:rPr>
        <w:t>上部也</w:t>
      </w:r>
      <w:proofErr w:type="gramEnd"/>
      <w:r>
        <w:rPr>
          <w:rFonts w:ascii="仿宋" w:eastAsia="仿宋" w:hAnsi="仿宋" w:hint="eastAsia"/>
          <w:sz w:val="24"/>
        </w:rPr>
        <w:t>可同时加热；</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3、控温系统可同时控制至少4个独立的通道温度设定，温度控制范围：室温至60℃，精度≤0.1℃；</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4、可进行CO2浓度控制，范围：0至8%，调节精度为≤0.1%；</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5、湿度控制，加湿装置同时也可控温保湿；</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6、整个活细胞培养系统可完全由共聚焦软件一体化控制，并在软件及显微镜显示器上可以直接显示、调节。</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（九）图像获取及分析系统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 xml:space="preserve">1、原厂图像工作站一套： </w:t>
      </w:r>
    </w:p>
    <w:p w:rsidR="00497C69" w:rsidRDefault="00497C69" w:rsidP="00497C69">
      <w:pPr>
        <w:tabs>
          <w:tab w:val="left" w:pos="900"/>
        </w:tabs>
        <w:spacing w:beforeLines="50" w:before="120" w:line="360" w:lineRule="auto"/>
        <w:ind w:firstLineChars="200" w:firstLine="480"/>
        <w:jc w:val="left"/>
        <w:rPr>
          <w:rFonts w:ascii="仿宋" w:eastAsia="仿宋" w:hAnsi="仿宋"/>
          <w:sz w:val="24"/>
        </w:rPr>
      </w:pPr>
      <w:r>
        <w:rPr>
          <w:rFonts w:ascii="仿宋" w:eastAsia="仿宋" w:hAnsi="仿宋" w:hint="eastAsia"/>
          <w:sz w:val="24"/>
        </w:rPr>
        <w:t>硬件配置不低于以下要求：CPU（核心数≥12，主频≥3.0 GHz），≥10TB SATA 7200 rpm硬盘，≧128GB内存，≥31英寸液晶显示器，分辨率≥3840 × 2160；</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2、支持通过选择样品的染料标记，提供3种光路配置模式，一键自动设置所有的光路；</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3、可设置及自动随时间获取动态图像；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4、可以去除自发荧光，及荧光串扰；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5、支持全景深图像叠加运算和展示；</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6、支持对多通道荧光图像中两个通道之间的共定位进行定量分析。包括共定位系数，</w:t>
      </w:r>
      <w:proofErr w:type="gramStart"/>
      <w:r>
        <w:rPr>
          <w:rFonts w:ascii="仿宋" w:eastAsia="仿宋" w:hAnsi="仿宋" w:hint="eastAsia"/>
          <w:sz w:val="24"/>
        </w:rPr>
        <w:t>曼</w:t>
      </w:r>
      <w:proofErr w:type="gramEnd"/>
      <w:r>
        <w:rPr>
          <w:rFonts w:ascii="仿宋" w:eastAsia="仿宋" w:hAnsi="仿宋" w:hint="eastAsia"/>
          <w:sz w:val="24"/>
        </w:rPr>
        <w:t>德尔系数，皮尔森系数等；</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7、提供≥3种图像反卷积方式用于图像处理，提高图像的信噪比、对比度和分辨率；</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8、可在进行图像拍摄时，同步实现数据的实时传输与图像处理。图像处理手段≥ 3种，涵盖图像降噪、背景去除等实用功能，能够在获取图像的同时就能迅速得到处理后的结果；</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9、具备直方图分析和任意线的序列测量，长度、角度、面积、强度等的测量；定量的共定位分析；可根据要求编辑测量程序，对自定义的类和子类进行图像分割、计数和面积、强度等的测量，并将结果以表格、列表和散点图/直方图形式显示；可进行批量图像分析；</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10、适用于所有常见的文件格式（如：JPEG, BMP, TIFF, </w:t>
      </w:r>
      <w:proofErr w:type="spellStart"/>
      <w:r>
        <w:rPr>
          <w:rFonts w:ascii="仿宋" w:eastAsia="仿宋" w:hAnsi="仿宋" w:hint="eastAsia"/>
          <w:sz w:val="24"/>
        </w:rPr>
        <w:t>BigTIFF</w:t>
      </w:r>
      <w:proofErr w:type="spellEnd"/>
      <w:r>
        <w:rPr>
          <w:rFonts w:ascii="仿宋" w:eastAsia="仿宋" w:hAnsi="仿宋" w:hint="eastAsia"/>
          <w:sz w:val="24"/>
        </w:rPr>
        <w:t>, PNG, WDP, SUR, AVI, WMF, MOV, OME-TIF, ZVI）。裁剪功能，灵活地选择扫描区域；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11、可再次调用存储在每张图像里的所有的拍照参数来重现实验及进行精确对比；</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12、可自动寻找样品中的最佳聚焦位置，适用于透射光、反射光和荧光；</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13、可用于设置及自动获取Z轴三维图像，包括起始点/终止点和中心点两种采集模式；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14、可自动补偿由于样品深度增加造成的信号衰减；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15、可对任意形状的预设区域进行拼图扫描以及根据位点列表进行多点成像，支持聚焦校正地图、拼接以及阴影校正；支持自定义多孔板及各种</w:t>
      </w:r>
      <w:proofErr w:type="gramStart"/>
      <w:r>
        <w:rPr>
          <w:rFonts w:ascii="仿宋" w:eastAsia="仿宋" w:hAnsi="仿宋" w:hint="eastAsia"/>
          <w:sz w:val="24"/>
        </w:rPr>
        <w:t>样品载具规格</w:t>
      </w:r>
      <w:proofErr w:type="gramEnd"/>
      <w:r>
        <w:rPr>
          <w:rFonts w:ascii="仿宋" w:eastAsia="仿宋" w:hAnsi="仿宋" w:hint="eastAsia"/>
          <w:sz w:val="24"/>
        </w:rPr>
        <w:t>，多种模式设定获取图像的多个位点；</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16、可通过多焦点三维位置拟合的聚焦地图实现样品大视野拼图，可解决因样品不平、</w:t>
      </w:r>
      <w:proofErr w:type="gramStart"/>
      <w:r>
        <w:rPr>
          <w:rFonts w:ascii="仿宋" w:eastAsia="仿宋" w:hAnsi="仿宋" w:hint="eastAsia"/>
          <w:sz w:val="24"/>
        </w:rPr>
        <w:t>皿</w:t>
      </w:r>
      <w:proofErr w:type="gramEnd"/>
      <w:r>
        <w:rPr>
          <w:rFonts w:ascii="仿宋" w:eastAsia="仿宋" w:hAnsi="仿宋" w:hint="eastAsia"/>
          <w:sz w:val="24"/>
        </w:rPr>
        <w:t>底缺陷或者热效应引起的图像采集过程中聚焦不准的情况；适用于多种成像方式（明场、荧光等），并兼容</w:t>
      </w:r>
      <w:proofErr w:type="gramStart"/>
      <w:r>
        <w:rPr>
          <w:rFonts w:ascii="仿宋" w:eastAsia="仿宋" w:hAnsi="仿宋" w:hint="eastAsia"/>
          <w:sz w:val="24"/>
        </w:rPr>
        <w:t>玻</w:t>
      </w:r>
      <w:proofErr w:type="gramEnd"/>
      <w:r>
        <w:rPr>
          <w:rFonts w:ascii="仿宋" w:eastAsia="仿宋" w:hAnsi="仿宋" w:hint="eastAsia"/>
          <w:sz w:val="24"/>
        </w:rPr>
        <w:t>底</w:t>
      </w:r>
      <w:proofErr w:type="gramStart"/>
      <w:r>
        <w:rPr>
          <w:rFonts w:ascii="仿宋" w:eastAsia="仿宋" w:hAnsi="仿宋" w:hint="eastAsia"/>
          <w:sz w:val="24"/>
        </w:rPr>
        <w:t>皿</w:t>
      </w:r>
      <w:proofErr w:type="gramEnd"/>
      <w:r>
        <w:rPr>
          <w:rFonts w:ascii="仿宋" w:eastAsia="仿宋" w:hAnsi="仿宋" w:hint="eastAsia"/>
          <w:sz w:val="24"/>
        </w:rPr>
        <w:t>与塑料</w:t>
      </w:r>
      <w:proofErr w:type="gramStart"/>
      <w:r>
        <w:rPr>
          <w:rFonts w:ascii="仿宋" w:eastAsia="仿宋" w:hAnsi="仿宋" w:hint="eastAsia"/>
          <w:sz w:val="24"/>
        </w:rPr>
        <w:t>皿</w:t>
      </w:r>
      <w:proofErr w:type="gramEnd"/>
      <w:r>
        <w:rPr>
          <w:rFonts w:ascii="仿宋" w:eastAsia="仿宋" w:hAnsi="仿宋" w:hint="eastAsia"/>
          <w:sz w:val="24"/>
        </w:rPr>
        <w:t>；</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17、可通过自动采集和组合不同激发强度的图像，获取具有扩展动态范围的图像；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18、支持在进行图像采集的同时（包括连续扫描和时间序列实验），通过鼠标点击对指定≥10个任意形状的区域进行漂白。适用于主动光活化实验、光转化实验或者快速光漂白实验等；</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19、支持创建自动测量程序，图像分割，强度测量，批处理功能等，可通过附加功能（边缘、算术、形态学分割、二进制等)扩展图像分析的能力。除了经典的分割方法，机器学习的模型也可以用于图像分割。可对图像面积、周长、中心点坐标等几何形状参数和荧光强度参数进行测量，用户也可自定义测量参数。数据以表格、列表和散点图/直方图、热图等方式显示，表格、图表和图像可以交互链接，以便用户查看数据；</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20、提供简单、自动化的图像分析工作流程，用于对生物样品中荧光标记的细胞核进行计数，允许自动监测细胞数量及增殖过程，可测量细胞核的数量、密度，以及平均强度和平均面积；</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21、支持3D和4D图像渲染，有≥4种渲染方式（阴影、表面、透明及最大强度投影）并可进行不同渲染方式的结合（如透明结合表面渲染）；可实现三维空间的距离和角度测量；自定义式的3D和4D视频制作与导出。可在同一界面下同时进行2D和3D图像可视化，可以在显示3D渲染效果的同时显示单层2D图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22、支持3D图像分析，可采用经典的分割方法或机器学习的模型。可对图像几何形状参数和荧光强度参数进行测量，用户也可自定义测量参数；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23、提供≥10份离线图像处理软件客户端：功能包括：查看该设备拍摄的显微图像，调节对比度，对图像添加标尺及标注；可进行常见的文件格式的数据导入/导出（包括：JPEG, BMP, TIFF, </w:t>
      </w:r>
      <w:proofErr w:type="spellStart"/>
      <w:r>
        <w:rPr>
          <w:rFonts w:ascii="仿宋" w:eastAsia="仿宋" w:hAnsi="仿宋" w:hint="eastAsia"/>
          <w:sz w:val="24"/>
        </w:rPr>
        <w:t>BigTIFF</w:t>
      </w:r>
      <w:proofErr w:type="spellEnd"/>
      <w:r>
        <w:rPr>
          <w:rFonts w:ascii="仿宋" w:eastAsia="仿宋" w:hAnsi="仿宋" w:hint="eastAsia"/>
          <w:sz w:val="24"/>
        </w:rPr>
        <w:t>, PNG, WDP, SUR, AVI, WMF, MOV, OME-TIF, ZVI）；具有≥1种二维图像去模糊功能，可利用二维去模糊算法进行图像质量优化；具有≥10种图像校正功能，包括去背景，白平衡，阴影校正等；可运用≥8种算法对图像进行乳化或锐化；可对3D数据进行3D渲染并导出3D渲染视频；可实现2D数据关联；可生成三维图像的正交投影图像，展示XY/YZ/XZ的</w:t>
      </w:r>
      <w:proofErr w:type="gramStart"/>
      <w:r>
        <w:rPr>
          <w:rFonts w:ascii="仿宋" w:eastAsia="仿宋" w:hAnsi="仿宋" w:hint="eastAsia"/>
          <w:sz w:val="24"/>
        </w:rPr>
        <w:t>任一切</w:t>
      </w:r>
      <w:proofErr w:type="gramEnd"/>
      <w:r>
        <w:rPr>
          <w:rFonts w:ascii="仿宋" w:eastAsia="仿宋" w:hAnsi="仿宋" w:hint="eastAsia"/>
          <w:sz w:val="24"/>
        </w:rPr>
        <w:t>面层，并创建</w:t>
      </w:r>
      <w:proofErr w:type="gramStart"/>
      <w:r>
        <w:rPr>
          <w:rFonts w:ascii="仿宋" w:eastAsia="仿宋" w:hAnsi="仿宋" w:hint="eastAsia"/>
          <w:sz w:val="24"/>
        </w:rPr>
        <w:t>任一切</w:t>
      </w:r>
      <w:proofErr w:type="gramEnd"/>
      <w:r>
        <w:rPr>
          <w:rFonts w:ascii="仿宋" w:eastAsia="仿宋" w:hAnsi="仿宋" w:hint="eastAsia"/>
          <w:sz w:val="24"/>
        </w:rPr>
        <w:t>面层图像；具有交互测量工具，可自定义测量参数，形成测量工作流，可对轮廓、曲线、面积、灰度等值进行测量；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24、可用于自动量化细胞覆盖的区域，量化细胞融合；</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25、可用于基因和蛋白质表达水平的自动定量；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26、可用于自动计数和量化细胞核内的点（例如：FISH、端粒、着丝粒、焦点计数），测量包括点总数、每个细胞的平均点数、点的平均强度、细胞核的平均面积。</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（十）配置清单:</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1、固体激光器 （405nm/488nm/514nm/561nm/640nm）：1套；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2、共聚焦扫描检测单元：1套；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3、超高分辨率部分：1套；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4、倒置电动显微镜主机和物镜：2x-2.5x</w:t>
      </w:r>
      <w:proofErr w:type="gramStart"/>
      <w:r>
        <w:rPr>
          <w:rFonts w:ascii="仿宋" w:eastAsia="仿宋" w:hAnsi="仿宋" w:hint="eastAsia"/>
          <w:sz w:val="24"/>
        </w:rPr>
        <w:t>干镜</w:t>
      </w:r>
      <w:proofErr w:type="gramEnd"/>
      <w:r>
        <w:rPr>
          <w:rFonts w:ascii="仿宋" w:eastAsia="仿宋" w:hAnsi="仿宋" w:hint="eastAsia"/>
          <w:sz w:val="24"/>
        </w:rPr>
        <w:t>/10x</w:t>
      </w:r>
      <w:proofErr w:type="gramStart"/>
      <w:r>
        <w:rPr>
          <w:rFonts w:ascii="仿宋" w:eastAsia="仿宋" w:hAnsi="仿宋" w:hint="eastAsia"/>
          <w:sz w:val="24"/>
        </w:rPr>
        <w:t>干镜</w:t>
      </w:r>
      <w:proofErr w:type="gramEnd"/>
      <w:r>
        <w:rPr>
          <w:rFonts w:ascii="仿宋" w:eastAsia="仿宋" w:hAnsi="仿宋" w:hint="eastAsia"/>
          <w:sz w:val="24"/>
        </w:rPr>
        <w:t>/20x</w:t>
      </w:r>
      <w:proofErr w:type="gramStart"/>
      <w:r>
        <w:rPr>
          <w:rFonts w:ascii="仿宋" w:eastAsia="仿宋" w:hAnsi="仿宋" w:hint="eastAsia"/>
          <w:sz w:val="24"/>
        </w:rPr>
        <w:t>干镜</w:t>
      </w:r>
      <w:proofErr w:type="gramEnd"/>
      <w:r>
        <w:rPr>
          <w:rFonts w:ascii="仿宋" w:eastAsia="仿宋" w:hAnsi="仿宋" w:hint="eastAsia"/>
          <w:sz w:val="24"/>
        </w:rPr>
        <w:t>/40x</w:t>
      </w:r>
      <w:proofErr w:type="gramStart"/>
      <w:r>
        <w:rPr>
          <w:rFonts w:ascii="仿宋" w:eastAsia="仿宋" w:hAnsi="仿宋" w:hint="eastAsia"/>
          <w:sz w:val="24"/>
        </w:rPr>
        <w:t>干镜</w:t>
      </w:r>
      <w:proofErr w:type="gramEnd"/>
      <w:r>
        <w:rPr>
          <w:rFonts w:ascii="仿宋" w:eastAsia="仿宋" w:hAnsi="仿宋" w:hint="eastAsia"/>
          <w:sz w:val="24"/>
        </w:rPr>
        <w:t>/60x-63x</w:t>
      </w:r>
      <w:proofErr w:type="gramStart"/>
      <w:r>
        <w:rPr>
          <w:rFonts w:ascii="仿宋" w:eastAsia="仿宋" w:hAnsi="仿宋" w:hint="eastAsia"/>
          <w:sz w:val="24"/>
        </w:rPr>
        <w:t>油镜</w:t>
      </w:r>
      <w:proofErr w:type="gramEnd"/>
      <w:r>
        <w:rPr>
          <w:rFonts w:ascii="仿宋" w:eastAsia="仿宋" w:hAnsi="仿宋" w:hint="eastAsia"/>
          <w:sz w:val="24"/>
        </w:rPr>
        <w:t>/100x</w:t>
      </w:r>
      <w:proofErr w:type="gramStart"/>
      <w:r>
        <w:rPr>
          <w:rFonts w:ascii="仿宋" w:eastAsia="仿宋" w:hAnsi="仿宋" w:hint="eastAsia"/>
          <w:sz w:val="24"/>
        </w:rPr>
        <w:t>油镜</w:t>
      </w:r>
      <w:proofErr w:type="gramEnd"/>
      <w:r>
        <w:rPr>
          <w:rFonts w:ascii="仿宋" w:eastAsia="仿宋" w:hAnsi="仿宋" w:hint="eastAsia"/>
          <w:sz w:val="24"/>
        </w:rPr>
        <w:t xml:space="preserve"> ）：1套；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5、系统工作站及配套软件：1套；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6、活细胞孵育模块：1套。</w:t>
      </w:r>
    </w:p>
    <w:p w:rsidR="00497C69" w:rsidRDefault="00497C69" w:rsidP="00497C69">
      <w:pPr>
        <w:tabs>
          <w:tab w:val="left" w:pos="900"/>
        </w:tabs>
        <w:spacing w:beforeLines="50" w:before="120" w:line="360" w:lineRule="auto"/>
        <w:jc w:val="center"/>
        <w:rPr>
          <w:rFonts w:ascii="仿宋" w:eastAsia="仿宋" w:hAnsi="仿宋"/>
          <w:b/>
          <w:sz w:val="24"/>
        </w:rPr>
      </w:pPr>
    </w:p>
    <w:p w:rsidR="00497C69" w:rsidRDefault="00497C69" w:rsidP="00497C69">
      <w:pPr>
        <w:spacing w:line="360" w:lineRule="auto"/>
        <w:jc w:val="center"/>
        <w:rPr>
          <w:rFonts w:ascii="仿宋" w:eastAsia="仿宋" w:hAnsi="仿宋"/>
          <w:b/>
          <w:sz w:val="24"/>
        </w:rPr>
        <w:sectPr w:rsidR="00497C69">
          <w:headerReference w:type="default" r:id="rId8"/>
          <w:pgSz w:w="11907" w:h="16840"/>
          <w:pgMar w:top="1418" w:right="1134" w:bottom="1418" w:left="1701" w:header="851" w:footer="851" w:gutter="0"/>
          <w:cols w:space="720"/>
          <w:docGrid w:linePitch="462"/>
        </w:sectPr>
      </w:pPr>
    </w:p>
    <w:p w:rsidR="00497C69" w:rsidRDefault="00497C69" w:rsidP="00497C6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品目1-2</w:t>
      </w:r>
      <w:r>
        <w:rPr>
          <w:rFonts w:ascii="仿宋" w:eastAsia="仿宋" w:hAnsi="仿宋" w:hint="eastAsia"/>
          <w:b/>
          <w:sz w:val="24"/>
        </w:rPr>
        <w:tab/>
        <w:t>流式细胞仪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（一）光路系统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1、激发光：≥4激光器，至少包括 405nm，488 nm，561nm和633-645nm；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2、荧光通道：配备≥30个荧光检测通道；</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3、检测参数：可同时检测≥32个参数，包括荧光参数、散射光参数或细胞位置参数等；</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4、细胞位置探测器：配备液流定位技术，利用细胞位置参数，检测细胞流经激光光斑时在液流横截面的位置；</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5、虚拟滤光片功能：可为每种荧光素自由分配多个检测通道的组合；</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6、数据分辨率：数字化信号分辨率≥18bit，动态范围不低于105；</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7、检测器类型：采用PMT而非APD作为荧光信号检测器。</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（二）检测性能</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1、全光谱信号检测：对每一个荧光素可检测520nm - 780nm范围内的连续光谱信号；</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2、自发荧光检测：支持同时检测≥4种细胞自发荧光光谱并将其作为独立的参数进行解析；</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3、最大检测速率：不低于20,000 </w:t>
      </w:r>
      <w:proofErr w:type="spellStart"/>
      <w:r>
        <w:rPr>
          <w:rFonts w:ascii="仿宋" w:eastAsia="仿宋" w:hAnsi="仿宋" w:hint="eastAsia"/>
          <w:sz w:val="24"/>
        </w:rPr>
        <w:t>eps</w:t>
      </w:r>
      <w:proofErr w:type="spellEnd"/>
      <w:r>
        <w:rPr>
          <w:rFonts w:ascii="仿宋" w:eastAsia="仿宋" w:hAnsi="仿宋" w:hint="eastAsia"/>
          <w:sz w:val="24"/>
        </w:rPr>
        <w:t>。</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（三）液流系统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w:t>
      </w:r>
      <w:proofErr w:type="gramStart"/>
      <w:r>
        <w:rPr>
          <w:rFonts w:ascii="仿宋" w:eastAsia="仿宋" w:hAnsi="仿宋" w:hint="eastAsia"/>
          <w:sz w:val="24"/>
        </w:rPr>
        <w:t>上样器</w:t>
      </w:r>
      <w:proofErr w:type="gramEnd"/>
      <w:r>
        <w:rPr>
          <w:rFonts w:ascii="仿宋" w:eastAsia="仿宋" w:hAnsi="仿宋" w:hint="eastAsia"/>
          <w:sz w:val="24"/>
        </w:rPr>
        <w:t>：配备3D式</w:t>
      </w:r>
      <w:proofErr w:type="gramStart"/>
      <w:r>
        <w:rPr>
          <w:rFonts w:ascii="仿宋" w:eastAsia="仿宋" w:hAnsi="仿宋" w:hint="eastAsia"/>
          <w:sz w:val="24"/>
        </w:rPr>
        <w:t>自动上样器</w:t>
      </w:r>
      <w:proofErr w:type="gramEnd"/>
      <w:r>
        <w:rPr>
          <w:rFonts w:ascii="仿宋" w:eastAsia="仿宋" w:hAnsi="仿宋" w:hint="eastAsia"/>
          <w:sz w:val="24"/>
        </w:rPr>
        <w:t>，</w:t>
      </w:r>
      <w:proofErr w:type="gramStart"/>
      <w:r>
        <w:rPr>
          <w:rFonts w:ascii="仿宋" w:eastAsia="仿宋" w:hAnsi="仿宋" w:hint="eastAsia"/>
          <w:sz w:val="24"/>
        </w:rPr>
        <w:t>上样器</w:t>
      </w:r>
      <w:proofErr w:type="gramEnd"/>
      <w:r>
        <w:rPr>
          <w:rFonts w:ascii="仿宋" w:eastAsia="仿宋" w:hAnsi="仿宋" w:hint="eastAsia"/>
          <w:sz w:val="24"/>
        </w:rPr>
        <w:t>可在上下、前后、左右三个维度移动，配备</w:t>
      </w:r>
      <w:proofErr w:type="gramStart"/>
      <w:r>
        <w:rPr>
          <w:rFonts w:ascii="仿宋" w:eastAsia="仿宋" w:hAnsi="仿宋" w:hint="eastAsia"/>
          <w:sz w:val="24"/>
        </w:rPr>
        <w:t>固定式上样针</w:t>
      </w:r>
      <w:proofErr w:type="gramEnd"/>
      <w:r>
        <w:rPr>
          <w:rFonts w:ascii="仿宋" w:eastAsia="仿宋" w:hAnsi="仿宋" w:hint="eastAsia"/>
          <w:sz w:val="24"/>
        </w:rPr>
        <w:t>和专门的清洗装置，可以对</w:t>
      </w:r>
      <w:proofErr w:type="gramStart"/>
      <w:r>
        <w:rPr>
          <w:rFonts w:ascii="仿宋" w:eastAsia="仿宋" w:hAnsi="仿宋" w:hint="eastAsia"/>
          <w:sz w:val="24"/>
        </w:rPr>
        <w:t>上样针所有</w:t>
      </w:r>
      <w:proofErr w:type="gramEnd"/>
      <w:r>
        <w:rPr>
          <w:rFonts w:ascii="仿宋" w:eastAsia="仿宋" w:hAnsi="仿宋" w:hint="eastAsia"/>
          <w:sz w:val="24"/>
        </w:rPr>
        <w:t>部位同步进行内外管清洗和废液抽吸；</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w:t>
      </w:r>
      <w:proofErr w:type="gramStart"/>
      <w:r>
        <w:rPr>
          <w:rFonts w:ascii="仿宋" w:eastAsia="仿宋" w:hAnsi="仿宋" w:hint="eastAsia"/>
          <w:sz w:val="24"/>
        </w:rPr>
        <w:t>上样装置</w:t>
      </w:r>
      <w:proofErr w:type="gramEnd"/>
      <w:r>
        <w:rPr>
          <w:rFonts w:ascii="仿宋" w:eastAsia="仿宋" w:hAnsi="仿宋" w:hint="eastAsia"/>
          <w:sz w:val="24"/>
        </w:rPr>
        <w:t>：支持多个流式</w:t>
      </w:r>
      <w:proofErr w:type="gramStart"/>
      <w:r>
        <w:rPr>
          <w:rFonts w:ascii="仿宋" w:eastAsia="仿宋" w:hAnsi="仿宋" w:hint="eastAsia"/>
          <w:sz w:val="24"/>
        </w:rPr>
        <w:t>管同时</w:t>
      </w:r>
      <w:proofErr w:type="gramEnd"/>
      <w:r>
        <w:rPr>
          <w:rFonts w:ascii="仿宋" w:eastAsia="仿宋" w:hAnsi="仿宋" w:hint="eastAsia"/>
          <w:sz w:val="24"/>
        </w:rPr>
        <w:t>上样。支持孔板上样，包括96孔板、384孔板；</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3、样本间残留率：&lt;0.2%；</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4、自动化清洗模式：</w:t>
      </w:r>
      <w:proofErr w:type="gramStart"/>
      <w:r>
        <w:rPr>
          <w:rFonts w:ascii="仿宋" w:eastAsia="仿宋" w:hAnsi="仿宋" w:hint="eastAsia"/>
          <w:sz w:val="24"/>
        </w:rPr>
        <w:t>自动上样针</w:t>
      </w:r>
      <w:proofErr w:type="gramEnd"/>
      <w:r>
        <w:rPr>
          <w:rFonts w:ascii="仿宋" w:eastAsia="仿宋" w:hAnsi="仿宋" w:hint="eastAsia"/>
          <w:sz w:val="24"/>
        </w:rPr>
        <w:t>反冲（以去除样本残留）、自动排气泡（以排除管路堵塞），自动关机清洗。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（四）操作系统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1、数据处理：采用数学算法对多色荧光光谱进行拆分，无需补偿调节；</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 xml:space="preserve">2、软件内置荧光素光谱库, </w:t>
      </w:r>
      <w:proofErr w:type="gramStart"/>
      <w:r>
        <w:rPr>
          <w:rFonts w:ascii="仿宋" w:eastAsia="仿宋" w:hAnsi="仿宋" w:hint="eastAsia"/>
          <w:sz w:val="24"/>
        </w:rPr>
        <w:t>支持自</w:t>
      </w:r>
      <w:proofErr w:type="gramEnd"/>
      <w:r>
        <w:rPr>
          <w:rFonts w:ascii="仿宋" w:eastAsia="仿宋" w:hAnsi="仿宋" w:hint="eastAsia"/>
          <w:sz w:val="24"/>
        </w:rPr>
        <w:t>建荧光素光谱库，支持荧光素光谱保存和调用；</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3、软件内置光谱调节器, 支持对荧光素光谱进行手动调整；</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4、软件</w:t>
      </w:r>
      <w:proofErr w:type="gramStart"/>
      <w:r>
        <w:rPr>
          <w:rFonts w:ascii="仿宋" w:eastAsia="仿宋" w:hAnsi="仿宋" w:hint="eastAsia"/>
          <w:sz w:val="24"/>
        </w:rPr>
        <w:t>免密开放</w:t>
      </w:r>
      <w:proofErr w:type="gramEnd"/>
      <w:r>
        <w:rPr>
          <w:rFonts w:ascii="仿宋" w:eastAsia="仿宋" w:hAnsi="仿宋" w:hint="eastAsia"/>
          <w:sz w:val="24"/>
        </w:rPr>
        <w:t>安装，可安装在≥10个使用者的电脑上；</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5、软件系统支持数据获取和分析，可以同时进行多任务（即样本采集和数据分析可同时进行，互不干扰）。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（五）配置清单：</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1、主机系统：四激光配置488nm/638nm/405nm/561nm：1套；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2、配备3D</w:t>
      </w:r>
      <w:proofErr w:type="gramStart"/>
      <w:r>
        <w:rPr>
          <w:rFonts w:ascii="仿宋" w:eastAsia="仿宋" w:hAnsi="仿宋" w:hint="eastAsia"/>
          <w:sz w:val="24"/>
        </w:rPr>
        <w:t>自动上样器</w:t>
      </w:r>
      <w:proofErr w:type="gramEnd"/>
      <w:r>
        <w:rPr>
          <w:rFonts w:ascii="仿宋" w:eastAsia="仿宋" w:hAnsi="仿宋" w:hint="eastAsia"/>
          <w:sz w:val="24"/>
        </w:rPr>
        <w:t>：1套；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3、系统工作站及配套软件：1套；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4、校准微球Align Check Beads（2ml）：1瓶；</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w:t>
      </w:r>
      <w:proofErr w:type="gramStart"/>
      <w:r>
        <w:rPr>
          <w:rFonts w:ascii="仿宋" w:eastAsia="仿宋" w:hAnsi="仿宋" w:hint="eastAsia"/>
          <w:sz w:val="24"/>
        </w:rPr>
        <w:t>峰质控</w:t>
      </w:r>
      <w:proofErr w:type="gramEnd"/>
      <w:r>
        <w:rPr>
          <w:rFonts w:ascii="仿宋" w:eastAsia="仿宋" w:hAnsi="仿宋" w:hint="eastAsia"/>
          <w:sz w:val="24"/>
        </w:rPr>
        <w:t>微球8-Peak Beads (2ml)：1瓶。</w:t>
      </w:r>
    </w:p>
    <w:p w:rsidR="00497C69" w:rsidRDefault="00497C69" w:rsidP="00497C69">
      <w:pPr>
        <w:spacing w:line="360" w:lineRule="auto"/>
        <w:jc w:val="center"/>
        <w:rPr>
          <w:rFonts w:ascii="仿宋" w:eastAsia="仿宋" w:hAnsi="仿宋"/>
          <w:b/>
          <w:sz w:val="24"/>
        </w:rPr>
        <w:sectPr w:rsidR="00497C69">
          <w:headerReference w:type="default" r:id="rId9"/>
          <w:pgSz w:w="11907" w:h="16840"/>
          <w:pgMar w:top="1418" w:right="1134" w:bottom="1418" w:left="1701" w:header="851" w:footer="851" w:gutter="0"/>
          <w:cols w:space="720"/>
          <w:docGrid w:linePitch="462"/>
        </w:sectPr>
      </w:pPr>
    </w:p>
    <w:p w:rsidR="00497C69" w:rsidRDefault="00497C69" w:rsidP="00497C6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品目1-3</w:t>
      </w:r>
      <w:r>
        <w:rPr>
          <w:rFonts w:ascii="仿宋" w:eastAsia="仿宋" w:hAnsi="仿宋" w:hint="eastAsia"/>
          <w:b/>
          <w:sz w:val="24"/>
        </w:rPr>
        <w:tab/>
        <w:t>冷冻切片机</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1、按键控制，便于戴手套操作；</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2、具备双压缩机制冷，实现腔体与样本头单独制冷；</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3、刀架制冷：采用冷空气循环和刀架送风技术；</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4、环保：带HEPA空气净化系统；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5、冷冻箱：冷冻箱制冷温度 ≤ -35℃，冷冻箱采用不锈钢无缝焊接，无死角；</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6、除霜功能：冷冻箱具备自动除霜功能并可编程除霜时长≤15分钟。样本头制冷系统可进行电加热器除霜，除霜时长≤15分钟；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7、速冻架：速冻架冷冻位点数 ≥ 17个，</w:t>
      </w:r>
      <w:proofErr w:type="gramStart"/>
      <w:r>
        <w:rPr>
          <w:rFonts w:ascii="仿宋" w:eastAsia="仿宋" w:hAnsi="仿宋" w:hint="eastAsia"/>
          <w:sz w:val="24"/>
        </w:rPr>
        <w:t>速冷架制冷</w:t>
      </w:r>
      <w:proofErr w:type="gramEnd"/>
      <w:r>
        <w:rPr>
          <w:rFonts w:ascii="仿宋" w:eastAsia="仿宋" w:hAnsi="仿宋" w:hint="eastAsia"/>
          <w:sz w:val="24"/>
        </w:rPr>
        <w:t>温度 ≤ -42℃；</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8、快速制冷位点：具备</w:t>
      </w:r>
      <w:proofErr w:type="gramStart"/>
      <w:r>
        <w:rPr>
          <w:rFonts w:ascii="仿宋" w:eastAsia="仿宋" w:hAnsi="仿宋" w:hint="eastAsia"/>
          <w:sz w:val="24"/>
        </w:rPr>
        <w:t>珀</w:t>
      </w:r>
      <w:proofErr w:type="gramEnd"/>
      <w:r>
        <w:rPr>
          <w:rFonts w:ascii="仿宋" w:eastAsia="仿宋" w:hAnsi="仿宋" w:hint="eastAsia"/>
          <w:sz w:val="24"/>
        </w:rPr>
        <w:t>尔帖（</w:t>
      </w:r>
      <w:proofErr w:type="spellStart"/>
      <w:r>
        <w:rPr>
          <w:rFonts w:ascii="仿宋" w:eastAsia="仿宋" w:hAnsi="仿宋" w:hint="eastAsia"/>
          <w:sz w:val="24"/>
        </w:rPr>
        <w:t>Peltier</w:t>
      </w:r>
      <w:proofErr w:type="spellEnd"/>
      <w:r>
        <w:rPr>
          <w:rFonts w:ascii="仿宋" w:eastAsia="仿宋" w:hAnsi="仿宋" w:hint="eastAsia"/>
          <w:sz w:val="24"/>
        </w:rPr>
        <w:t>）快速制冷位点，位点数 ≥ 2个；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9、机身控制面板：控制面板设计有电动粗进、切片</w:t>
      </w:r>
      <w:proofErr w:type="gramStart"/>
      <w:r>
        <w:rPr>
          <w:rFonts w:ascii="仿宋" w:eastAsia="仿宋" w:hAnsi="仿宋" w:hint="eastAsia"/>
          <w:sz w:val="24"/>
        </w:rPr>
        <w:t>和修块按键</w:t>
      </w:r>
      <w:proofErr w:type="gramEnd"/>
      <w:r>
        <w:rPr>
          <w:rFonts w:ascii="仿宋" w:eastAsia="仿宋" w:hAnsi="仿宋" w:hint="eastAsia"/>
          <w:sz w:val="24"/>
        </w:rPr>
        <w:t>式控制按钮，并有指示灯提示功能。控制面板有样品</w:t>
      </w:r>
      <w:proofErr w:type="gramStart"/>
      <w:r>
        <w:rPr>
          <w:rFonts w:ascii="仿宋" w:eastAsia="仿宋" w:hAnsi="仿宋" w:hint="eastAsia"/>
          <w:sz w:val="24"/>
        </w:rPr>
        <w:t>头快速</w:t>
      </w:r>
      <w:proofErr w:type="gramEnd"/>
      <w:r>
        <w:rPr>
          <w:rFonts w:ascii="仿宋" w:eastAsia="仿宋" w:hAnsi="仿宋" w:hint="eastAsia"/>
          <w:sz w:val="24"/>
        </w:rPr>
        <w:t>回位功能；</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10、</w:t>
      </w:r>
      <w:proofErr w:type="gramStart"/>
      <w:r>
        <w:rPr>
          <w:rFonts w:ascii="仿宋" w:eastAsia="仿宋" w:hAnsi="仿宋" w:hint="eastAsia"/>
          <w:sz w:val="24"/>
        </w:rPr>
        <w:t>半刀切片</w:t>
      </w:r>
      <w:proofErr w:type="gramEnd"/>
      <w:r>
        <w:rPr>
          <w:rFonts w:ascii="仿宋" w:eastAsia="仿宋" w:hAnsi="仿宋" w:hint="eastAsia"/>
          <w:sz w:val="24"/>
        </w:rPr>
        <w:t>：</w:t>
      </w:r>
      <w:proofErr w:type="gramStart"/>
      <w:r>
        <w:rPr>
          <w:rFonts w:ascii="仿宋" w:eastAsia="仿宋" w:hAnsi="仿宋" w:hint="eastAsia"/>
          <w:sz w:val="24"/>
        </w:rPr>
        <w:t>具备半刀切片</w:t>
      </w:r>
      <w:proofErr w:type="gramEnd"/>
      <w:r>
        <w:rPr>
          <w:rFonts w:ascii="仿宋" w:eastAsia="仿宋" w:hAnsi="仿宋" w:hint="eastAsia"/>
          <w:sz w:val="24"/>
        </w:rPr>
        <w:t>功能，可</w:t>
      </w:r>
      <w:proofErr w:type="gramStart"/>
      <w:r>
        <w:rPr>
          <w:rFonts w:ascii="仿宋" w:eastAsia="仿宋" w:hAnsi="仿宋" w:hint="eastAsia"/>
          <w:sz w:val="24"/>
        </w:rPr>
        <w:t>进行半刀切片</w:t>
      </w:r>
      <w:proofErr w:type="gramEnd"/>
      <w:r>
        <w:rPr>
          <w:rFonts w:ascii="仿宋" w:eastAsia="仿宋" w:hAnsi="仿宋" w:hint="eastAsia"/>
          <w:sz w:val="24"/>
        </w:rPr>
        <w:t>；</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11、切片厚度范围：1-100 um可调；</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12、修片厚度：修片厚度设置范围1-600 um；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13、修片模式：设置有用于临床样本的</w:t>
      </w:r>
      <w:proofErr w:type="gramStart"/>
      <w:r>
        <w:rPr>
          <w:rFonts w:ascii="仿宋" w:eastAsia="仿宋" w:hAnsi="仿宋" w:hint="eastAsia"/>
          <w:sz w:val="24"/>
        </w:rPr>
        <w:t>快速修块模式</w:t>
      </w:r>
      <w:proofErr w:type="gramEnd"/>
      <w:r>
        <w:rPr>
          <w:rFonts w:ascii="仿宋" w:eastAsia="仿宋" w:hAnsi="仿宋" w:hint="eastAsia"/>
          <w:sz w:val="24"/>
        </w:rPr>
        <w:t>，即10 μm、20 μm、30 μm、40 μm</w:t>
      </w:r>
      <w:proofErr w:type="gramStart"/>
      <w:r>
        <w:rPr>
          <w:rFonts w:ascii="仿宋" w:eastAsia="仿宋" w:hAnsi="仿宋" w:hint="eastAsia"/>
          <w:sz w:val="24"/>
        </w:rPr>
        <w:t>修块厚度</w:t>
      </w:r>
      <w:proofErr w:type="gramEnd"/>
      <w:r>
        <w:rPr>
          <w:rFonts w:ascii="仿宋" w:eastAsia="仿宋" w:hAnsi="仿宋" w:hint="eastAsia"/>
          <w:sz w:val="24"/>
        </w:rPr>
        <w:t>快速设置。并设置有用于科研样本的</w:t>
      </w:r>
      <w:proofErr w:type="gramStart"/>
      <w:r>
        <w:rPr>
          <w:rFonts w:ascii="仿宋" w:eastAsia="仿宋" w:hAnsi="仿宋" w:hint="eastAsia"/>
          <w:sz w:val="24"/>
        </w:rPr>
        <w:t>精细修块模式</w:t>
      </w:r>
      <w:proofErr w:type="gramEnd"/>
      <w:r>
        <w:rPr>
          <w:rFonts w:ascii="仿宋" w:eastAsia="仿宋" w:hAnsi="仿宋" w:hint="eastAsia"/>
          <w:sz w:val="24"/>
        </w:rPr>
        <w:t>，厚度1.0 μm – 10.0 μm时以1.0 μm增幅；厚度10.0 μm – 20.0 μm时以2.0 μm增幅；厚度20.0 μm – 50.0 μm时以5.0 μm增幅；厚度50.0 μm – 100.0 μm时以10.0 μm增幅；厚度100.0 μm – 600.0 μm时以50.0 μm增幅；</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14、水平进样：≥ 25 mm；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15、样品垂直行程：≥ 59 mm；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16、电动粗修：采用2</w:t>
      </w:r>
      <w:proofErr w:type="gramStart"/>
      <w:r>
        <w:rPr>
          <w:rFonts w:ascii="仿宋" w:eastAsia="仿宋" w:hAnsi="仿宋" w:hint="eastAsia"/>
          <w:sz w:val="24"/>
        </w:rPr>
        <w:t>档电动粗</w:t>
      </w:r>
      <w:proofErr w:type="gramEnd"/>
      <w:r>
        <w:rPr>
          <w:rFonts w:ascii="仿宋" w:eastAsia="仿宋" w:hAnsi="仿宋" w:hint="eastAsia"/>
          <w:sz w:val="24"/>
        </w:rPr>
        <w:t>修，</w:t>
      </w:r>
      <w:proofErr w:type="gramStart"/>
      <w:r>
        <w:rPr>
          <w:rFonts w:ascii="仿宋" w:eastAsia="仿宋" w:hAnsi="仿宋" w:hint="eastAsia"/>
          <w:sz w:val="24"/>
        </w:rPr>
        <w:t>快速修块速度</w:t>
      </w:r>
      <w:proofErr w:type="gramEnd"/>
      <w:r>
        <w:rPr>
          <w:rFonts w:ascii="仿宋" w:eastAsia="仿宋" w:hAnsi="仿宋" w:hint="eastAsia"/>
          <w:sz w:val="24"/>
        </w:rPr>
        <w:t>900 μm /s，</w:t>
      </w:r>
      <w:proofErr w:type="gramStart"/>
      <w:r>
        <w:rPr>
          <w:rFonts w:ascii="仿宋" w:eastAsia="仿宋" w:hAnsi="仿宋" w:hint="eastAsia"/>
          <w:sz w:val="24"/>
        </w:rPr>
        <w:t>慢速修块速度</w:t>
      </w:r>
      <w:proofErr w:type="gramEnd"/>
      <w:r>
        <w:rPr>
          <w:rFonts w:ascii="仿宋" w:eastAsia="仿宋" w:hAnsi="仿宋" w:hint="eastAsia"/>
          <w:sz w:val="24"/>
        </w:rPr>
        <w:t>300 μm /s；</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17、样品回缩：具备样品回缩功能，回缩行程20 μm并可关闭；</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18、样品定位：± 8°定位及360°旋转，自动中心定位和精确0位指示确保样本准确快速定位；</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19、环境安全：设备机身采用</w:t>
      </w:r>
      <w:proofErr w:type="gramStart"/>
      <w:r>
        <w:rPr>
          <w:rFonts w:ascii="仿宋" w:eastAsia="仿宋" w:hAnsi="仿宋" w:hint="eastAsia"/>
          <w:sz w:val="24"/>
        </w:rPr>
        <w:t>抗菌银</w:t>
      </w:r>
      <w:proofErr w:type="gramEnd"/>
      <w:r>
        <w:rPr>
          <w:rFonts w:ascii="仿宋" w:eastAsia="仿宋" w:hAnsi="仿宋" w:hint="eastAsia"/>
          <w:sz w:val="24"/>
        </w:rPr>
        <w:t>离子涂层技术；</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b/>
          <w:sz w:val="24"/>
        </w:rPr>
        <w:t>▲</w:t>
      </w:r>
      <w:r>
        <w:rPr>
          <w:rFonts w:ascii="仿宋" w:eastAsia="仿宋" w:hAnsi="仿宋" w:hint="eastAsia"/>
          <w:sz w:val="24"/>
        </w:rPr>
        <w:t>20、人员安全：具备UVC紫外消毒系统。消毒系统可</w:t>
      </w:r>
      <w:proofErr w:type="gramStart"/>
      <w:r>
        <w:rPr>
          <w:rFonts w:ascii="仿宋" w:eastAsia="仿宋" w:hAnsi="仿宋" w:hint="eastAsia"/>
          <w:sz w:val="24"/>
        </w:rPr>
        <w:t>预设置</w:t>
      </w:r>
      <w:proofErr w:type="gramEnd"/>
      <w:r>
        <w:rPr>
          <w:rFonts w:ascii="仿宋" w:eastAsia="仿宋" w:hAnsi="仿宋" w:hint="eastAsia"/>
          <w:sz w:val="24"/>
        </w:rPr>
        <w:t>≥2种消毒模式；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21、制冷剂：采用环保制冷剂；</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22、最大可切片样品尺寸：50 mm x 80 mm；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23.</w:t>
      </w:r>
      <w:proofErr w:type="gramStart"/>
      <w:r>
        <w:rPr>
          <w:rFonts w:ascii="仿宋" w:eastAsia="仿宋" w:hAnsi="仿宋" w:hint="eastAsia"/>
          <w:sz w:val="24"/>
        </w:rPr>
        <w:t>具备滑窗加热</w:t>
      </w:r>
      <w:proofErr w:type="gramEnd"/>
      <w:r>
        <w:rPr>
          <w:rFonts w:ascii="仿宋" w:eastAsia="仿宋" w:hAnsi="仿宋" w:hint="eastAsia"/>
          <w:sz w:val="24"/>
        </w:rPr>
        <w:t>功能；</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24、可选配CN, CNZ刀架，可适配钢刀与钨钢刀，并可选择配置手托，可适应不同的样本组织。</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25、配置清单：</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25.1、冷冻切片机主机：1台；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25.2、手轮：1个；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25.3、样品托：5个；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25.4、切片废物槽：1个；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25.5、速冻架定位架：1个；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25.6、速冻</w:t>
      </w:r>
      <w:proofErr w:type="gramStart"/>
      <w:r>
        <w:rPr>
          <w:rFonts w:ascii="仿宋" w:eastAsia="仿宋" w:hAnsi="仿宋" w:hint="eastAsia"/>
          <w:sz w:val="24"/>
        </w:rPr>
        <w:t>架保护</w:t>
      </w:r>
      <w:proofErr w:type="gramEnd"/>
      <w:r>
        <w:rPr>
          <w:rFonts w:ascii="仿宋" w:eastAsia="仿宋" w:hAnsi="仿宋" w:hint="eastAsia"/>
          <w:sz w:val="24"/>
        </w:rPr>
        <w:t>盖：1个；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25.7、冷冻切片机机油，50 ml：1个；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25.8、冷冻包埋剂，125 ml：1个；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25.9、冷冻切片用安全手套：1个；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25.10、常规刀架：1套；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25.11、CNZ刀架：1套；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25.12、温控样品头：1个；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25.13、防卷板：1个；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25.14、配套刀片：5套。</w:t>
      </w:r>
    </w:p>
    <w:p w:rsidR="00497C69" w:rsidRDefault="00497C69" w:rsidP="00497C69">
      <w:pPr>
        <w:spacing w:line="360" w:lineRule="auto"/>
        <w:jc w:val="center"/>
        <w:rPr>
          <w:rFonts w:ascii="仿宋" w:eastAsia="仿宋" w:hAnsi="仿宋"/>
          <w:b/>
          <w:sz w:val="24"/>
        </w:rPr>
        <w:sectPr w:rsidR="00497C69">
          <w:headerReference w:type="default" r:id="rId10"/>
          <w:pgSz w:w="11907" w:h="16840"/>
          <w:pgMar w:top="1418" w:right="1134" w:bottom="1418" w:left="1701" w:header="851" w:footer="851" w:gutter="0"/>
          <w:cols w:space="720"/>
          <w:docGrid w:linePitch="462"/>
        </w:sectPr>
      </w:pPr>
    </w:p>
    <w:p w:rsidR="00497C69" w:rsidRDefault="00497C69" w:rsidP="00497C6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品目1-4</w:t>
      </w:r>
      <w:r>
        <w:rPr>
          <w:rFonts w:ascii="仿宋" w:eastAsia="仿宋" w:hAnsi="仿宋" w:hint="eastAsia"/>
          <w:b/>
          <w:sz w:val="24"/>
        </w:rPr>
        <w:tab/>
        <w:t>数字</w:t>
      </w:r>
      <w:proofErr w:type="gramStart"/>
      <w:r>
        <w:rPr>
          <w:rFonts w:ascii="仿宋" w:eastAsia="仿宋" w:hAnsi="仿宋" w:hint="eastAsia"/>
          <w:b/>
          <w:sz w:val="24"/>
        </w:rPr>
        <w:t>玻</w:t>
      </w:r>
      <w:proofErr w:type="gramEnd"/>
      <w:r>
        <w:rPr>
          <w:rFonts w:ascii="仿宋" w:eastAsia="仿宋" w:hAnsi="仿宋" w:hint="eastAsia"/>
          <w:b/>
          <w:sz w:val="24"/>
        </w:rPr>
        <w:t>片扫描仪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（一）技术参数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1、系统主机采用一体化封闭式设计；</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▲2、扫描原理：面阵扫描；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3、聚焦方式：触点接触载玻片聚焦，不为物镜聚焦；</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4、支持≥2个片</w:t>
      </w:r>
      <w:proofErr w:type="gramStart"/>
      <w:r>
        <w:rPr>
          <w:rFonts w:ascii="仿宋" w:eastAsia="仿宋" w:hAnsi="仿宋" w:hint="eastAsia"/>
          <w:sz w:val="24"/>
        </w:rPr>
        <w:t>夹同时</w:t>
      </w:r>
      <w:proofErr w:type="gramEnd"/>
      <w:r>
        <w:rPr>
          <w:rFonts w:ascii="仿宋" w:eastAsia="仿宋" w:hAnsi="仿宋" w:hint="eastAsia"/>
          <w:sz w:val="24"/>
        </w:rPr>
        <w:t>工作；</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5、单次可装载≥20张切片，自动加载、卸载切片，兼容20张切片容量的主流品牌染色机篮筐；</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▲6、物镜电动转换：4物镜孔位，</w:t>
      </w:r>
      <w:proofErr w:type="gramStart"/>
      <w:r>
        <w:rPr>
          <w:rFonts w:ascii="仿宋" w:eastAsia="仿宋" w:hAnsi="仿宋" w:hint="eastAsia"/>
          <w:sz w:val="24"/>
        </w:rPr>
        <w:t>标配2个</w:t>
      </w:r>
      <w:proofErr w:type="gramEnd"/>
      <w:r>
        <w:rPr>
          <w:rFonts w:ascii="仿宋" w:eastAsia="仿宋" w:hAnsi="仿宋" w:hint="eastAsia"/>
          <w:sz w:val="24"/>
        </w:rPr>
        <w:t>物镜，分别为平场复消色差物镜20倍，数值孔径N.A.≥0.8；高品质进口平场复消色差物镜40倍，数值孔径N.A.≥0.95；</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7、扫描分辨率：20X物镜图像分辨率≤0.22μm/pixel，40X物镜图像分辨率≤0.11μm/pixel；</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8、扫描速度：扫描15mm×15mm组织区域并满足图像分辨率≤0.25μm/pixel条件下，扫描时间≤40秒；</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9、荧光扫描：具备荧光接口，可安装≥10通道的荧光转盘；</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10、自动聚焦、无需提前预览或划定扫描区域；</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11、激光检测切片位置，自动跳过空位；</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12、扫描区域：自动识别有效组织形状，并只</w:t>
      </w:r>
      <w:proofErr w:type="gramStart"/>
      <w:r>
        <w:rPr>
          <w:rFonts w:ascii="仿宋" w:eastAsia="仿宋" w:hAnsi="仿宋" w:hint="eastAsia"/>
          <w:sz w:val="24"/>
        </w:rPr>
        <w:t>沿组织</w:t>
      </w:r>
      <w:proofErr w:type="gramEnd"/>
      <w:r>
        <w:rPr>
          <w:rFonts w:ascii="仿宋" w:eastAsia="仿宋" w:hAnsi="仿宋" w:hint="eastAsia"/>
          <w:sz w:val="24"/>
        </w:rPr>
        <w:t>边缘对有效组织部分进行扫描，而非矩形区域扫描；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13、区域导入：具有导入预定义扫描区域模板的功能；</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14、标签采集：具有自动采集</w:t>
      </w:r>
      <w:proofErr w:type="gramStart"/>
      <w:r>
        <w:rPr>
          <w:rFonts w:ascii="仿宋" w:eastAsia="仿宋" w:hAnsi="仿宋" w:hint="eastAsia"/>
          <w:sz w:val="24"/>
        </w:rPr>
        <w:t>玻</w:t>
      </w:r>
      <w:proofErr w:type="gramEnd"/>
      <w:r>
        <w:rPr>
          <w:rFonts w:ascii="仿宋" w:eastAsia="仿宋" w:hAnsi="仿宋" w:hint="eastAsia"/>
          <w:sz w:val="24"/>
        </w:rPr>
        <w:t>片标签功能，并可对图像进行90度旋转；</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15、扫描边界扩展：具有扩展扫描区域边界的功能；</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16、实时预览功能：可在扫描进行前预览指定的标本区域，并对预览图像可以截图保存；</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17、多层扫描：具备多层融合和多层堆叠两种多层扫描模式，用于较厚样本或厚薄不均匀的样本扫描，提高图像质量；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18、具备多层融合扫描，扫描层数≥30层，层间距范围1-10step，Z轴扫描精度≤0.2μm/step；</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19、扫描预览功能，扫描过程中，在显示器上可以看到扫描切片的编号，以及切片扫描的区域位置；</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20、浏览中图像改名：支持对浏览中的数字图像改名；</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21、扫描相机：≥2448×2048像素；</w:t>
      </w:r>
      <w:proofErr w:type="gramStart"/>
      <w:r>
        <w:rPr>
          <w:rFonts w:ascii="仿宋" w:eastAsia="仿宋" w:hAnsi="仿宋" w:hint="eastAsia"/>
          <w:sz w:val="24"/>
        </w:rPr>
        <w:t>帧率</w:t>
      </w:r>
      <w:proofErr w:type="gramEnd"/>
      <w:r>
        <w:rPr>
          <w:rFonts w:ascii="仿宋" w:eastAsia="仿宋" w:hAnsi="仿宋" w:hint="eastAsia"/>
          <w:sz w:val="24"/>
        </w:rPr>
        <w:t>≥75 FPS；CMOS传感器；像素尺寸≤3.45um×3.45um；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22、截图功能：可根据要求截图≥600DPI分辨率的图像；</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23、同屏对比功能：具有多幅图像同步功能，同时控制缩放、移动、旋转等功能；</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24、软件包含区域分割、HE定量分析、IHC定量分析、细胞膜定量分析等模块；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25、分析软件为中文操作界面，界面简洁清晰；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26、图像转换：支持明场图像转换为荧光图像。（需提供软件界面截图证明）；</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27、具备多切片批量分析功能；</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28、在IHC定量分析中可输出≥30种结果指标；</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29、可根据不同类型的细胞大小设置不同的细胞膜半径；（需提供软件界面截图证明）；</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▲30、分析软件应与扫描仪主机为同一品牌，保证最佳兼容性。</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（二）配置清单：</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1、全景扫描分析系统主机：1套；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2、分析工作站：1套；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3、扫描控制软件：1套；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4、图像浏览软件：1套；</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5、定量分析软件：1套。</w:t>
      </w:r>
    </w:p>
    <w:p w:rsidR="00497C69" w:rsidRDefault="00497C69" w:rsidP="00497C69">
      <w:pPr>
        <w:spacing w:line="360" w:lineRule="auto"/>
        <w:jc w:val="center"/>
        <w:rPr>
          <w:rFonts w:ascii="仿宋" w:eastAsia="仿宋" w:hAnsi="仿宋"/>
          <w:b/>
          <w:sz w:val="24"/>
        </w:rPr>
        <w:sectPr w:rsidR="00497C69">
          <w:headerReference w:type="default" r:id="rId11"/>
          <w:pgSz w:w="11907" w:h="16840"/>
          <w:pgMar w:top="1418" w:right="1134" w:bottom="1418" w:left="1701" w:header="851" w:footer="851" w:gutter="0"/>
          <w:cols w:space="720"/>
          <w:docGrid w:linePitch="462"/>
        </w:sectPr>
      </w:pPr>
    </w:p>
    <w:p w:rsidR="00497C69" w:rsidRDefault="00497C69" w:rsidP="00497C69">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品目1-5</w:t>
      </w:r>
      <w:r>
        <w:rPr>
          <w:rFonts w:ascii="仿宋" w:eastAsia="仿宋" w:hAnsi="仿宋" w:hint="eastAsia"/>
          <w:b/>
          <w:sz w:val="24"/>
        </w:rPr>
        <w:tab/>
        <w:t>超低温冷冻储存箱</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（一）技术参数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1、容积≥670L；</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2、外形尺寸：最大宽度≤1100mm, 最大深度≤1030mm；</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3、运行功率≤650W；</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4、储存温度：-40～-86℃；</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5、样式：立式，单门，内外双层保温门，内部四层，内部可调式不锈钢层架；</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▲6、控制系统：采用不小于7英寸电容触控屏控制系统，液晶屏动态实时显示运行温度、系统设定温度、环境温度、报警状态与管理、时间等参数信息，可</w:t>
      </w:r>
      <w:proofErr w:type="gramStart"/>
      <w:r>
        <w:rPr>
          <w:rFonts w:ascii="仿宋" w:eastAsia="仿宋" w:hAnsi="仿宋" w:hint="eastAsia"/>
          <w:sz w:val="24"/>
        </w:rPr>
        <w:t>连接蓝牙与</w:t>
      </w:r>
      <w:proofErr w:type="spellStart"/>
      <w:proofErr w:type="gramEnd"/>
      <w:r>
        <w:rPr>
          <w:rFonts w:ascii="仿宋" w:eastAsia="仿宋" w:hAnsi="仿宋" w:hint="eastAsia"/>
          <w:sz w:val="24"/>
        </w:rPr>
        <w:t>WiFi</w:t>
      </w:r>
      <w:proofErr w:type="spellEnd"/>
      <w:r>
        <w:rPr>
          <w:rFonts w:ascii="仿宋" w:eastAsia="仿宋" w:hAnsi="仿宋" w:hint="eastAsia"/>
          <w:sz w:val="24"/>
        </w:rPr>
        <w:t>；</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7、报警模式：具备高低温、开门、电压异常、传感器故障、断电报警、高环温报警、冷凝器散热差、系统故障等声光报警，物品存储更安全；</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▲8、制冷系统：双系统运行, 单系统故障时，另一个系统可以维持温度≤-77℃（需提供具有CMA资质机构的检测报告作为证明）；</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9、温度均匀性:≤3℃（需提供具有CMA资质机构的检测报告作为证明）；</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10、断电回温: 产品断电后,冰箱从-80℃升温至-50℃所需时间不低于310分钟（需提供具有CMA资质机构的检测报告作为证明）；</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11、存储容量：可置放5*5规格</w:t>
      </w:r>
      <w:proofErr w:type="gramStart"/>
      <w:r>
        <w:rPr>
          <w:rFonts w:ascii="仿宋" w:eastAsia="仿宋" w:hAnsi="仿宋" w:hint="eastAsia"/>
          <w:sz w:val="24"/>
        </w:rPr>
        <w:t>冻存架不</w:t>
      </w:r>
      <w:proofErr w:type="gramEnd"/>
      <w:r>
        <w:rPr>
          <w:rFonts w:ascii="仿宋" w:eastAsia="仿宋" w:hAnsi="仿宋" w:hint="eastAsia"/>
          <w:sz w:val="24"/>
        </w:rPr>
        <w:t>低于20组，可存储2英寸标准冻</w:t>
      </w:r>
      <w:proofErr w:type="gramStart"/>
      <w:r>
        <w:rPr>
          <w:rFonts w:ascii="仿宋" w:eastAsia="仿宋" w:hAnsi="仿宋" w:hint="eastAsia"/>
          <w:sz w:val="24"/>
        </w:rPr>
        <w:t>存盒不</w:t>
      </w:r>
      <w:proofErr w:type="gramEnd"/>
      <w:r>
        <w:rPr>
          <w:rFonts w:ascii="仿宋" w:eastAsia="仿宋" w:hAnsi="仿宋" w:hint="eastAsia"/>
          <w:sz w:val="24"/>
        </w:rPr>
        <w:t>少于500个；</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12、数据存储与导出：配置动态数据存储芯片，记录箱内实际温度、设定温度、高低温报警温度、环境温度、运行状态等数据10年以上；</w:t>
      </w:r>
      <w:proofErr w:type="gramStart"/>
      <w:r>
        <w:rPr>
          <w:rFonts w:ascii="仿宋" w:eastAsia="仿宋" w:hAnsi="仿宋" w:hint="eastAsia"/>
          <w:sz w:val="24"/>
        </w:rPr>
        <w:t>标配</w:t>
      </w:r>
      <w:proofErr w:type="gramEnd"/>
      <w:r>
        <w:rPr>
          <w:rFonts w:ascii="仿宋" w:eastAsia="仿宋" w:hAnsi="仿宋" w:hint="eastAsia"/>
          <w:sz w:val="24"/>
        </w:rPr>
        <w:t>USB数据导出接口，可即时导出温度运行数据；</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13、保温材料：采用VIP真空绝热材料，厚度≥20mm，箱体发泡层≥130mm。4个发泡压紧内门，双层发泡保温外门，外门4道密封，内门两道门封，整机6道门封；</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14、单臂助力把手，箱体锁和外挂锁设置，双重保护；</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15、</w:t>
      </w:r>
      <w:proofErr w:type="gramStart"/>
      <w:r>
        <w:rPr>
          <w:rFonts w:ascii="仿宋" w:eastAsia="仿宋" w:hAnsi="仿宋" w:hint="eastAsia"/>
          <w:sz w:val="24"/>
        </w:rPr>
        <w:t>标配蓄电池</w:t>
      </w:r>
      <w:proofErr w:type="gramEnd"/>
      <w:r>
        <w:rPr>
          <w:rFonts w:ascii="仿宋" w:eastAsia="仿宋" w:hAnsi="仿宋" w:hint="eastAsia"/>
          <w:sz w:val="24"/>
        </w:rPr>
        <w:t>，可提供报警及为USB供电；</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lastRenderedPageBreak/>
        <w:t>▲16、提供中国质量认证中心出具的节能认证证书和环保认证证书（原件备查，并提供CQC网站截图及网址备查)。</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（二）配置清单：</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1、主机：1台；</w:t>
      </w:r>
    </w:p>
    <w:p w:rsidR="00497C69" w:rsidRDefault="00497C69" w:rsidP="00497C69">
      <w:pPr>
        <w:tabs>
          <w:tab w:val="left" w:pos="900"/>
        </w:tabs>
        <w:spacing w:beforeLines="50" w:before="120" w:line="360" w:lineRule="auto"/>
        <w:jc w:val="left"/>
        <w:rPr>
          <w:rFonts w:ascii="仿宋" w:eastAsia="仿宋" w:hAnsi="仿宋"/>
          <w:sz w:val="24"/>
        </w:rPr>
      </w:pPr>
      <w:r>
        <w:rPr>
          <w:rFonts w:ascii="仿宋" w:eastAsia="仿宋" w:hAnsi="仿宋" w:hint="eastAsia"/>
          <w:sz w:val="24"/>
        </w:rPr>
        <w:t>2、钥匙：1套。</w:t>
      </w:r>
    </w:p>
    <w:p w:rsidR="00497C69" w:rsidRDefault="00497C69" w:rsidP="00497C69">
      <w:pPr>
        <w:spacing w:line="360" w:lineRule="auto"/>
        <w:jc w:val="center"/>
        <w:rPr>
          <w:rFonts w:ascii="仿宋" w:eastAsia="仿宋" w:hAnsi="仿宋"/>
          <w:b/>
          <w:sz w:val="24"/>
        </w:rPr>
        <w:sectPr w:rsidR="00497C69">
          <w:headerReference w:type="default" r:id="rId12"/>
          <w:pgSz w:w="11907" w:h="16840"/>
          <w:pgMar w:top="1418" w:right="1134" w:bottom="1418" w:left="1701" w:header="851" w:footer="851" w:gutter="0"/>
          <w:cols w:space="720"/>
          <w:docGrid w:linePitch="462"/>
        </w:sectPr>
      </w:pPr>
    </w:p>
    <w:p w:rsidR="00497C69" w:rsidRDefault="00497C69" w:rsidP="00497C69">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lastRenderedPageBreak/>
        <w:t>品目1-6</w:t>
      </w:r>
      <w:r>
        <w:rPr>
          <w:rFonts w:ascii="仿宋" w:eastAsia="仿宋" w:hAnsi="仿宋" w:hint="eastAsia"/>
          <w:b/>
          <w:sz w:val="24"/>
        </w:rPr>
        <w:tab/>
        <w:t>医用冷藏冷冻箱</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（一）技术参数</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1、容积≥400L，其中冷藏室容积不低于200L，冷冻室容积不低于200L；</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2、外形尺寸：最大宽度≤820mm, 最大深度≤750mm；</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3、整机运行功率≤280W；</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4、储存温度: 冷藏2～8℃，冷冻-10～-26℃可调可控；</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▲5、噪音≤40dB(A)；</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6、样式:立式，上下双门，冷藏室带电加热防凝露可视窗，底部四个脚轮；</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7、控制系统：数码温度显示，上下室温度左右分区独立显示，微电脑温度控制系统，显示精度0.1℃；</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 xml:space="preserve">8、制冷系统：双压缩机双系统，冷藏和冷冻室可独立控制运行；采用环保制冷剂； </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9、温度均匀性：冷藏室、冷冻室均匀性≤1℃（需提供具有CMA资质机构的检测报告作为证明）；</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10、内部配置:冷藏室内多组钢丝搁架，间距可调节，易于清洗；冷冻室配置抽屉；</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11、报警功能：具有蜂鸣报警和灯光闪烁两种报警方式，可实现高低温报警、传感故障报警、断电报警、电池电量低报警、通讯故障、开门报警等多重故障报警；</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12、保温结构：箱体保温材料厚度≥80mm；</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13、安全门锁：箱体配锁，可一锁同时锁住上下室；</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14、数据存储与导出：</w:t>
      </w:r>
      <w:proofErr w:type="gramStart"/>
      <w:r>
        <w:rPr>
          <w:rFonts w:ascii="仿宋" w:eastAsia="仿宋" w:hAnsi="仿宋" w:hint="eastAsia"/>
          <w:sz w:val="24"/>
        </w:rPr>
        <w:t>标配</w:t>
      </w:r>
      <w:proofErr w:type="gramEnd"/>
      <w:r>
        <w:rPr>
          <w:rFonts w:ascii="仿宋" w:eastAsia="仿宋" w:hAnsi="仿宋" w:hint="eastAsia"/>
          <w:sz w:val="24"/>
        </w:rPr>
        <w:t>USB数据导出接口，接入U盘可自动存储当月及上月数据，数据输出PDF格式（中英文格式可选)。</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（二）配置清单：</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lastRenderedPageBreak/>
        <w:t>1、主机：1台；</w:t>
      </w:r>
    </w:p>
    <w:p w:rsidR="00497C69" w:rsidRDefault="00497C69" w:rsidP="00497C69">
      <w:pPr>
        <w:tabs>
          <w:tab w:val="left" w:pos="900"/>
        </w:tabs>
        <w:spacing w:beforeLines="50" w:before="156" w:line="360" w:lineRule="auto"/>
        <w:jc w:val="left"/>
        <w:rPr>
          <w:rFonts w:ascii="仿宋" w:eastAsia="仿宋" w:hAnsi="仿宋"/>
          <w:sz w:val="24"/>
        </w:rPr>
      </w:pPr>
      <w:r>
        <w:rPr>
          <w:rFonts w:ascii="仿宋" w:eastAsia="仿宋" w:hAnsi="仿宋" w:hint="eastAsia"/>
          <w:sz w:val="24"/>
        </w:rPr>
        <w:t>2、钥匙：1套。</w:t>
      </w:r>
    </w:p>
    <w:p w:rsidR="0058516A" w:rsidRDefault="0058516A">
      <w:bookmarkStart w:id="0" w:name="_GoBack"/>
      <w:bookmarkEnd w:id="0"/>
    </w:p>
    <w:sectPr w:rsidR="00585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501" w:rsidRDefault="00497501" w:rsidP="00497C69">
      <w:r>
        <w:separator/>
      </w:r>
    </w:p>
  </w:endnote>
  <w:endnote w:type="continuationSeparator" w:id="0">
    <w:p w:rsidR="00497501" w:rsidRDefault="00497501" w:rsidP="00497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501" w:rsidRDefault="00497501" w:rsidP="00497C69">
      <w:r>
        <w:separator/>
      </w:r>
    </w:p>
  </w:footnote>
  <w:footnote w:type="continuationSeparator" w:id="0">
    <w:p w:rsidR="00497501" w:rsidRDefault="00497501" w:rsidP="00497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69" w:rsidRDefault="00497C69">
    <w:pPr>
      <w:pStyle w:val="a3"/>
      <w:pBdr>
        <w:bottom w:val="none" w:sz="0" w:space="1" w:color="auto"/>
      </w:pBdr>
      <w:ind w:left="84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69" w:rsidRDefault="00497C69">
    <w:pPr>
      <w:pStyle w:val="a3"/>
      <w:pBdr>
        <w:bottom w:val="none" w:sz="0" w:space="1" w:color="auto"/>
      </w:pBdr>
      <w:ind w:left="840" w:hanging="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69" w:rsidRDefault="00497C69">
    <w:pPr>
      <w:pStyle w:val="a3"/>
      <w:pBdr>
        <w:bottom w:val="none" w:sz="0" w:space="1" w:color="auto"/>
      </w:pBdr>
      <w:ind w:left="840" w:hanging="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69" w:rsidRDefault="00497C69">
    <w:pPr>
      <w:pStyle w:val="a3"/>
      <w:pBdr>
        <w:bottom w:val="none" w:sz="0" w:space="1" w:color="auto"/>
      </w:pBdr>
      <w:ind w:left="840" w:hanging="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C69" w:rsidRDefault="00497C69">
    <w:pPr>
      <w:pStyle w:val="a3"/>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9BB"/>
    <w:rsid w:val="00497501"/>
    <w:rsid w:val="00497C69"/>
    <w:rsid w:val="0058516A"/>
    <w:rsid w:val="0063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C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97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C69"/>
    <w:rPr>
      <w:sz w:val="18"/>
      <w:szCs w:val="18"/>
    </w:rPr>
  </w:style>
  <w:style w:type="paragraph" w:styleId="a4">
    <w:name w:val="footer"/>
    <w:basedOn w:val="a"/>
    <w:link w:val="Char0"/>
    <w:uiPriority w:val="99"/>
    <w:unhideWhenUsed/>
    <w:rsid w:val="00497C69"/>
    <w:pPr>
      <w:tabs>
        <w:tab w:val="center" w:pos="4153"/>
        <w:tab w:val="right" w:pos="8306"/>
      </w:tabs>
      <w:snapToGrid w:val="0"/>
      <w:jc w:val="left"/>
    </w:pPr>
    <w:rPr>
      <w:sz w:val="18"/>
      <w:szCs w:val="18"/>
    </w:rPr>
  </w:style>
  <w:style w:type="character" w:customStyle="1" w:styleId="Char0">
    <w:name w:val="页脚 Char"/>
    <w:basedOn w:val="a0"/>
    <w:link w:val="a4"/>
    <w:uiPriority w:val="99"/>
    <w:rsid w:val="00497C69"/>
    <w:rPr>
      <w:sz w:val="18"/>
      <w:szCs w:val="18"/>
    </w:rPr>
  </w:style>
  <w:style w:type="paragraph" w:styleId="a5">
    <w:name w:val="Plain Text"/>
    <w:basedOn w:val="a"/>
    <w:link w:val="Char1"/>
    <w:qFormat/>
    <w:rsid w:val="00497C69"/>
    <w:rPr>
      <w:rFonts w:ascii="宋体" w:hAnsi="Courier New" w:hint="eastAsia"/>
      <w:szCs w:val="20"/>
    </w:rPr>
  </w:style>
  <w:style w:type="character" w:customStyle="1" w:styleId="Char1">
    <w:name w:val="纯文本 Char"/>
    <w:basedOn w:val="a0"/>
    <w:link w:val="a5"/>
    <w:qFormat/>
    <w:rsid w:val="00497C69"/>
    <w:rPr>
      <w:rFonts w:ascii="宋体" w:eastAsia="宋体" w:hAnsi="Courier New" w:cs="Times New Roman"/>
      <w:szCs w:val="20"/>
    </w:rPr>
  </w:style>
  <w:style w:type="character" w:styleId="a6">
    <w:name w:val="annotation reference"/>
    <w:uiPriority w:val="99"/>
    <w:qFormat/>
    <w:rsid w:val="00497C69"/>
    <w:rPr>
      <w:sz w:val="21"/>
      <w:szCs w:val="21"/>
    </w:rPr>
  </w:style>
  <w:style w:type="character" w:customStyle="1" w:styleId="Char10">
    <w:name w:val="页眉 Char1"/>
    <w:qFormat/>
    <w:rsid w:val="00497C69"/>
    <w:rPr>
      <w:rFonts w:eastAsia="宋体"/>
      <w:kern w:val="2"/>
      <w:sz w:val="18"/>
      <w:szCs w:val="18"/>
      <w:lang w:val="en-US" w:eastAsia="zh-CN" w:bidi="ar-SA"/>
    </w:rPr>
  </w:style>
  <w:style w:type="paragraph" w:customStyle="1" w:styleId="SOW">
    <w:name w:val="SOW正文"/>
    <w:basedOn w:val="a"/>
    <w:qFormat/>
    <w:rsid w:val="00497C69"/>
    <w:pPr>
      <w:snapToGrid w:val="0"/>
      <w:spacing w:before="120" w:line="400" w:lineRule="exact"/>
      <w:ind w:firstLine="425"/>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C6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97C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7C69"/>
    <w:rPr>
      <w:sz w:val="18"/>
      <w:szCs w:val="18"/>
    </w:rPr>
  </w:style>
  <w:style w:type="paragraph" w:styleId="a4">
    <w:name w:val="footer"/>
    <w:basedOn w:val="a"/>
    <w:link w:val="Char0"/>
    <w:uiPriority w:val="99"/>
    <w:unhideWhenUsed/>
    <w:rsid w:val="00497C69"/>
    <w:pPr>
      <w:tabs>
        <w:tab w:val="center" w:pos="4153"/>
        <w:tab w:val="right" w:pos="8306"/>
      </w:tabs>
      <w:snapToGrid w:val="0"/>
      <w:jc w:val="left"/>
    </w:pPr>
    <w:rPr>
      <w:sz w:val="18"/>
      <w:szCs w:val="18"/>
    </w:rPr>
  </w:style>
  <w:style w:type="character" w:customStyle="1" w:styleId="Char0">
    <w:name w:val="页脚 Char"/>
    <w:basedOn w:val="a0"/>
    <w:link w:val="a4"/>
    <w:uiPriority w:val="99"/>
    <w:rsid w:val="00497C69"/>
    <w:rPr>
      <w:sz w:val="18"/>
      <w:szCs w:val="18"/>
    </w:rPr>
  </w:style>
  <w:style w:type="paragraph" w:styleId="a5">
    <w:name w:val="Plain Text"/>
    <w:basedOn w:val="a"/>
    <w:link w:val="Char1"/>
    <w:qFormat/>
    <w:rsid w:val="00497C69"/>
    <w:rPr>
      <w:rFonts w:ascii="宋体" w:hAnsi="Courier New" w:hint="eastAsia"/>
      <w:szCs w:val="20"/>
    </w:rPr>
  </w:style>
  <w:style w:type="character" w:customStyle="1" w:styleId="Char1">
    <w:name w:val="纯文本 Char"/>
    <w:basedOn w:val="a0"/>
    <w:link w:val="a5"/>
    <w:qFormat/>
    <w:rsid w:val="00497C69"/>
    <w:rPr>
      <w:rFonts w:ascii="宋体" w:eastAsia="宋体" w:hAnsi="Courier New" w:cs="Times New Roman"/>
      <w:szCs w:val="20"/>
    </w:rPr>
  </w:style>
  <w:style w:type="character" w:styleId="a6">
    <w:name w:val="annotation reference"/>
    <w:uiPriority w:val="99"/>
    <w:qFormat/>
    <w:rsid w:val="00497C69"/>
    <w:rPr>
      <w:sz w:val="21"/>
      <w:szCs w:val="21"/>
    </w:rPr>
  </w:style>
  <w:style w:type="character" w:customStyle="1" w:styleId="Char10">
    <w:name w:val="页眉 Char1"/>
    <w:qFormat/>
    <w:rsid w:val="00497C69"/>
    <w:rPr>
      <w:rFonts w:eastAsia="宋体"/>
      <w:kern w:val="2"/>
      <w:sz w:val="18"/>
      <w:szCs w:val="18"/>
      <w:lang w:val="en-US" w:eastAsia="zh-CN" w:bidi="ar-SA"/>
    </w:rPr>
  </w:style>
  <w:style w:type="paragraph" w:customStyle="1" w:styleId="SOW">
    <w:name w:val="SOW正文"/>
    <w:basedOn w:val="a"/>
    <w:qFormat/>
    <w:rsid w:val="00497C69"/>
    <w:pPr>
      <w:snapToGrid w:val="0"/>
      <w:spacing w:before="120" w:line="400" w:lineRule="exact"/>
      <w:ind w:firstLine="425"/>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2051</Words>
  <Characters>11693</Characters>
  <Application>Microsoft Office Word</Application>
  <DocSecurity>0</DocSecurity>
  <Lines>97</Lines>
  <Paragraphs>27</Paragraphs>
  <ScaleCrop>false</ScaleCrop>
  <Company/>
  <LinksUpToDate>false</LinksUpToDate>
  <CharactersWithSpaces>13717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2025-11-03T03:27:00Z</dcterms:created>
  <dcterms:modified xsi:type="dcterms:W3CDTF">2025-11-03T03:28:00Z</dcterms:modified>
</cp:coreProperties>
</file>