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A9F75">
      <w:pPr>
        <w:pageBreakBefore w:val="0"/>
        <w:wordWrap/>
        <w:topLinePunct w:val="0"/>
        <w:bidi w:val="0"/>
        <w:snapToGrid w:val="0"/>
        <w:spacing w:line="360" w:lineRule="auto"/>
        <w:jc w:val="center"/>
        <w:outlineLvl w:val="0"/>
        <w:rPr>
          <w:rFonts w:ascii="宋体" w:hAnsi="宋体"/>
          <w:b/>
          <w:sz w:val="36"/>
          <w:szCs w:val="36"/>
          <w:highlight w:val="none"/>
        </w:rPr>
      </w:pPr>
      <w:bookmarkStart w:id="0" w:name="_Toc97371945"/>
      <w:bookmarkStart w:id="1" w:name="_Toc8338"/>
      <w:bookmarkStart w:id="2" w:name="_Toc15638"/>
      <w:bookmarkStart w:id="3" w:name="_Toc1819"/>
      <w:r>
        <w:rPr>
          <w:rFonts w:ascii="宋体" w:hAnsi="宋体"/>
          <w:b/>
          <w:sz w:val="36"/>
          <w:szCs w:val="36"/>
          <w:highlight w:val="none"/>
        </w:rPr>
        <w:t>第四章   采购需求</w:t>
      </w:r>
      <w:bookmarkEnd w:id="0"/>
      <w:bookmarkEnd w:id="1"/>
      <w:bookmarkEnd w:id="2"/>
      <w:bookmarkEnd w:id="3"/>
    </w:p>
    <w:p w14:paraId="711B064E">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4"/>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一、基本情况</w:t>
      </w:r>
      <w:bookmarkStart w:id="4" w:name="_GoBack"/>
      <w:bookmarkEnd w:id="4"/>
    </w:p>
    <w:p w14:paraId="14CCB673">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highlight w:val="none"/>
        </w:rPr>
      </w:pPr>
      <w:r>
        <w:rPr>
          <w:rFonts w:hint="eastAsia" w:ascii="仿宋" w:hAnsi="仿宋" w:eastAsia="仿宋"/>
          <w:sz w:val="28"/>
          <w:szCs w:val="28"/>
          <w:highlight w:val="none"/>
        </w:rPr>
        <w:t>本工程为</w:t>
      </w:r>
      <w:r>
        <w:rPr>
          <w:rFonts w:hint="eastAsia" w:ascii="仿宋" w:hAnsi="仿宋" w:eastAsia="仿宋"/>
          <w:sz w:val="28"/>
          <w:szCs w:val="28"/>
          <w:highlight w:val="none"/>
          <w:lang w:eastAsia="zh-CN"/>
        </w:rPr>
        <w:t>北京警察学院大礼堂屋面防水维修改造</w:t>
      </w:r>
      <w:r>
        <w:rPr>
          <w:rFonts w:hint="eastAsia" w:ascii="仿宋" w:hAnsi="仿宋" w:eastAsia="仿宋"/>
          <w:sz w:val="28"/>
          <w:szCs w:val="28"/>
          <w:highlight w:val="none"/>
        </w:rPr>
        <w:t>。位于北京市</w:t>
      </w:r>
      <w:r>
        <w:rPr>
          <w:rFonts w:hint="eastAsia" w:ascii="仿宋" w:hAnsi="仿宋" w:eastAsia="仿宋"/>
          <w:sz w:val="28"/>
          <w:szCs w:val="28"/>
          <w:highlight w:val="none"/>
          <w:lang w:val="en-US" w:eastAsia="zh-CN"/>
        </w:rPr>
        <w:t>昌平区</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本工程</w:t>
      </w:r>
      <w:r>
        <w:rPr>
          <w:rFonts w:hint="eastAsia" w:ascii="仿宋" w:hAnsi="仿宋" w:eastAsia="仿宋"/>
          <w:sz w:val="28"/>
          <w:szCs w:val="28"/>
          <w:highlight w:val="none"/>
        </w:rPr>
        <w:t>范围</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屋面防水拆除及新做、采光天棚拆除及新做、屋面天沟及檐沟拆除及新做、落水管拆除及新做、柱饰面拆除及新做、石材墙面拆除及新做、平屋面拆除及新做、钢丝绳及钢架除锈刷漆、雨棚玻璃更换</w:t>
      </w:r>
      <w:r>
        <w:rPr>
          <w:rFonts w:hint="eastAsia" w:ascii="仿宋" w:hAnsi="仿宋" w:eastAsia="仿宋"/>
          <w:sz w:val="28"/>
          <w:szCs w:val="28"/>
          <w:highlight w:val="none"/>
        </w:rPr>
        <w:t>等。</w:t>
      </w:r>
    </w:p>
    <w:p w14:paraId="1973C7B2">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4"/>
        <w:textAlignment w:val="baseline"/>
        <w:rPr>
          <w:rFonts w:hint="eastAsia" w:ascii="仿宋" w:hAnsi="仿宋" w:eastAsia="仿宋" w:cs="仿宋"/>
          <w:sz w:val="28"/>
          <w:szCs w:val="28"/>
          <w:highlight w:val="none"/>
        </w:rPr>
      </w:pPr>
      <w:r>
        <w:rPr>
          <w:rFonts w:hint="eastAsia" w:ascii="仿宋" w:hAnsi="仿宋" w:eastAsia="仿宋" w:cs="仿宋"/>
          <w:spacing w:val="9"/>
          <w:sz w:val="28"/>
          <w:szCs w:val="28"/>
          <w:highlight w:val="none"/>
          <w:lang w:val="en-US" w:eastAsia="zh-CN"/>
        </w:rPr>
        <w:t>二</w:t>
      </w:r>
      <w:r>
        <w:rPr>
          <w:rFonts w:hint="eastAsia" w:ascii="仿宋" w:hAnsi="仿宋" w:eastAsia="仿宋" w:cs="仿宋"/>
          <w:spacing w:val="9"/>
          <w:sz w:val="28"/>
          <w:szCs w:val="28"/>
          <w:highlight w:val="none"/>
        </w:rPr>
        <w:t>、商务要求</w:t>
      </w:r>
    </w:p>
    <w:p w14:paraId="535F9C06">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spacing w:val="0"/>
          <w:sz w:val="28"/>
          <w:szCs w:val="28"/>
          <w:highlight w:val="none"/>
        </w:rPr>
      </w:pPr>
      <w:r>
        <w:rPr>
          <w:rFonts w:hint="eastAsia" w:ascii="仿宋" w:hAnsi="仿宋" w:eastAsia="仿宋"/>
          <w:spacing w:val="0"/>
          <w:sz w:val="28"/>
          <w:szCs w:val="28"/>
          <w:highlight w:val="none"/>
        </w:rPr>
        <w:t>1.计划实施时间：2025年11月(期限)额定工期</w:t>
      </w:r>
      <w:r>
        <w:rPr>
          <w:rFonts w:hint="eastAsia" w:ascii="仿宋" w:hAnsi="仿宋" w:eastAsia="仿宋"/>
          <w:spacing w:val="0"/>
          <w:sz w:val="28"/>
          <w:szCs w:val="28"/>
          <w:highlight w:val="none"/>
          <w:lang w:val="en-US" w:eastAsia="zh-CN"/>
        </w:rPr>
        <w:t>45</w:t>
      </w:r>
      <w:r>
        <w:rPr>
          <w:rFonts w:hint="eastAsia" w:ascii="仿宋" w:hAnsi="仿宋" w:eastAsia="仿宋"/>
          <w:spacing w:val="0"/>
          <w:sz w:val="28"/>
          <w:szCs w:val="28"/>
          <w:highlight w:val="none"/>
        </w:rPr>
        <w:t>天；</w:t>
      </w:r>
    </w:p>
    <w:p w14:paraId="041AD898">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sz w:val="28"/>
          <w:szCs w:val="28"/>
          <w:highlight w:val="none"/>
        </w:rPr>
      </w:pPr>
      <w:r>
        <w:rPr>
          <w:rFonts w:hint="eastAsia" w:ascii="仿宋" w:hAnsi="仿宋" w:eastAsia="仿宋"/>
          <w:spacing w:val="0"/>
          <w:sz w:val="28"/>
          <w:szCs w:val="28"/>
          <w:highlight w:val="none"/>
          <w:lang w:val="en-US" w:eastAsia="zh-CN"/>
        </w:rPr>
        <w:t>2.</w:t>
      </w:r>
      <w:r>
        <w:rPr>
          <w:rFonts w:hint="eastAsia" w:ascii="仿宋" w:hAnsi="仿宋" w:eastAsia="仿宋"/>
          <w:spacing w:val="0"/>
          <w:sz w:val="28"/>
          <w:szCs w:val="28"/>
          <w:highlight w:val="none"/>
        </w:rPr>
        <w:t>计划实施地点：</w:t>
      </w:r>
      <w:r>
        <w:rPr>
          <w:rFonts w:hint="eastAsia" w:ascii="仿宋" w:hAnsi="仿宋" w:eastAsia="仿宋" w:cs="Times New Roman"/>
          <w:spacing w:val="0"/>
          <w:sz w:val="28"/>
          <w:szCs w:val="28"/>
          <w:highlight w:val="none"/>
          <w:lang w:val="en-US" w:eastAsia="zh-CN"/>
        </w:rPr>
        <w:t>采购人指定地点</w:t>
      </w:r>
      <w:r>
        <w:rPr>
          <w:rFonts w:hint="eastAsia" w:ascii="仿宋" w:hAnsi="仿宋" w:eastAsia="仿宋"/>
          <w:spacing w:val="0"/>
          <w:sz w:val="28"/>
          <w:szCs w:val="28"/>
          <w:highlight w:val="none"/>
        </w:rPr>
        <w:t>。</w:t>
      </w:r>
    </w:p>
    <w:p w14:paraId="1FE58A7A">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560" w:firstLineChars="200"/>
        <w:textAlignment w:val="baseline"/>
        <w:rPr>
          <w:rFonts w:hint="eastAsia" w:ascii="仿宋" w:hAnsi="仿宋" w:eastAsia="仿宋"/>
          <w:sz w:val="28"/>
          <w:szCs w:val="28"/>
          <w:highlight w:val="none"/>
          <w:lang w:eastAsia="zh-CN"/>
        </w:rPr>
      </w:pPr>
      <w:r>
        <w:rPr>
          <w:rFonts w:hint="eastAsia" w:ascii="仿宋" w:hAnsi="仿宋" w:eastAsia="仿宋"/>
          <w:spacing w:val="0"/>
          <w:sz w:val="28"/>
          <w:szCs w:val="28"/>
          <w:highlight w:val="none"/>
          <w:lang w:val="en-US" w:eastAsia="zh-CN"/>
        </w:rPr>
        <w:t>3.</w:t>
      </w:r>
      <w:r>
        <w:rPr>
          <w:rFonts w:hint="eastAsia" w:ascii="仿宋" w:hAnsi="仿宋" w:eastAsia="仿宋"/>
          <w:spacing w:val="0"/>
          <w:sz w:val="28"/>
          <w:szCs w:val="28"/>
          <w:highlight w:val="none"/>
        </w:rPr>
        <w:t>付款条件：依据合同管理办法相关约定执行</w:t>
      </w:r>
      <w:r>
        <w:rPr>
          <w:rFonts w:hint="eastAsia" w:ascii="仿宋" w:hAnsi="仿宋" w:eastAsia="仿宋"/>
          <w:spacing w:val="0"/>
          <w:sz w:val="28"/>
          <w:szCs w:val="28"/>
          <w:highlight w:val="none"/>
          <w:lang w:eastAsia="zh-CN"/>
        </w:rPr>
        <w:t>。</w:t>
      </w:r>
    </w:p>
    <w:p w14:paraId="462B7895">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sz w:val="28"/>
          <w:szCs w:val="28"/>
          <w:highlight w:val="none"/>
          <w:lang w:eastAsia="zh-CN"/>
        </w:rPr>
      </w:pPr>
      <w:r>
        <w:rPr>
          <w:rFonts w:hint="eastAsia" w:ascii="仿宋" w:hAnsi="仿宋" w:eastAsia="仿宋"/>
          <w:spacing w:val="0"/>
          <w:sz w:val="28"/>
          <w:szCs w:val="28"/>
          <w:highlight w:val="none"/>
          <w:lang w:val="en-US" w:eastAsia="zh-CN"/>
        </w:rPr>
        <w:t>4.</w:t>
      </w:r>
      <w:r>
        <w:rPr>
          <w:rFonts w:hint="eastAsia" w:ascii="仿宋" w:hAnsi="仿宋" w:eastAsia="仿宋"/>
          <w:spacing w:val="0"/>
          <w:sz w:val="28"/>
          <w:szCs w:val="28"/>
          <w:highlight w:val="none"/>
        </w:rPr>
        <w:t>售后服务质保期：2年</w:t>
      </w:r>
      <w:r>
        <w:rPr>
          <w:rFonts w:hint="eastAsia" w:ascii="仿宋" w:hAnsi="仿宋" w:eastAsia="仿宋"/>
          <w:spacing w:val="0"/>
          <w:sz w:val="28"/>
          <w:szCs w:val="28"/>
          <w:highlight w:val="none"/>
          <w:lang w:eastAsia="zh-CN"/>
        </w:rPr>
        <w:t>（</w:t>
      </w:r>
      <w:r>
        <w:rPr>
          <w:rFonts w:hint="eastAsia" w:ascii="仿宋" w:hAnsi="仿宋" w:eastAsia="仿宋"/>
          <w:spacing w:val="0"/>
          <w:sz w:val="28"/>
          <w:szCs w:val="28"/>
          <w:highlight w:val="none"/>
          <w:lang w:val="en-US" w:eastAsia="zh-CN"/>
        </w:rPr>
        <w:t>防水工程5年</w:t>
      </w:r>
      <w:r>
        <w:rPr>
          <w:rFonts w:hint="eastAsia" w:ascii="仿宋" w:hAnsi="仿宋" w:eastAsia="仿宋"/>
          <w:spacing w:val="0"/>
          <w:sz w:val="28"/>
          <w:szCs w:val="28"/>
          <w:highlight w:val="none"/>
          <w:lang w:eastAsia="zh-CN"/>
        </w:rPr>
        <w:t>）。</w:t>
      </w:r>
    </w:p>
    <w:p w14:paraId="46E24057">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560" w:firstLineChars="200"/>
        <w:textAlignment w:val="baseline"/>
        <w:rPr>
          <w:rFonts w:hint="eastAsia" w:ascii="仿宋" w:hAnsi="仿宋" w:eastAsia="仿宋"/>
          <w:sz w:val="28"/>
          <w:szCs w:val="28"/>
          <w:highlight w:val="none"/>
        </w:rPr>
      </w:pPr>
      <w:r>
        <w:rPr>
          <w:rFonts w:hint="eastAsia" w:ascii="仿宋" w:hAnsi="仿宋" w:eastAsia="仿宋"/>
          <w:spacing w:val="0"/>
          <w:sz w:val="28"/>
          <w:szCs w:val="28"/>
          <w:highlight w:val="none"/>
          <w:lang w:val="en-US" w:eastAsia="zh-CN"/>
        </w:rPr>
        <w:t>5.</w:t>
      </w:r>
      <w:r>
        <w:rPr>
          <w:rFonts w:hint="eastAsia" w:ascii="仿宋" w:hAnsi="仿宋" w:eastAsia="仿宋"/>
          <w:spacing w:val="0"/>
          <w:sz w:val="28"/>
          <w:szCs w:val="28"/>
          <w:highlight w:val="none"/>
        </w:rPr>
        <w:t>保险：依据属地街道及成部门要求履行开工报备手续及相关保险。</w:t>
      </w:r>
    </w:p>
    <w:p w14:paraId="5838400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sz w:val="28"/>
          <w:szCs w:val="28"/>
          <w:highlight w:val="none"/>
        </w:rPr>
      </w:pPr>
      <w:r>
        <w:rPr>
          <w:rFonts w:hint="eastAsia" w:ascii="仿宋" w:hAnsi="仿宋" w:eastAsia="仿宋"/>
          <w:spacing w:val="0"/>
          <w:sz w:val="28"/>
          <w:szCs w:val="28"/>
          <w:highlight w:val="none"/>
          <w:lang w:val="en-US" w:eastAsia="zh-CN"/>
        </w:rPr>
        <w:t>6.</w:t>
      </w:r>
      <w:r>
        <w:rPr>
          <w:rFonts w:hint="eastAsia" w:ascii="仿宋" w:hAnsi="仿宋" w:eastAsia="仿宋"/>
          <w:spacing w:val="0"/>
          <w:sz w:val="28"/>
          <w:szCs w:val="28"/>
          <w:highlight w:val="none"/>
        </w:rPr>
        <w:t>其他：进场人员需进行背景审查并签署保密协议。</w:t>
      </w:r>
    </w:p>
    <w:p w14:paraId="641B0D23">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31"/>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三</w:t>
      </w:r>
      <w:r>
        <w:rPr>
          <w:rFonts w:hint="eastAsia" w:ascii="仿宋" w:hAnsi="仿宋" w:eastAsia="仿宋" w:cs="仿宋"/>
          <w:spacing w:val="-34"/>
          <w:sz w:val="28"/>
          <w:szCs w:val="28"/>
          <w:highlight w:val="none"/>
        </w:rPr>
        <w:t xml:space="preserve"> </w:t>
      </w:r>
      <w:r>
        <w:rPr>
          <w:rFonts w:hint="eastAsia" w:ascii="仿宋" w:hAnsi="仿宋" w:eastAsia="仿宋" w:cs="仿宋"/>
          <w:spacing w:val="-4"/>
          <w:sz w:val="28"/>
          <w:szCs w:val="28"/>
          <w:highlight w:val="none"/>
        </w:rPr>
        <w:t>、</w:t>
      </w:r>
      <w:r>
        <w:rPr>
          <w:rFonts w:hint="eastAsia" w:ascii="仿宋" w:hAnsi="仿宋" w:eastAsia="仿宋" w:cs="仿宋"/>
          <w:spacing w:val="-39"/>
          <w:sz w:val="28"/>
          <w:szCs w:val="28"/>
          <w:highlight w:val="none"/>
        </w:rPr>
        <w:t xml:space="preserve"> </w:t>
      </w:r>
      <w:r>
        <w:rPr>
          <w:rFonts w:hint="eastAsia" w:ascii="仿宋" w:hAnsi="仿宋" w:eastAsia="仿宋" w:cs="仿宋"/>
          <w:spacing w:val="-4"/>
          <w:sz w:val="28"/>
          <w:szCs w:val="28"/>
          <w:highlight w:val="none"/>
        </w:rPr>
        <w:t>技术要求</w:t>
      </w:r>
    </w:p>
    <w:p w14:paraId="58CE610C">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31" w:firstLine="576" w:firstLineChars="20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w:t>
      </w:r>
      <w:r>
        <w:rPr>
          <w:rFonts w:hint="eastAsia" w:ascii="仿宋" w:hAnsi="仿宋" w:eastAsia="仿宋" w:cs="仿宋"/>
          <w:spacing w:val="34"/>
          <w:sz w:val="28"/>
          <w:szCs w:val="28"/>
          <w:highlight w:val="none"/>
        </w:rPr>
        <w:t xml:space="preserve"> </w:t>
      </w:r>
      <w:r>
        <w:rPr>
          <w:rFonts w:hint="eastAsia" w:ascii="仿宋" w:hAnsi="仿宋" w:eastAsia="仿宋" w:cs="仿宋"/>
          <w:spacing w:val="4"/>
          <w:sz w:val="28"/>
          <w:szCs w:val="28"/>
          <w:highlight w:val="none"/>
        </w:rPr>
        <w:t>基本要求</w:t>
      </w:r>
    </w:p>
    <w:p w14:paraId="3DE3571E">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31" w:right="103" w:firstLine="588" w:firstLineChars="200"/>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 xml:space="preserve">1.1 </w:t>
      </w:r>
      <w:r>
        <w:rPr>
          <w:rFonts w:hint="eastAsia" w:ascii="仿宋" w:hAnsi="仿宋" w:eastAsia="仿宋" w:cs="仿宋"/>
          <w:spacing w:val="6"/>
          <w:sz w:val="28"/>
          <w:szCs w:val="28"/>
          <w:highlight w:val="none"/>
        </w:rPr>
        <w:t>需执行的国家相关标准、行业标准、地方标准或者其他</w:t>
      </w:r>
      <w:r>
        <w:rPr>
          <w:rFonts w:hint="eastAsia" w:ascii="仿宋" w:hAnsi="仿宋" w:eastAsia="仿宋" w:cs="仿宋"/>
          <w:spacing w:val="10"/>
          <w:sz w:val="28"/>
          <w:szCs w:val="28"/>
          <w:highlight w:val="none"/>
        </w:rPr>
        <w:t>标准、规范</w:t>
      </w:r>
    </w:p>
    <w:p w14:paraId="25E0A6AC">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17" w:firstLine="552" w:firstLineChars="200"/>
        <w:textAlignment w:val="baseline"/>
        <w:rPr>
          <w:rFonts w:hint="default"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按照最新国家相关标准、行业标准、地方标准或者其他标准、规范执行。</w:t>
      </w:r>
    </w:p>
    <w:p w14:paraId="2131B3BA">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firstLine="600" w:firstLineChars="200"/>
        <w:textAlignment w:val="baseline"/>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 服务内容及要求/货物技术要求</w:t>
      </w:r>
    </w:p>
    <w:p w14:paraId="69A38C03">
      <w:pPr>
        <w:pStyle w:val="3"/>
        <w:pageBreakBefore w:val="0"/>
        <w:widowControl/>
        <w:kinsoku w:val="0"/>
        <w:wordWrap/>
        <w:topLinePunct w:val="0"/>
        <w:autoSpaceDE w:val="0"/>
        <w:autoSpaceDN w:val="0"/>
        <w:bidi w:val="0"/>
        <w:adjustRightInd w:val="0"/>
        <w:snapToGrid w:val="0"/>
        <w:spacing w:before="0" w:line="360" w:lineRule="auto"/>
        <w:textAlignment w:val="baseline"/>
        <w:rPr>
          <w:rFonts w:hint="eastAsia"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项目主要材料及成品明细表</w:t>
      </w:r>
    </w:p>
    <w:p w14:paraId="2214CB82">
      <w:pPr>
        <w:pStyle w:val="3"/>
        <w:pageBreakBefore w:val="0"/>
        <w:widowControl/>
        <w:kinsoku w:val="0"/>
        <w:wordWrap/>
        <w:topLinePunct w:val="0"/>
        <w:autoSpaceDE w:val="0"/>
        <w:autoSpaceDN w:val="0"/>
        <w:bidi w:val="0"/>
        <w:adjustRightInd w:val="0"/>
        <w:snapToGrid w:val="0"/>
        <w:spacing w:before="0" w:line="360" w:lineRule="auto"/>
        <w:textAlignment w:val="baseline"/>
        <w:rPr>
          <w:rFonts w:hint="eastAsia" w:ascii="仿宋" w:hAnsi="仿宋" w:eastAsia="仿宋" w:cs="仿宋"/>
          <w:b w:val="0"/>
          <w:bCs w:val="0"/>
          <w:spacing w:val="-2"/>
          <w:sz w:val="28"/>
          <w:szCs w:val="28"/>
          <w:highlight w:val="none"/>
        </w:rPr>
      </w:pPr>
      <w:r>
        <w:rPr>
          <w:rFonts w:hint="eastAsia" w:ascii="仿宋" w:hAnsi="仿宋" w:eastAsia="仿宋" w:cs="仿宋"/>
          <w:b w:val="0"/>
          <w:bCs w:val="0"/>
          <w:spacing w:val="-2"/>
          <w:sz w:val="28"/>
          <w:szCs w:val="28"/>
          <w:highlight w:val="none"/>
        </w:rPr>
        <w:t>注：1、以下材料报价时从提名品牌中选择报价或选择相当于或高于所列品牌技术标准的品牌报价，并在响应文件已标价的工程量清单主要材料和工程设备选用表中逐项列清。</w:t>
      </w:r>
    </w:p>
    <w:p w14:paraId="12CFFAAB">
      <w:pPr>
        <w:pStyle w:val="3"/>
        <w:pageBreakBefore w:val="0"/>
        <w:widowControl/>
        <w:kinsoku w:val="0"/>
        <w:wordWrap/>
        <w:topLinePunct w:val="0"/>
        <w:autoSpaceDE w:val="0"/>
        <w:autoSpaceDN w:val="0"/>
        <w:bidi w:val="0"/>
        <w:adjustRightInd w:val="0"/>
        <w:snapToGrid w:val="0"/>
        <w:spacing w:before="0" w:line="360" w:lineRule="auto"/>
        <w:ind w:left="17" w:firstLine="612"/>
        <w:textAlignment w:val="baseline"/>
        <w:rPr>
          <w:rFonts w:hint="eastAsia" w:ascii="仿宋" w:hAnsi="仿宋" w:eastAsia="仿宋" w:cs="仿宋"/>
          <w:b w:val="0"/>
          <w:bCs w:val="0"/>
          <w:spacing w:val="-2"/>
          <w:sz w:val="28"/>
          <w:szCs w:val="28"/>
          <w:highlight w:val="none"/>
        </w:rPr>
      </w:pPr>
      <w:r>
        <w:rPr>
          <w:rFonts w:hint="eastAsia" w:ascii="仿宋" w:hAnsi="仿宋" w:eastAsia="仿宋" w:cs="仿宋"/>
          <w:b w:val="0"/>
          <w:bCs w:val="0"/>
          <w:spacing w:val="-2"/>
          <w:sz w:val="28"/>
          <w:szCs w:val="28"/>
          <w:highlight w:val="none"/>
        </w:rPr>
        <w:t>2、以下所有材料采购前，须由甲方、设计单位、监理单位共同确认后封样采购。</w:t>
      </w:r>
    </w:p>
    <w:tbl>
      <w:tblPr>
        <w:tblStyle w:val="4"/>
        <w:tblW w:w="5000" w:type="pct"/>
        <w:jc w:val="center"/>
        <w:tblLayout w:type="fixed"/>
        <w:tblCellMar>
          <w:top w:w="0" w:type="dxa"/>
          <w:left w:w="108" w:type="dxa"/>
          <w:bottom w:w="0" w:type="dxa"/>
          <w:right w:w="108" w:type="dxa"/>
        </w:tblCellMar>
      </w:tblPr>
      <w:tblGrid>
        <w:gridCol w:w="338"/>
        <w:gridCol w:w="704"/>
        <w:gridCol w:w="1687"/>
        <w:gridCol w:w="1736"/>
        <w:gridCol w:w="2985"/>
        <w:gridCol w:w="1072"/>
      </w:tblGrid>
      <w:tr w14:paraId="64853BC8">
        <w:tblPrEx>
          <w:tblCellMar>
            <w:top w:w="0" w:type="dxa"/>
            <w:left w:w="108" w:type="dxa"/>
            <w:bottom w:w="0" w:type="dxa"/>
            <w:right w:w="108" w:type="dxa"/>
          </w:tblCellMar>
        </w:tblPrEx>
        <w:trPr>
          <w:trHeight w:val="537" w:hRule="atLeast"/>
          <w:tblHeader/>
          <w:jc w:val="center"/>
        </w:trPr>
        <w:tc>
          <w:tcPr>
            <w:tcW w:w="198" w:type="pct"/>
            <w:tcBorders>
              <w:top w:val="single" w:color="auto" w:sz="4" w:space="0"/>
              <w:left w:val="single" w:color="auto" w:sz="4" w:space="0"/>
              <w:bottom w:val="single" w:color="000000" w:sz="4" w:space="0"/>
              <w:right w:val="single" w:color="auto" w:sz="4" w:space="0"/>
            </w:tcBorders>
            <w:vAlign w:val="center"/>
          </w:tcPr>
          <w:p w14:paraId="4FD02DB0">
            <w:pPr>
              <w:pageBreakBefore w:val="0"/>
              <w:wordWrap/>
              <w:topLinePunct w:val="0"/>
              <w:bidi w:val="0"/>
              <w:snapToGrid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序号</w:t>
            </w:r>
          </w:p>
        </w:tc>
        <w:tc>
          <w:tcPr>
            <w:tcW w:w="413" w:type="pct"/>
            <w:tcBorders>
              <w:top w:val="single" w:color="auto" w:sz="4" w:space="0"/>
              <w:left w:val="single" w:color="auto" w:sz="4" w:space="0"/>
              <w:bottom w:val="single" w:color="auto" w:sz="4" w:space="0"/>
              <w:right w:val="single" w:color="auto" w:sz="4" w:space="0"/>
            </w:tcBorders>
            <w:noWrap/>
            <w:vAlign w:val="center"/>
          </w:tcPr>
          <w:p w14:paraId="0075A24A">
            <w:pPr>
              <w:pageBreakBefore w:val="0"/>
              <w:wordWrap/>
              <w:topLinePunct w:val="0"/>
              <w:bidi w:val="0"/>
              <w:snapToGrid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主材名称</w:t>
            </w:r>
          </w:p>
        </w:tc>
        <w:tc>
          <w:tcPr>
            <w:tcW w:w="989" w:type="pct"/>
            <w:tcBorders>
              <w:top w:val="single" w:color="auto" w:sz="4" w:space="0"/>
              <w:left w:val="single" w:color="auto" w:sz="4" w:space="0"/>
              <w:bottom w:val="single" w:color="auto" w:sz="4" w:space="0"/>
              <w:right w:val="single" w:color="auto" w:sz="4" w:space="0"/>
            </w:tcBorders>
            <w:noWrap/>
            <w:vAlign w:val="center"/>
          </w:tcPr>
          <w:p w14:paraId="3BDFB332">
            <w:pPr>
              <w:pageBreakBefore w:val="0"/>
              <w:wordWrap/>
              <w:topLinePunct w:val="0"/>
              <w:bidi w:val="0"/>
              <w:snapToGrid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提名品牌</w:t>
            </w:r>
          </w:p>
        </w:tc>
        <w:tc>
          <w:tcPr>
            <w:tcW w:w="1018" w:type="pct"/>
            <w:tcBorders>
              <w:top w:val="single" w:color="auto" w:sz="4" w:space="0"/>
              <w:left w:val="nil"/>
              <w:bottom w:val="single" w:color="auto" w:sz="4" w:space="0"/>
              <w:right w:val="single" w:color="auto" w:sz="4" w:space="0"/>
            </w:tcBorders>
            <w:noWrap/>
            <w:vAlign w:val="center"/>
          </w:tcPr>
          <w:p w14:paraId="0FEA557E">
            <w:pPr>
              <w:pageBreakBefore w:val="0"/>
              <w:wordWrap/>
              <w:topLinePunct w:val="0"/>
              <w:bidi w:val="0"/>
              <w:snapToGrid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技术标准与工程做法</w:t>
            </w:r>
          </w:p>
        </w:tc>
        <w:tc>
          <w:tcPr>
            <w:tcW w:w="1751" w:type="pct"/>
            <w:tcBorders>
              <w:top w:val="single" w:color="auto" w:sz="4" w:space="0"/>
              <w:left w:val="nil"/>
              <w:bottom w:val="single" w:color="auto" w:sz="4" w:space="0"/>
              <w:right w:val="single" w:color="auto" w:sz="4" w:space="0"/>
            </w:tcBorders>
            <w:shd w:val="clear" w:color="auto" w:fill="auto"/>
            <w:noWrap/>
            <w:vAlign w:val="top"/>
          </w:tcPr>
          <w:p w14:paraId="13B863AA">
            <w:pPr>
              <w:pageBreakBefore w:val="0"/>
              <w:wordWrap/>
              <w:topLinePunct w:val="0"/>
              <w:bidi w:val="0"/>
              <w:snapToGrid w:val="0"/>
              <w:spacing w:line="360" w:lineRule="auto"/>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允许偏离范围</w:t>
            </w:r>
          </w:p>
        </w:tc>
        <w:tc>
          <w:tcPr>
            <w:tcW w:w="629" w:type="pct"/>
            <w:tcBorders>
              <w:top w:val="single" w:color="auto" w:sz="4" w:space="0"/>
              <w:left w:val="nil"/>
              <w:bottom w:val="single" w:color="auto" w:sz="4" w:space="0"/>
              <w:right w:val="single" w:color="auto" w:sz="4" w:space="0"/>
            </w:tcBorders>
            <w:shd w:val="clear" w:color="auto" w:fill="auto"/>
            <w:noWrap/>
            <w:vAlign w:val="top"/>
          </w:tcPr>
          <w:p w14:paraId="4F14CFB1">
            <w:pPr>
              <w:pageBreakBefore w:val="0"/>
              <w:wordWrap/>
              <w:topLinePunct w:val="0"/>
              <w:bidi w:val="0"/>
              <w:snapToGrid w:val="0"/>
              <w:spacing w:line="360" w:lineRule="auto"/>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备注</w:t>
            </w:r>
          </w:p>
        </w:tc>
      </w:tr>
      <w:tr w14:paraId="2CB2B32D">
        <w:tblPrEx>
          <w:tblCellMar>
            <w:top w:w="0" w:type="dxa"/>
            <w:left w:w="108" w:type="dxa"/>
            <w:bottom w:w="0" w:type="dxa"/>
            <w:right w:w="108" w:type="dxa"/>
          </w:tblCellMar>
        </w:tblPrEx>
        <w:trPr>
          <w:trHeight w:val="672" w:hRule="atLeast"/>
          <w:jc w:val="center"/>
        </w:trPr>
        <w:tc>
          <w:tcPr>
            <w:tcW w:w="198" w:type="pct"/>
            <w:tcBorders>
              <w:top w:val="nil"/>
              <w:left w:val="single" w:color="auto" w:sz="4" w:space="0"/>
              <w:bottom w:val="single" w:color="auto" w:sz="4" w:space="0"/>
              <w:right w:val="single" w:color="auto" w:sz="4" w:space="0"/>
            </w:tcBorders>
            <w:noWrap/>
            <w:vAlign w:val="center"/>
          </w:tcPr>
          <w:p w14:paraId="108525C3">
            <w:pPr>
              <w:pageBreakBefore w:val="0"/>
              <w:wordWrap/>
              <w:topLinePunct w:val="0"/>
              <w:bidi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13" w:type="pct"/>
            <w:tcBorders>
              <w:top w:val="nil"/>
              <w:left w:val="nil"/>
              <w:bottom w:val="single" w:color="auto" w:sz="4" w:space="0"/>
              <w:right w:val="single" w:color="auto" w:sz="4" w:space="0"/>
            </w:tcBorders>
            <w:noWrap/>
            <w:vAlign w:val="center"/>
          </w:tcPr>
          <w:p w14:paraId="5F065E23">
            <w:pPr>
              <w:pageBreakBefore w:val="0"/>
              <w:wordWrap/>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防水材料</w:t>
            </w:r>
          </w:p>
        </w:tc>
        <w:tc>
          <w:tcPr>
            <w:tcW w:w="989" w:type="pct"/>
            <w:tcBorders>
              <w:top w:val="nil"/>
              <w:left w:val="nil"/>
              <w:bottom w:val="single" w:color="auto" w:sz="4" w:space="0"/>
              <w:right w:val="single" w:color="auto" w:sz="4" w:space="0"/>
            </w:tcBorders>
            <w:noWrap/>
            <w:vAlign w:val="center"/>
          </w:tcPr>
          <w:p w14:paraId="12565CAE">
            <w:pPr>
              <w:pageBreakBefore w:val="0"/>
              <w:wordWrap/>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东方雨虹、北新防水、大禹</w:t>
            </w:r>
          </w:p>
        </w:tc>
        <w:tc>
          <w:tcPr>
            <w:tcW w:w="1018" w:type="pct"/>
            <w:tcBorders>
              <w:top w:val="nil"/>
              <w:left w:val="nil"/>
              <w:bottom w:val="single" w:color="auto" w:sz="4" w:space="0"/>
              <w:right w:val="single" w:color="auto" w:sz="4" w:space="0"/>
            </w:tcBorders>
            <w:noWrap/>
            <w:vAlign w:val="center"/>
          </w:tcPr>
          <w:p w14:paraId="162E2B46">
            <w:pPr>
              <w:pageBreakBefore w:val="0"/>
              <w:wordWrap/>
              <w:topLinePunct w:val="0"/>
              <w:bidi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详见图纸要求。</w:t>
            </w:r>
          </w:p>
        </w:tc>
        <w:tc>
          <w:tcPr>
            <w:tcW w:w="1751" w:type="pct"/>
            <w:tcBorders>
              <w:top w:val="nil"/>
              <w:left w:val="nil"/>
              <w:bottom w:val="single" w:color="auto" w:sz="4" w:space="0"/>
              <w:right w:val="single" w:color="auto" w:sz="4" w:space="0"/>
            </w:tcBorders>
            <w:shd w:val="clear" w:color="auto" w:fill="auto"/>
            <w:noWrap/>
            <w:vAlign w:val="top"/>
          </w:tcPr>
          <w:p w14:paraId="594B210D">
            <w:pPr>
              <w:pageBreakBefore w:val="0"/>
              <w:wordWrap/>
              <w:topLinePunct w:val="0"/>
              <w:bidi w:val="0"/>
              <w:snapToGrid w:val="0"/>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允许选用相当于或高于所列品牌技术标准的材料和工程设备</w:t>
            </w:r>
          </w:p>
        </w:tc>
        <w:tc>
          <w:tcPr>
            <w:tcW w:w="629" w:type="pct"/>
            <w:tcBorders>
              <w:top w:val="nil"/>
              <w:left w:val="nil"/>
              <w:bottom w:val="single" w:color="auto" w:sz="4" w:space="0"/>
              <w:right w:val="single" w:color="auto" w:sz="4" w:space="0"/>
            </w:tcBorders>
            <w:shd w:val="clear" w:color="auto" w:fill="auto"/>
            <w:noWrap/>
            <w:vAlign w:val="center"/>
          </w:tcPr>
          <w:p w14:paraId="7643E27F">
            <w:pPr>
              <w:pageBreakBefore w:val="0"/>
              <w:wordWrap/>
              <w:topLinePunct w:val="0"/>
              <w:bidi w:val="0"/>
              <w:snapToGrid w:val="0"/>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仅作为报价参考</w:t>
            </w:r>
          </w:p>
        </w:tc>
      </w:tr>
    </w:tbl>
    <w:p w14:paraId="719A8721">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17" w:firstLine="580" w:firstLineChars="200"/>
        <w:textAlignment w:val="baseline"/>
        <w:rPr>
          <w:rFonts w:hint="eastAsia" w:ascii="仿宋" w:hAnsi="仿宋" w:eastAsia="仿宋" w:cs="仿宋"/>
          <w:spacing w:val="-2"/>
          <w:sz w:val="28"/>
          <w:szCs w:val="28"/>
          <w:highlight w:val="none"/>
        </w:rPr>
      </w:pPr>
      <w:r>
        <w:rPr>
          <w:rFonts w:hint="eastAsia" w:ascii="仿宋" w:hAnsi="仿宋" w:eastAsia="仿宋" w:cs="仿宋"/>
          <w:spacing w:val="5"/>
          <w:sz w:val="28"/>
          <w:szCs w:val="28"/>
          <w:highlight w:val="none"/>
        </w:rPr>
        <w:t>3.</w:t>
      </w:r>
      <w:r>
        <w:rPr>
          <w:rFonts w:hint="eastAsia" w:ascii="仿宋" w:hAnsi="仿宋" w:eastAsia="仿宋" w:cs="仿宋"/>
          <w:spacing w:val="27"/>
          <w:sz w:val="28"/>
          <w:szCs w:val="28"/>
          <w:highlight w:val="none"/>
        </w:rPr>
        <w:t xml:space="preserve"> </w:t>
      </w:r>
      <w:r>
        <w:rPr>
          <w:rFonts w:hint="eastAsia" w:ascii="仿宋" w:hAnsi="仿宋" w:eastAsia="仿宋" w:cs="仿宋"/>
          <w:spacing w:val="5"/>
          <w:sz w:val="28"/>
          <w:szCs w:val="28"/>
          <w:highlight w:val="none"/>
        </w:rPr>
        <w:t>验收标准</w:t>
      </w:r>
    </w:p>
    <w:p w14:paraId="661DE8DC">
      <w:pPr>
        <w:pStyle w:val="3"/>
        <w:pageBreakBefore w:val="0"/>
        <w:widowControl/>
        <w:kinsoku w:val="0"/>
        <w:wordWrap/>
        <w:topLinePunct w:val="0"/>
        <w:autoSpaceDE w:val="0"/>
        <w:autoSpaceDN w:val="0"/>
        <w:bidi w:val="0"/>
        <w:adjustRightInd w:val="0"/>
        <w:snapToGrid w:val="0"/>
        <w:spacing w:before="0" w:line="360" w:lineRule="auto"/>
        <w:ind w:left="17" w:firstLine="552" w:firstLineChars="200"/>
        <w:contextualSpacing/>
        <w:textAlignment w:val="baseline"/>
        <w:rPr>
          <w:rFonts w:hint="eastAsia" w:ascii="仿宋" w:hAnsi="仿宋" w:eastAsia="仿宋" w:cs="仿宋"/>
          <w:b/>
          <w:sz w:val="28"/>
          <w:szCs w:val="28"/>
          <w:highlight w:val="none"/>
        </w:rPr>
      </w:pPr>
      <w:r>
        <w:rPr>
          <w:rFonts w:hint="eastAsia" w:ascii="仿宋" w:hAnsi="仿宋" w:eastAsia="仿宋" w:cs="仿宋"/>
          <w:spacing w:val="-2"/>
          <w:sz w:val="28"/>
          <w:szCs w:val="28"/>
          <w:highlight w:val="none"/>
        </w:rPr>
        <w:t>依据</w:t>
      </w:r>
      <w:r>
        <w:rPr>
          <w:rFonts w:hint="eastAsia" w:ascii="仿宋" w:hAnsi="仿宋" w:eastAsia="仿宋" w:cs="仿宋"/>
          <w:spacing w:val="-2"/>
          <w:sz w:val="28"/>
          <w:szCs w:val="28"/>
          <w:highlight w:val="none"/>
          <w:lang w:val="en-US" w:eastAsia="zh-CN"/>
        </w:rPr>
        <w:t>国家及</w:t>
      </w:r>
      <w:r>
        <w:rPr>
          <w:rFonts w:hint="eastAsia" w:ascii="仿宋" w:hAnsi="仿宋" w:eastAsia="仿宋" w:cs="仿宋"/>
          <w:spacing w:val="-2"/>
          <w:sz w:val="28"/>
          <w:szCs w:val="28"/>
          <w:highlight w:val="none"/>
        </w:rPr>
        <w:t>北京市</w:t>
      </w:r>
      <w:r>
        <w:rPr>
          <w:rFonts w:hint="eastAsia" w:ascii="仿宋" w:hAnsi="仿宋" w:eastAsia="仿宋" w:cs="仿宋"/>
          <w:spacing w:val="-2"/>
          <w:sz w:val="28"/>
          <w:szCs w:val="28"/>
          <w:highlight w:val="none"/>
          <w:lang w:val="en-US" w:eastAsia="zh-CN"/>
        </w:rPr>
        <w:t>现行</w:t>
      </w:r>
      <w:r>
        <w:rPr>
          <w:rFonts w:hint="eastAsia" w:ascii="仿宋" w:hAnsi="仿宋" w:eastAsia="仿宋" w:cs="仿宋"/>
          <w:spacing w:val="-2"/>
          <w:sz w:val="28"/>
          <w:szCs w:val="28"/>
          <w:highlight w:val="none"/>
        </w:rPr>
        <w:t>相关标准进行验收。</w:t>
      </w:r>
    </w:p>
    <w:p w14:paraId="42709240">
      <w:pPr>
        <w:pageBreakBefore w:val="0"/>
        <w:wordWrap/>
        <w:topLinePunct w:val="0"/>
        <w:bidi w:val="0"/>
        <w:snapToGrid w:val="0"/>
        <w:spacing w:line="360" w:lineRule="auto"/>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五、其他要求</w:t>
      </w:r>
    </w:p>
    <w:p w14:paraId="196A8934">
      <w:pPr>
        <w:pStyle w:val="2"/>
        <w:pageBreakBefore w:val="0"/>
        <w:wordWrap/>
        <w:topLinePunct w:val="0"/>
        <w:bidi w:val="0"/>
        <w:snapToGrid w:val="0"/>
        <w:spacing w:line="360" w:lineRule="auto"/>
        <w:ind w:firstLine="560" w:firstLineChars="200"/>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相关具体要求，详见图纸及工程量清单。</w:t>
      </w:r>
    </w:p>
    <w:p w14:paraId="7A3611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E034A"/>
    <w:rsid w:val="01BE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Body Text"/>
    <w:basedOn w:val="1"/>
    <w:qFormat/>
    <w:uiPriority w:val="99"/>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2025-11-04T08:28:00Z</dcterms:created>
  <dc:creator>亚希Edison</dc:creator>
  <cp:lastModifiedBy>亚希Edison</cp:lastModifiedBy>
  <dcterms:modified xsi:type="dcterms:W3CDTF">2025-11-04T08:30:20Z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2FAA7F44386E41BEB5D88509153BA453_11</vt:lpwstr>
  </property>
  <property fmtid="{D5CDD505-2E9C-101B-9397-08002B2CF9AE}" pid="4" name="KSOTemplateDocerSaveRecord">
    <vt:lpwstr>eyJoZGlkIjoiNDY0MzQwNDM3NzMyOTAwZGViMTFjZmY0M2U4NTllMzgiLCJ1c2VySWQiOiIyNjk3ODg1OTAifQ==</vt:lpwstr>
  </property>
</Properties>
</file>