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04E45" w14:textId="21BA97D7" w:rsidR="008264A7" w:rsidRPr="009C6EF9" w:rsidRDefault="00E115AB" w:rsidP="009C6EF9">
      <w:pPr>
        <w:tabs>
          <w:tab w:val="left" w:pos="3240"/>
          <w:tab w:val="left" w:pos="3420"/>
        </w:tabs>
        <w:spacing w:line="360" w:lineRule="auto"/>
        <w:jc w:val="center"/>
        <w:rPr>
          <w:b/>
          <w:sz w:val="36"/>
          <w:szCs w:val="36"/>
        </w:rPr>
      </w:pPr>
      <w:r w:rsidRPr="009C6EF9">
        <w:rPr>
          <w:rFonts w:ascii="宋体" w:hAnsi="宋体" w:cs="宋体" w:hint="eastAsia"/>
          <w:b/>
          <w:sz w:val="36"/>
          <w:szCs w:val="36"/>
        </w:rPr>
        <w:t>安定医院中央转移支付卫生健康机构能力建设</w:t>
      </w:r>
    </w:p>
    <w:p w14:paraId="466868D3" w14:textId="35734213" w:rsidR="008264A7" w:rsidRDefault="00E115AB">
      <w:pPr>
        <w:spacing w:line="360" w:lineRule="auto"/>
        <w:jc w:val="center"/>
        <w:outlineLvl w:val="0"/>
        <w:rPr>
          <w:b/>
          <w:sz w:val="36"/>
          <w:szCs w:val="36"/>
        </w:rPr>
      </w:pPr>
      <w:bookmarkStart w:id="0" w:name="_Toc150480793"/>
      <w:bookmarkStart w:id="1" w:name="_Toc353825545"/>
      <w:bookmarkStart w:id="2" w:name="_Toc150774760"/>
      <w:bookmarkStart w:id="3" w:name="_Toc353873665"/>
      <w:bookmarkStart w:id="4" w:name="_Toc226965828"/>
      <w:bookmarkStart w:id="5" w:name="_Toc127151555"/>
      <w:bookmarkStart w:id="6" w:name="_Toc264969245"/>
      <w:bookmarkStart w:id="7" w:name="_Toc226337251"/>
      <w:bookmarkStart w:id="8" w:name="_Toc305158823"/>
      <w:bookmarkStart w:id="9" w:name="_Toc305158897"/>
      <w:bookmarkStart w:id="10" w:name="_Toc195842920"/>
      <w:bookmarkStart w:id="11" w:name="_Toc353873935"/>
      <w:bookmarkStart w:id="12" w:name="_Toc142311057"/>
      <w:bookmarkStart w:id="13" w:name="_Toc265228393"/>
      <w:bookmarkStart w:id="14" w:name="_Toc25206"/>
      <w:r>
        <w:rPr>
          <w:b/>
          <w:sz w:val="36"/>
          <w:szCs w:val="36"/>
        </w:rPr>
        <w:t>采购需求</w:t>
      </w:r>
      <w:bookmarkEnd w:id="14"/>
    </w:p>
    <w:p w14:paraId="08859733" w14:textId="77777777" w:rsidR="008264A7" w:rsidRDefault="00E115AB">
      <w:pPr>
        <w:pStyle w:val="11"/>
        <w:numPr>
          <w:ilvl w:val="0"/>
          <w:numId w:val="6"/>
        </w:numPr>
        <w:spacing w:line="360" w:lineRule="auto"/>
        <w:ind w:firstLineChars="0"/>
        <w:contextualSpacing/>
        <w:rPr>
          <w:rFonts w:ascii="宋体" w:hAnsi="宋体" w:cs="宋体" w:hint="eastAsia"/>
          <w:b/>
          <w:sz w:val="24"/>
          <w:szCs w:val="24"/>
        </w:rPr>
      </w:pPr>
      <w:r>
        <w:rPr>
          <w:rFonts w:ascii="宋体" w:hAnsi="宋体" w:cs="宋体" w:hint="eastAsia"/>
          <w:b/>
          <w:sz w:val="24"/>
          <w:szCs w:val="24"/>
        </w:rPr>
        <w:t>采购标的</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2180"/>
        <w:gridCol w:w="1460"/>
        <w:gridCol w:w="1837"/>
        <w:gridCol w:w="1347"/>
        <w:gridCol w:w="1589"/>
      </w:tblGrid>
      <w:tr w:rsidR="008264A7" w14:paraId="2B5AC927" w14:textId="77777777" w:rsidTr="00546830">
        <w:trPr>
          <w:trHeight w:val="879"/>
          <w:jc w:val="center"/>
        </w:trPr>
        <w:tc>
          <w:tcPr>
            <w:tcW w:w="784" w:type="dxa"/>
            <w:vAlign w:val="center"/>
          </w:tcPr>
          <w:p w14:paraId="080636FA" w14:textId="77777777" w:rsidR="008264A7" w:rsidRDefault="00E115AB">
            <w:pPr>
              <w:jc w:val="center"/>
              <w:rPr>
                <w:rFonts w:ascii="宋体" w:hAnsi="宋体" w:cs="宋体" w:hint="eastAsia"/>
                <w:b/>
                <w:bCs/>
                <w:sz w:val="24"/>
              </w:rPr>
            </w:pPr>
            <w:r>
              <w:rPr>
                <w:rFonts w:ascii="宋体" w:hAnsi="宋体" w:cs="宋体" w:hint="eastAsia"/>
                <w:b/>
                <w:bCs/>
                <w:sz w:val="24"/>
              </w:rPr>
              <w:t>序号</w:t>
            </w:r>
          </w:p>
        </w:tc>
        <w:tc>
          <w:tcPr>
            <w:tcW w:w="2180" w:type="dxa"/>
            <w:vAlign w:val="center"/>
          </w:tcPr>
          <w:p w14:paraId="7177D82E" w14:textId="77777777" w:rsidR="008264A7" w:rsidRDefault="00E115AB">
            <w:pPr>
              <w:jc w:val="center"/>
              <w:rPr>
                <w:rFonts w:ascii="宋体" w:hAnsi="宋体" w:cs="宋体" w:hint="eastAsia"/>
                <w:b/>
                <w:bCs/>
                <w:sz w:val="24"/>
              </w:rPr>
            </w:pPr>
            <w:r>
              <w:rPr>
                <w:rFonts w:ascii="宋体" w:hAnsi="宋体" w:cs="宋体" w:hint="eastAsia"/>
                <w:b/>
                <w:bCs/>
                <w:sz w:val="24"/>
              </w:rPr>
              <w:t>标的名称</w:t>
            </w:r>
          </w:p>
        </w:tc>
        <w:tc>
          <w:tcPr>
            <w:tcW w:w="1460" w:type="dxa"/>
            <w:vAlign w:val="center"/>
          </w:tcPr>
          <w:p w14:paraId="1DAD41DE" w14:textId="77777777" w:rsidR="008264A7" w:rsidRDefault="00E115AB">
            <w:pPr>
              <w:jc w:val="center"/>
              <w:rPr>
                <w:rFonts w:ascii="宋体" w:hAnsi="宋体" w:cs="宋体" w:hint="eastAsia"/>
                <w:b/>
                <w:bCs/>
                <w:sz w:val="24"/>
              </w:rPr>
            </w:pPr>
            <w:r>
              <w:rPr>
                <w:rFonts w:ascii="宋体" w:hAnsi="宋体" w:cs="宋体" w:hint="eastAsia"/>
                <w:b/>
                <w:bCs/>
                <w:sz w:val="24"/>
              </w:rPr>
              <w:t>数量</w:t>
            </w:r>
          </w:p>
          <w:p w14:paraId="1AC49D85" w14:textId="77777777" w:rsidR="008264A7" w:rsidRDefault="00E115AB">
            <w:pPr>
              <w:jc w:val="center"/>
              <w:rPr>
                <w:rFonts w:ascii="宋体" w:hAnsi="宋体" w:cs="宋体" w:hint="eastAsia"/>
                <w:b/>
                <w:bCs/>
                <w:sz w:val="24"/>
              </w:rPr>
            </w:pPr>
            <w:r>
              <w:rPr>
                <w:rFonts w:ascii="宋体" w:hAnsi="宋体" w:cs="宋体" w:hint="eastAsia"/>
                <w:b/>
                <w:bCs/>
                <w:sz w:val="24"/>
              </w:rPr>
              <w:t>（套）</w:t>
            </w:r>
          </w:p>
        </w:tc>
        <w:tc>
          <w:tcPr>
            <w:tcW w:w="1837" w:type="dxa"/>
            <w:vAlign w:val="center"/>
          </w:tcPr>
          <w:p w14:paraId="03DBAFD1" w14:textId="77777777" w:rsidR="008264A7" w:rsidRDefault="00E115AB">
            <w:pPr>
              <w:jc w:val="center"/>
              <w:rPr>
                <w:rFonts w:ascii="宋体" w:hAnsi="宋体" w:cs="宋体" w:hint="eastAsia"/>
                <w:b/>
                <w:bCs/>
                <w:sz w:val="24"/>
              </w:rPr>
            </w:pPr>
            <w:r>
              <w:rPr>
                <w:rFonts w:ascii="宋体" w:hAnsi="宋体" w:cs="宋体" w:hint="eastAsia"/>
                <w:b/>
                <w:bCs/>
                <w:sz w:val="24"/>
              </w:rPr>
              <w:t>单价最高限价</w:t>
            </w:r>
          </w:p>
          <w:p w14:paraId="1DF496C1" w14:textId="77777777" w:rsidR="008264A7" w:rsidRDefault="00E115AB">
            <w:pPr>
              <w:jc w:val="center"/>
              <w:rPr>
                <w:rFonts w:ascii="宋体" w:hAnsi="宋体" w:cs="宋体" w:hint="eastAsia"/>
                <w:b/>
                <w:bCs/>
                <w:sz w:val="24"/>
              </w:rPr>
            </w:pPr>
            <w:r>
              <w:rPr>
                <w:rFonts w:ascii="宋体" w:hAnsi="宋体" w:cs="宋体" w:hint="eastAsia"/>
                <w:b/>
                <w:bCs/>
                <w:sz w:val="24"/>
              </w:rPr>
              <w:t>（万元）</w:t>
            </w:r>
          </w:p>
        </w:tc>
        <w:tc>
          <w:tcPr>
            <w:tcW w:w="1347" w:type="dxa"/>
            <w:vAlign w:val="center"/>
          </w:tcPr>
          <w:p w14:paraId="4B483BEF" w14:textId="77777777" w:rsidR="008264A7" w:rsidRDefault="00E115AB">
            <w:pPr>
              <w:jc w:val="center"/>
              <w:rPr>
                <w:rFonts w:ascii="宋体" w:hAnsi="宋体" w:cs="宋体" w:hint="eastAsia"/>
                <w:b/>
                <w:bCs/>
                <w:sz w:val="24"/>
              </w:rPr>
            </w:pPr>
            <w:r>
              <w:rPr>
                <w:rFonts w:ascii="宋体" w:hAnsi="宋体" w:cs="宋体" w:hint="eastAsia"/>
                <w:b/>
                <w:bCs/>
                <w:sz w:val="24"/>
              </w:rPr>
              <w:t>是否允许进口</w:t>
            </w:r>
          </w:p>
        </w:tc>
        <w:tc>
          <w:tcPr>
            <w:tcW w:w="1589" w:type="dxa"/>
            <w:vAlign w:val="center"/>
          </w:tcPr>
          <w:p w14:paraId="2D302727" w14:textId="77777777" w:rsidR="008264A7" w:rsidRDefault="00E115AB">
            <w:pPr>
              <w:jc w:val="center"/>
              <w:rPr>
                <w:rFonts w:ascii="宋体" w:hAnsi="宋体" w:cs="宋体" w:hint="eastAsia"/>
                <w:b/>
                <w:bCs/>
                <w:sz w:val="24"/>
              </w:rPr>
            </w:pPr>
            <w:r>
              <w:rPr>
                <w:rFonts w:ascii="宋体" w:hAnsi="宋体" w:cs="宋体" w:hint="eastAsia"/>
                <w:b/>
                <w:bCs/>
                <w:sz w:val="24"/>
              </w:rPr>
              <w:t>是否为核心产品</w:t>
            </w:r>
          </w:p>
        </w:tc>
      </w:tr>
      <w:tr w:rsidR="008264A7" w14:paraId="15D00844" w14:textId="77777777" w:rsidTr="00546830">
        <w:trPr>
          <w:trHeight w:val="834"/>
          <w:jc w:val="center"/>
        </w:trPr>
        <w:tc>
          <w:tcPr>
            <w:tcW w:w="784" w:type="dxa"/>
            <w:vAlign w:val="center"/>
          </w:tcPr>
          <w:p w14:paraId="54E3A9AB" w14:textId="77777777" w:rsidR="008264A7" w:rsidRDefault="00E115AB">
            <w:pPr>
              <w:widowControl/>
              <w:jc w:val="center"/>
              <w:textAlignment w:val="center"/>
              <w:rPr>
                <w:rFonts w:ascii="宋体" w:hAnsi="宋体" w:cs="宋体" w:hint="eastAsia"/>
                <w:bCs/>
                <w:sz w:val="24"/>
              </w:rPr>
            </w:pPr>
            <w:r>
              <w:rPr>
                <w:rFonts w:ascii="宋体" w:hAnsi="宋体" w:cs="宋体" w:hint="eastAsia"/>
                <w:bCs/>
                <w:sz w:val="24"/>
              </w:rPr>
              <w:t>1</w:t>
            </w:r>
          </w:p>
        </w:tc>
        <w:tc>
          <w:tcPr>
            <w:tcW w:w="2180" w:type="dxa"/>
            <w:vAlign w:val="center"/>
          </w:tcPr>
          <w:p w14:paraId="3CF0F06B" w14:textId="77777777" w:rsidR="008264A7" w:rsidRDefault="00E115AB">
            <w:pPr>
              <w:widowControl/>
              <w:jc w:val="center"/>
              <w:textAlignment w:val="center"/>
              <w:rPr>
                <w:rFonts w:ascii="宋体" w:hAnsi="宋体" w:cs="宋体" w:hint="eastAsia"/>
                <w:bCs/>
                <w:sz w:val="24"/>
              </w:rPr>
            </w:pPr>
            <w:r>
              <w:rPr>
                <w:rFonts w:ascii="宋体" w:hAnsi="宋体" w:cs="宋体" w:hint="eastAsia"/>
                <w:bCs/>
                <w:sz w:val="24"/>
              </w:rPr>
              <w:t>生物反馈治疗仪</w:t>
            </w:r>
          </w:p>
        </w:tc>
        <w:tc>
          <w:tcPr>
            <w:tcW w:w="1460" w:type="dxa"/>
            <w:vAlign w:val="center"/>
          </w:tcPr>
          <w:p w14:paraId="024416E9" w14:textId="77777777" w:rsidR="008264A7" w:rsidRDefault="00E115AB">
            <w:pPr>
              <w:widowControl/>
              <w:jc w:val="center"/>
              <w:textAlignment w:val="center"/>
              <w:rPr>
                <w:rFonts w:ascii="宋体" w:hAnsi="宋体" w:cs="宋体" w:hint="eastAsia"/>
                <w:bCs/>
                <w:sz w:val="24"/>
              </w:rPr>
            </w:pPr>
            <w:r>
              <w:rPr>
                <w:rFonts w:ascii="宋体" w:hAnsi="宋体" w:cs="宋体" w:hint="eastAsia"/>
                <w:bCs/>
                <w:sz w:val="24"/>
              </w:rPr>
              <w:t>2</w:t>
            </w:r>
          </w:p>
        </w:tc>
        <w:tc>
          <w:tcPr>
            <w:tcW w:w="1837" w:type="dxa"/>
            <w:vAlign w:val="center"/>
          </w:tcPr>
          <w:p w14:paraId="092F9A8D" w14:textId="77777777" w:rsidR="008264A7" w:rsidRDefault="00E115AB">
            <w:pPr>
              <w:widowControl/>
              <w:jc w:val="center"/>
              <w:textAlignment w:val="center"/>
              <w:rPr>
                <w:rFonts w:ascii="宋体" w:hAnsi="宋体" w:cs="宋体" w:hint="eastAsia"/>
                <w:bCs/>
                <w:sz w:val="24"/>
              </w:rPr>
            </w:pPr>
            <w:r>
              <w:rPr>
                <w:rFonts w:ascii="宋体" w:hAnsi="宋体" w:cs="宋体" w:hint="eastAsia"/>
                <w:bCs/>
                <w:sz w:val="24"/>
              </w:rPr>
              <w:t>19</w:t>
            </w:r>
          </w:p>
        </w:tc>
        <w:tc>
          <w:tcPr>
            <w:tcW w:w="1347" w:type="dxa"/>
            <w:vAlign w:val="center"/>
          </w:tcPr>
          <w:p w14:paraId="0248C5A8" w14:textId="77777777" w:rsidR="008264A7" w:rsidRDefault="00E115AB">
            <w:pPr>
              <w:widowControl/>
              <w:jc w:val="center"/>
              <w:textAlignment w:val="center"/>
              <w:rPr>
                <w:rFonts w:ascii="宋体" w:hAnsi="宋体" w:cs="宋体" w:hint="eastAsia"/>
                <w:bCs/>
                <w:sz w:val="24"/>
              </w:rPr>
            </w:pPr>
            <w:r>
              <w:rPr>
                <w:rFonts w:ascii="宋体" w:hAnsi="宋体" w:cs="宋体" w:hint="eastAsia"/>
                <w:bCs/>
                <w:sz w:val="24"/>
              </w:rPr>
              <w:t>否</w:t>
            </w:r>
          </w:p>
        </w:tc>
        <w:tc>
          <w:tcPr>
            <w:tcW w:w="1589" w:type="dxa"/>
            <w:vAlign w:val="center"/>
          </w:tcPr>
          <w:p w14:paraId="3CD36B81" w14:textId="77777777" w:rsidR="008264A7" w:rsidRDefault="00E115AB">
            <w:pPr>
              <w:widowControl/>
              <w:jc w:val="center"/>
              <w:textAlignment w:val="center"/>
              <w:rPr>
                <w:rFonts w:ascii="宋体" w:hAnsi="宋体" w:cs="宋体" w:hint="eastAsia"/>
                <w:bCs/>
                <w:sz w:val="24"/>
              </w:rPr>
            </w:pPr>
            <w:r>
              <w:rPr>
                <w:rFonts w:ascii="宋体" w:hAnsi="宋体" w:cs="宋体" w:hint="eastAsia"/>
                <w:bCs/>
                <w:sz w:val="24"/>
              </w:rPr>
              <w:t>是</w:t>
            </w:r>
          </w:p>
        </w:tc>
      </w:tr>
      <w:tr w:rsidR="008264A7" w14:paraId="742E7211" w14:textId="77777777" w:rsidTr="00546830">
        <w:trPr>
          <w:trHeight w:val="834"/>
          <w:jc w:val="center"/>
        </w:trPr>
        <w:tc>
          <w:tcPr>
            <w:tcW w:w="784" w:type="dxa"/>
            <w:vAlign w:val="center"/>
          </w:tcPr>
          <w:p w14:paraId="68D9D877" w14:textId="77777777" w:rsidR="008264A7" w:rsidRDefault="00E115AB">
            <w:pPr>
              <w:widowControl/>
              <w:jc w:val="center"/>
              <w:textAlignment w:val="center"/>
              <w:rPr>
                <w:rFonts w:ascii="宋体" w:hAnsi="宋体" w:cs="宋体" w:hint="eastAsia"/>
                <w:bCs/>
                <w:sz w:val="24"/>
              </w:rPr>
            </w:pPr>
            <w:r>
              <w:rPr>
                <w:rFonts w:ascii="宋体" w:hAnsi="宋体" w:cs="宋体" w:hint="eastAsia"/>
                <w:bCs/>
                <w:sz w:val="24"/>
              </w:rPr>
              <w:t>2</w:t>
            </w:r>
          </w:p>
        </w:tc>
        <w:tc>
          <w:tcPr>
            <w:tcW w:w="2180" w:type="dxa"/>
            <w:vAlign w:val="center"/>
          </w:tcPr>
          <w:p w14:paraId="08523D2D" w14:textId="77777777" w:rsidR="008264A7" w:rsidRDefault="00E115AB">
            <w:pPr>
              <w:widowControl/>
              <w:jc w:val="center"/>
              <w:textAlignment w:val="center"/>
              <w:rPr>
                <w:rFonts w:ascii="宋体" w:hAnsi="宋体" w:cs="宋体" w:hint="eastAsia"/>
                <w:bCs/>
                <w:sz w:val="24"/>
              </w:rPr>
            </w:pPr>
            <w:r>
              <w:rPr>
                <w:rFonts w:ascii="宋体" w:hAnsi="宋体" w:cs="宋体" w:hint="eastAsia"/>
                <w:bCs/>
                <w:sz w:val="24"/>
              </w:rPr>
              <w:t>便携式多导睡眠监测仪</w:t>
            </w:r>
          </w:p>
        </w:tc>
        <w:tc>
          <w:tcPr>
            <w:tcW w:w="1460" w:type="dxa"/>
            <w:vAlign w:val="center"/>
          </w:tcPr>
          <w:p w14:paraId="5601A90F" w14:textId="77777777" w:rsidR="008264A7" w:rsidRDefault="00E115AB">
            <w:pPr>
              <w:widowControl/>
              <w:jc w:val="center"/>
              <w:textAlignment w:val="center"/>
              <w:rPr>
                <w:rFonts w:ascii="宋体" w:hAnsi="宋体" w:cs="宋体" w:hint="eastAsia"/>
                <w:bCs/>
                <w:sz w:val="24"/>
              </w:rPr>
            </w:pPr>
            <w:r>
              <w:rPr>
                <w:rFonts w:ascii="宋体" w:hAnsi="宋体" w:cs="宋体" w:hint="eastAsia"/>
                <w:bCs/>
                <w:sz w:val="24"/>
              </w:rPr>
              <w:t>3</w:t>
            </w:r>
          </w:p>
        </w:tc>
        <w:tc>
          <w:tcPr>
            <w:tcW w:w="1837" w:type="dxa"/>
            <w:vAlign w:val="center"/>
          </w:tcPr>
          <w:p w14:paraId="18BF89C1" w14:textId="77777777" w:rsidR="008264A7" w:rsidRDefault="00E115AB">
            <w:pPr>
              <w:widowControl/>
              <w:jc w:val="center"/>
              <w:textAlignment w:val="center"/>
              <w:rPr>
                <w:rFonts w:ascii="宋体" w:hAnsi="宋体" w:cs="宋体" w:hint="eastAsia"/>
                <w:bCs/>
                <w:sz w:val="24"/>
              </w:rPr>
            </w:pPr>
            <w:r>
              <w:rPr>
                <w:rFonts w:ascii="宋体" w:hAnsi="宋体" w:cs="宋体" w:hint="eastAsia"/>
                <w:bCs/>
                <w:sz w:val="24"/>
              </w:rPr>
              <w:t>16.5</w:t>
            </w:r>
          </w:p>
        </w:tc>
        <w:tc>
          <w:tcPr>
            <w:tcW w:w="1347" w:type="dxa"/>
            <w:vAlign w:val="center"/>
          </w:tcPr>
          <w:p w14:paraId="07147AC6" w14:textId="77777777" w:rsidR="008264A7" w:rsidRDefault="00E115AB">
            <w:pPr>
              <w:widowControl/>
              <w:jc w:val="center"/>
              <w:textAlignment w:val="center"/>
              <w:rPr>
                <w:rFonts w:ascii="宋体" w:hAnsi="宋体" w:cs="宋体" w:hint="eastAsia"/>
                <w:bCs/>
                <w:sz w:val="24"/>
              </w:rPr>
            </w:pPr>
            <w:r>
              <w:rPr>
                <w:rFonts w:ascii="宋体" w:hAnsi="宋体" w:cs="宋体" w:hint="eastAsia"/>
                <w:bCs/>
                <w:sz w:val="24"/>
              </w:rPr>
              <w:t>是</w:t>
            </w:r>
          </w:p>
        </w:tc>
        <w:tc>
          <w:tcPr>
            <w:tcW w:w="1589" w:type="dxa"/>
            <w:vAlign w:val="center"/>
          </w:tcPr>
          <w:p w14:paraId="37B6A03F" w14:textId="77777777" w:rsidR="008264A7" w:rsidRDefault="00E115AB">
            <w:pPr>
              <w:widowControl/>
              <w:jc w:val="center"/>
              <w:textAlignment w:val="center"/>
              <w:rPr>
                <w:rFonts w:ascii="宋体" w:hAnsi="宋体" w:cs="宋体" w:hint="eastAsia"/>
                <w:bCs/>
                <w:sz w:val="24"/>
              </w:rPr>
            </w:pPr>
            <w:r>
              <w:rPr>
                <w:rFonts w:ascii="宋体" w:hAnsi="宋体" w:cs="宋体" w:hint="eastAsia"/>
                <w:bCs/>
                <w:sz w:val="24"/>
              </w:rPr>
              <w:t>否</w:t>
            </w:r>
          </w:p>
        </w:tc>
      </w:tr>
      <w:tr w:rsidR="008264A7" w14:paraId="17AE8735" w14:textId="77777777" w:rsidTr="00546830">
        <w:trPr>
          <w:trHeight w:val="834"/>
          <w:jc w:val="center"/>
        </w:trPr>
        <w:tc>
          <w:tcPr>
            <w:tcW w:w="784" w:type="dxa"/>
            <w:vAlign w:val="center"/>
          </w:tcPr>
          <w:p w14:paraId="34DAE692" w14:textId="77777777" w:rsidR="008264A7" w:rsidRDefault="00E115AB">
            <w:pPr>
              <w:widowControl/>
              <w:jc w:val="center"/>
              <w:textAlignment w:val="center"/>
              <w:rPr>
                <w:rFonts w:ascii="宋体" w:hAnsi="宋体" w:cs="宋体" w:hint="eastAsia"/>
                <w:bCs/>
                <w:sz w:val="24"/>
              </w:rPr>
            </w:pPr>
            <w:r>
              <w:rPr>
                <w:rFonts w:ascii="宋体" w:hAnsi="宋体" w:cs="宋体" w:hint="eastAsia"/>
                <w:bCs/>
                <w:sz w:val="24"/>
              </w:rPr>
              <w:t>3</w:t>
            </w:r>
          </w:p>
        </w:tc>
        <w:tc>
          <w:tcPr>
            <w:tcW w:w="2180" w:type="dxa"/>
            <w:vAlign w:val="center"/>
          </w:tcPr>
          <w:p w14:paraId="4CCC3433" w14:textId="77777777" w:rsidR="008264A7" w:rsidRDefault="00E115AB">
            <w:pPr>
              <w:widowControl/>
              <w:jc w:val="center"/>
              <w:textAlignment w:val="center"/>
              <w:rPr>
                <w:rFonts w:ascii="宋体" w:hAnsi="宋体" w:cs="宋体" w:hint="eastAsia"/>
                <w:bCs/>
                <w:sz w:val="24"/>
              </w:rPr>
            </w:pPr>
            <w:r>
              <w:rPr>
                <w:rFonts w:ascii="宋体" w:hAnsi="宋体" w:cs="宋体" w:hint="eastAsia"/>
                <w:bCs/>
                <w:sz w:val="24"/>
              </w:rPr>
              <w:t>心理治疗沙盘</w:t>
            </w:r>
          </w:p>
        </w:tc>
        <w:tc>
          <w:tcPr>
            <w:tcW w:w="1460" w:type="dxa"/>
            <w:vAlign w:val="center"/>
          </w:tcPr>
          <w:p w14:paraId="50FB551A" w14:textId="77777777" w:rsidR="008264A7" w:rsidRDefault="00E115AB">
            <w:pPr>
              <w:widowControl/>
              <w:jc w:val="center"/>
              <w:textAlignment w:val="center"/>
              <w:rPr>
                <w:rFonts w:ascii="宋体" w:hAnsi="宋体" w:cs="宋体" w:hint="eastAsia"/>
                <w:bCs/>
                <w:sz w:val="24"/>
              </w:rPr>
            </w:pPr>
            <w:r>
              <w:rPr>
                <w:rFonts w:ascii="宋体" w:hAnsi="宋体" w:cs="宋体" w:hint="eastAsia"/>
                <w:bCs/>
                <w:sz w:val="24"/>
              </w:rPr>
              <w:t>15</w:t>
            </w:r>
          </w:p>
        </w:tc>
        <w:tc>
          <w:tcPr>
            <w:tcW w:w="1837" w:type="dxa"/>
            <w:vAlign w:val="center"/>
          </w:tcPr>
          <w:p w14:paraId="54FCB8B6" w14:textId="77777777" w:rsidR="008264A7" w:rsidRDefault="00E115AB">
            <w:pPr>
              <w:widowControl/>
              <w:jc w:val="center"/>
              <w:textAlignment w:val="center"/>
              <w:rPr>
                <w:rFonts w:ascii="宋体" w:hAnsi="宋体" w:cs="宋体" w:hint="eastAsia"/>
                <w:bCs/>
                <w:sz w:val="24"/>
              </w:rPr>
            </w:pPr>
            <w:r>
              <w:rPr>
                <w:rFonts w:ascii="宋体" w:hAnsi="宋体" w:cs="宋体" w:hint="eastAsia"/>
                <w:bCs/>
                <w:sz w:val="24"/>
              </w:rPr>
              <w:t>0.8</w:t>
            </w:r>
          </w:p>
        </w:tc>
        <w:tc>
          <w:tcPr>
            <w:tcW w:w="1347" w:type="dxa"/>
            <w:vAlign w:val="center"/>
          </w:tcPr>
          <w:p w14:paraId="7E46F807" w14:textId="77777777" w:rsidR="008264A7" w:rsidRDefault="00E115AB">
            <w:pPr>
              <w:widowControl/>
              <w:jc w:val="center"/>
              <w:textAlignment w:val="center"/>
              <w:rPr>
                <w:rFonts w:ascii="宋体" w:hAnsi="宋体" w:cs="宋体" w:hint="eastAsia"/>
                <w:bCs/>
                <w:sz w:val="24"/>
              </w:rPr>
            </w:pPr>
            <w:r>
              <w:rPr>
                <w:rFonts w:ascii="宋体" w:hAnsi="宋体" w:cs="宋体" w:hint="eastAsia"/>
                <w:bCs/>
                <w:sz w:val="24"/>
              </w:rPr>
              <w:t>否</w:t>
            </w:r>
          </w:p>
        </w:tc>
        <w:tc>
          <w:tcPr>
            <w:tcW w:w="1589" w:type="dxa"/>
            <w:vAlign w:val="center"/>
          </w:tcPr>
          <w:p w14:paraId="03A6238D" w14:textId="77777777" w:rsidR="008264A7" w:rsidRDefault="00E115AB">
            <w:pPr>
              <w:widowControl/>
              <w:jc w:val="center"/>
              <w:textAlignment w:val="center"/>
              <w:rPr>
                <w:rFonts w:ascii="宋体" w:hAnsi="宋体" w:cs="宋体" w:hint="eastAsia"/>
                <w:bCs/>
                <w:sz w:val="24"/>
              </w:rPr>
            </w:pPr>
            <w:r>
              <w:rPr>
                <w:rFonts w:ascii="宋体" w:hAnsi="宋体" w:cs="宋体" w:hint="eastAsia"/>
                <w:bCs/>
                <w:sz w:val="24"/>
              </w:rPr>
              <w:t>否</w:t>
            </w:r>
          </w:p>
        </w:tc>
      </w:tr>
    </w:tbl>
    <w:p w14:paraId="2C0F91FB" w14:textId="77777777" w:rsidR="008264A7" w:rsidRDefault="00E115AB">
      <w:pPr>
        <w:pStyle w:val="22"/>
        <w:spacing w:line="360" w:lineRule="auto"/>
        <w:rPr>
          <w:rFonts w:ascii="宋体" w:hAnsi="宋体" w:cs="宋体" w:hint="eastAsia"/>
          <w:b/>
          <w:sz w:val="24"/>
        </w:rPr>
      </w:pPr>
      <w:r>
        <w:rPr>
          <w:rFonts w:ascii="宋体" w:hAnsi="宋体" w:cs="宋体" w:hint="eastAsia"/>
          <w:bCs/>
          <w:sz w:val="24"/>
        </w:rPr>
        <w:t>二、</w:t>
      </w:r>
      <w:r>
        <w:rPr>
          <w:rFonts w:ascii="宋体" w:hAnsi="宋体" w:cs="宋体" w:hint="eastAsia"/>
          <w:b/>
          <w:sz w:val="24"/>
        </w:rPr>
        <w:t>商务要求</w:t>
      </w:r>
    </w:p>
    <w:p w14:paraId="6C6001EE" w14:textId="77777777" w:rsidR="008264A7" w:rsidRDefault="00E115AB">
      <w:pPr>
        <w:spacing w:line="360" w:lineRule="auto"/>
        <w:ind w:firstLineChars="200" w:firstLine="482"/>
        <w:contextualSpacing/>
        <w:jc w:val="left"/>
        <w:rPr>
          <w:rFonts w:ascii="宋体" w:hAnsi="宋体" w:cs="宋体" w:hint="eastAsia"/>
          <w:b/>
          <w:sz w:val="24"/>
        </w:rPr>
      </w:pPr>
      <w:r>
        <w:rPr>
          <w:rFonts w:ascii="宋体" w:hAnsi="宋体" w:cs="宋体" w:hint="eastAsia"/>
          <w:b/>
          <w:sz w:val="24"/>
        </w:rPr>
        <w:t>（一）交货时间和地点：</w:t>
      </w:r>
    </w:p>
    <w:p w14:paraId="3A36E6B2" w14:textId="77777777" w:rsidR="008264A7" w:rsidRDefault="00E115AB">
      <w:pPr>
        <w:pStyle w:val="a0"/>
        <w:spacing w:line="360" w:lineRule="auto"/>
        <w:ind w:firstLineChars="200" w:firstLine="480"/>
        <w:rPr>
          <w:rFonts w:hAnsi="宋体" w:cs="宋体" w:hint="eastAsia"/>
          <w:bCs/>
        </w:rPr>
      </w:pPr>
      <w:r>
        <w:rPr>
          <w:rFonts w:hAnsi="宋体" w:cs="宋体" w:hint="eastAsia"/>
          <w:bCs/>
        </w:rPr>
        <w:t>1.交货时间：合同签订后60日内完成交货。</w:t>
      </w:r>
    </w:p>
    <w:p w14:paraId="673D0F68" w14:textId="77777777" w:rsidR="008264A7" w:rsidRDefault="00E115AB">
      <w:pPr>
        <w:pStyle w:val="a0"/>
        <w:spacing w:line="360" w:lineRule="auto"/>
        <w:ind w:firstLineChars="200" w:firstLine="480"/>
        <w:rPr>
          <w:rFonts w:hAnsi="宋体" w:cs="宋体" w:hint="eastAsia"/>
          <w:bCs/>
        </w:rPr>
      </w:pPr>
      <w:r>
        <w:rPr>
          <w:rFonts w:hAnsi="宋体" w:cs="宋体" w:hint="eastAsia"/>
          <w:bCs/>
        </w:rPr>
        <w:t>2.交货地点：采购人指定地点</w:t>
      </w:r>
    </w:p>
    <w:p w14:paraId="2C84F355" w14:textId="77777777" w:rsidR="008264A7" w:rsidRDefault="00E115AB">
      <w:pPr>
        <w:pStyle w:val="a0"/>
        <w:spacing w:line="360" w:lineRule="auto"/>
        <w:ind w:firstLineChars="200" w:firstLine="480"/>
      </w:pPr>
      <w:r>
        <w:rPr>
          <w:rFonts w:hAnsi="宋体" w:cs="宋体" w:hint="eastAsia"/>
          <w:bCs/>
        </w:rPr>
        <w:t>3.安装时间：卖方须在交货后30日内完成安装、调试、培训等采购人能够正常使用前的一切工作。</w:t>
      </w:r>
    </w:p>
    <w:p w14:paraId="0377C299" w14:textId="77777777" w:rsidR="008264A7" w:rsidRDefault="00E115AB">
      <w:pPr>
        <w:spacing w:line="360" w:lineRule="auto"/>
        <w:ind w:firstLineChars="200" w:firstLine="482"/>
        <w:contextualSpacing/>
        <w:jc w:val="left"/>
        <w:rPr>
          <w:rFonts w:ascii="宋体" w:hAnsi="宋体" w:cs="宋体" w:hint="eastAsia"/>
          <w:sz w:val="24"/>
        </w:rPr>
      </w:pPr>
      <w:r>
        <w:rPr>
          <w:rFonts w:ascii="宋体" w:hAnsi="宋体" w:cs="宋体" w:hint="eastAsia"/>
          <w:b/>
          <w:sz w:val="24"/>
        </w:rPr>
        <w:t>（二）付款条件（进度和方式）：</w:t>
      </w:r>
      <w:r>
        <w:rPr>
          <w:rFonts w:ascii="宋体" w:hAnsi="宋体" w:cs="宋体" w:hint="eastAsia"/>
          <w:bCs/>
          <w:sz w:val="24"/>
        </w:rPr>
        <w:t>见第六章拟签订的合同文本</w:t>
      </w:r>
    </w:p>
    <w:p w14:paraId="24711C55" w14:textId="77777777" w:rsidR="008264A7" w:rsidRDefault="00E115AB">
      <w:pPr>
        <w:pStyle w:val="TOC2"/>
        <w:spacing w:line="360" w:lineRule="auto"/>
        <w:ind w:leftChars="0" w:left="0" w:firstLineChars="200" w:firstLine="482"/>
        <w:jc w:val="left"/>
        <w:rPr>
          <w:rFonts w:ascii="宋体" w:hAnsi="宋体" w:cs="宋体" w:hint="eastAsia"/>
          <w:sz w:val="24"/>
        </w:rPr>
      </w:pPr>
      <w:r>
        <w:rPr>
          <w:rFonts w:ascii="宋体" w:hAnsi="宋体" w:cs="宋体" w:hint="eastAsia"/>
          <w:b/>
          <w:bCs/>
          <w:sz w:val="24"/>
        </w:rPr>
        <w:t>（三）包装和运输</w:t>
      </w:r>
      <w:r>
        <w:rPr>
          <w:rFonts w:ascii="宋体" w:hAnsi="宋体" w:cs="宋体" w:hint="eastAsia"/>
          <w:sz w:val="24"/>
        </w:rPr>
        <w:t>（如适用，须满足《关于印发〈商品包装政府采购需求标准（试行）〉、〈快递包装政府采购需求标准（试行）〉的通知》（财办库﹝2020﹞123号））</w:t>
      </w:r>
    </w:p>
    <w:p w14:paraId="2258BDED" w14:textId="77777777" w:rsidR="008264A7" w:rsidRDefault="00E115AB">
      <w:pPr>
        <w:pStyle w:val="TOC2"/>
        <w:spacing w:line="360" w:lineRule="auto"/>
        <w:ind w:leftChars="0" w:left="0" w:firstLineChars="200" w:firstLine="482"/>
        <w:jc w:val="left"/>
        <w:rPr>
          <w:rFonts w:ascii="宋体" w:hAnsi="宋体" w:cs="宋体" w:hint="eastAsia"/>
          <w:b/>
          <w:bCs/>
          <w:sz w:val="24"/>
        </w:rPr>
      </w:pPr>
      <w:r>
        <w:rPr>
          <w:rFonts w:ascii="宋体" w:hAnsi="宋体" w:cs="宋体" w:hint="eastAsia"/>
          <w:b/>
          <w:bCs/>
          <w:sz w:val="24"/>
        </w:rPr>
        <w:t xml:space="preserve">（四）采购标的需满足的服务标准、期限、效率等要求 </w:t>
      </w:r>
    </w:p>
    <w:p w14:paraId="417AE6CB" w14:textId="77777777" w:rsidR="008264A7" w:rsidRDefault="00E115AB">
      <w:pPr>
        <w:pStyle w:val="a0"/>
        <w:spacing w:line="360" w:lineRule="auto"/>
        <w:ind w:firstLineChars="200" w:firstLine="480"/>
        <w:rPr>
          <w:rFonts w:hAnsi="宋体" w:cs="宋体" w:hint="eastAsia"/>
          <w:bCs/>
        </w:rPr>
      </w:pPr>
      <w:r>
        <w:rPr>
          <w:rFonts w:hAnsi="宋体" w:cs="宋体" w:hint="eastAsia"/>
          <w:bCs/>
        </w:rPr>
        <w:t>1.质保期</w:t>
      </w:r>
    </w:p>
    <w:p w14:paraId="22F4CE58" w14:textId="77777777" w:rsidR="008264A7" w:rsidRDefault="00E115AB">
      <w:pPr>
        <w:pStyle w:val="a0"/>
        <w:spacing w:line="360" w:lineRule="auto"/>
        <w:ind w:firstLineChars="200" w:firstLine="480"/>
        <w:rPr>
          <w:rFonts w:hAnsi="宋体" w:cs="宋体" w:hint="eastAsia"/>
          <w:bCs/>
        </w:rPr>
      </w:pPr>
      <w:r>
        <w:rPr>
          <w:rFonts w:hAnsi="宋体" w:cs="宋体" w:hint="eastAsia"/>
          <w:bCs/>
        </w:rPr>
        <w:t>1.1生物反馈治疗仪整机质保期≥5年，软件终身免费升级；</w:t>
      </w:r>
    </w:p>
    <w:p w14:paraId="249CBC38" w14:textId="77777777" w:rsidR="008264A7" w:rsidRDefault="00E115AB">
      <w:pPr>
        <w:pStyle w:val="a0"/>
        <w:spacing w:line="360" w:lineRule="auto"/>
        <w:ind w:firstLineChars="200" w:firstLine="480"/>
        <w:rPr>
          <w:rFonts w:hAnsi="宋体" w:cs="宋体" w:hint="eastAsia"/>
          <w:bCs/>
        </w:rPr>
      </w:pPr>
      <w:r>
        <w:rPr>
          <w:rFonts w:hAnsi="宋体" w:cs="宋体" w:hint="eastAsia"/>
          <w:bCs/>
        </w:rPr>
        <w:t>1.2便携式多导睡眠监测仪整机质保期≥3年，软件终身免费升级；</w:t>
      </w:r>
    </w:p>
    <w:p w14:paraId="2BED774D" w14:textId="77777777" w:rsidR="008264A7" w:rsidRDefault="00E115AB">
      <w:pPr>
        <w:pStyle w:val="a0"/>
        <w:spacing w:line="360" w:lineRule="auto"/>
        <w:ind w:firstLineChars="200" w:firstLine="480"/>
      </w:pPr>
      <w:r>
        <w:rPr>
          <w:rFonts w:hAnsi="宋体" w:cs="宋体" w:hint="eastAsia"/>
          <w:bCs/>
        </w:rPr>
        <w:t>1.3心理治疗沙盘整机质保期≥5年，软件终身免费升级。</w:t>
      </w:r>
    </w:p>
    <w:p w14:paraId="50069F56" w14:textId="77777777" w:rsidR="008264A7" w:rsidRDefault="00E115AB">
      <w:pPr>
        <w:pStyle w:val="a0"/>
        <w:spacing w:line="360" w:lineRule="auto"/>
        <w:ind w:firstLineChars="200" w:firstLine="480"/>
        <w:rPr>
          <w:rFonts w:hAnsi="宋体" w:cs="宋体" w:hint="eastAsia"/>
          <w:bCs/>
        </w:rPr>
      </w:pPr>
      <w:r>
        <w:rPr>
          <w:rFonts w:hAnsi="宋体" w:cs="宋体" w:hint="eastAsia"/>
          <w:bCs/>
        </w:rPr>
        <w:t>2.技术支持：</w:t>
      </w:r>
    </w:p>
    <w:p w14:paraId="291B8255" w14:textId="77777777" w:rsidR="008264A7" w:rsidRDefault="00E115AB">
      <w:pPr>
        <w:pStyle w:val="a0"/>
        <w:spacing w:line="360" w:lineRule="auto"/>
        <w:ind w:firstLineChars="200" w:firstLine="480"/>
        <w:rPr>
          <w:rFonts w:hAnsi="宋体" w:cs="宋体" w:hint="eastAsia"/>
          <w:bCs/>
        </w:rPr>
      </w:pPr>
      <w:r>
        <w:rPr>
          <w:rFonts w:hAnsi="宋体" w:cs="宋体" w:hint="eastAsia"/>
          <w:bCs/>
        </w:rPr>
        <w:t>免费提供设备使用手册、培训教材、应用资料等；长期提供技术服务支持。</w:t>
      </w:r>
    </w:p>
    <w:p w14:paraId="1F63B36C" w14:textId="77777777" w:rsidR="008264A7" w:rsidRDefault="00E115AB">
      <w:pPr>
        <w:pStyle w:val="a0"/>
        <w:spacing w:line="360" w:lineRule="auto"/>
        <w:ind w:firstLineChars="200" w:firstLine="480"/>
        <w:rPr>
          <w:rFonts w:hAnsi="宋体" w:cs="宋体" w:hint="eastAsia"/>
          <w:bCs/>
        </w:rPr>
      </w:pPr>
      <w:r>
        <w:rPr>
          <w:rFonts w:hAnsi="宋体" w:cs="宋体" w:hint="eastAsia"/>
          <w:bCs/>
        </w:rPr>
        <w:t>3.维修响应时间：</w:t>
      </w:r>
    </w:p>
    <w:p w14:paraId="4EE70715" w14:textId="77777777" w:rsidR="008264A7" w:rsidRDefault="00E115AB">
      <w:pPr>
        <w:pStyle w:val="a0"/>
        <w:spacing w:line="360" w:lineRule="auto"/>
        <w:ind w:firstLineChars="200" w:firstLine="480"/>
        <w:rPr>
          <w:rFonts w:hAnsi="宋体" w:cs="宋体" w:hint="eastAsia"/>
          <w:bCs/>
        </w:rPr>
      </w:pPr>
      <w:r>
        <w:rPr>
          <w:rFonts w:hAnsi="宋体" w:cs="宋体" w:hint="eastAsia"/>
          <w:bCs/>
        </w:rPr>
        <w:t>在设备整个使用期内，卖方应确保设备的正常使用。在接到用户维修要求后须在2</w:t>
      </w:r>
      <w:r>
        <w:rPr>
          <w:rFonts w:hAnsi="宋体" w:cs="宋体" w:hint="eastAsia"/>
          <w:bCs/>
        </w:rPr>
        <w:lastRenderedPageBreak/>
        <w:t>小时内作出回应，并在48小时内派员到达买方现场实施维修。</w:t>
      </w:r>
    </w:p>
    <w:p w14:paraId="10078A19" w14:textId="77777777" w:rsidR="008264A7" w:rsidRDefault="00E115AB">
      <w:pPr>
        <w:pStyle w:val="a0"/>
        <w:spacing w:line="360" w:lineRule="auto"/>
        <w:ind w:firstLineChars="200" w:firstLine="480"/>
        <w:rPr>
          <w:rFonts w:hAnsi="宋体" w:cs="宋体" w:hint="eastAsia"/>
          <w:bCs/>
        </w:rPr>
      </w:pPr>
      <w:r>
        <w:rPr>
          <w:rFonts w:hAnsi="宋体" w:cs="宋体" w:hint="eastAsia"/>
          <w:bCs/>
        </w:rPr>
        <w:t>4.培训：</w:t>
      </w:r>
    </w:p>
    <w:p w14:paraId="0C498FEA" w14:textId="77777777" w:rsidR="008264A7" w:rsidRDefault="00E115AB">
      <w:pPr>
        <w:pStyle w:val="a0"/>
        <w:spacing w:line="360" w:lineRule="auto"/>
        <w:ind w:firstLineChars="200" w:firstLine="480"/>
        <w:rPr>
          <w:rFonts w:hAnsi="宋体" w:cs="宋体" w:hint="eastAsia"/>
          <w:bCs/>
        </w:rPr>
      </w:pPr>
      <w:r>
        <w:rPr>
          <w:rFonts w:hAnsi="宋体" w:cs="宋体" w:hint="eastAsia"/>
          <w:bCs/>
        </w:rPr>
        <w:t>免费提供设备到达现场后的应用培训，直至操作人员掌握为止。</w:t>
      </w:r>
    </w:p>
    <w:p w14:paraId="7D22CBA3" w14:textId="77777777" w:rsidR="008264A7" w:rsidRDefault="00E115AB">
      <w:pPr>
        <w:pStyle w:val="a0"/>
        <w:spacing w:line="360" w:lineRule="auto"/>
        <w:ind w:firstLineChars="200" w:firstLine="480"/>
        <w:rPr>
          <w:rFonts w:hAnsi="宋体" w:cs="宋体" w:hint="eastAsia"/>
          <w:bCs/>
        </w:rPr>
      </w:pPr>
      <w:r>
        <w:rPr>
          <w:rFonts w:hAnsi="宋体" w:cs="宋体" w:hint="eastAsia"/>
          <w:bCs/>
        </w:rPr>
        <w:t>5.验收：</w:t>
      </w:r>
    </w:p>
    <w:p w14:paraId="3AEB1EEE" w14:textId="77777777" w:rsidR="008264A7" w:rsidRDefault="00E115AB">
      <w:pPr>
        <w:pStyle w:val="a0"/>
        <w:spacing w:line="360" w:lineRule="auto"/>
        <w:ind w:firstLineChars="200" w:firstLine="480"/>
        <w:rPr>
          <w:rFonts w:hAnsi="宋体" w:cs="宋体" w:hint="eastAsia"/>
          <w:bCs/>
        </w:rPr>
      </w:pPr>
      <w:r>
        <w:rPr>
          <w:rFonts w:hAnsi="宋体" w:cs="宋体" w:hint="eastAsia"/>
          <w:bCs/>
        </w:rPr>
        <w:t>产品到货后，使用单位进行开箱检查，对于出现的产品损坏、数量不全、产品不符等问题时，招标人有权要求中标人退货、更换货物、补充货物。按合同文件的技术指标对产品的性能、配置进行选择性测试</w:t>
      </w:r>
    </w:p>
    <w:p w14:paraId="690E6DE5" w14:textId="77777777" w:rsidR="008264A7" w:rsidRDefault="00E115AB">
      <w:pPr>
        <w:spacing w:line="360" w:lineRule="auto"/>
        <w:ind w:firstLineChars="200" w:firstLine="482"/>
        <w:rPr>
          <w:rFonts w:ascii="宋体" w:hAnsi="宋体" w:cs="宋体" w:hint="eastAsia"/>
          <w:b/>
          <w:bCs/>
          <w:sz w:val="24"/>
        </w:rPr>
      </w:pPr>
      <w:r>
        <w:rPr>
          <w:rFonts w:ascii="宋体" w:hAnsi="宋体" w:cs="宋体" w:hint="eastAsia"/>
          <w:b/>
          <w:bCs/>
          <w:sz w:val="24"/>
        </w:rPr>
        <w:t>三、技术要求</w:t>
      </w:r>
    </w:p>
    <w:p w14:paraId="699AD76F" w14:textId="77777777" w:rsidR="008264A7" w:rsidRDefault="00E115AB">
      <w:pPr>
        <w:spacing w:line="360" w:lineRule="auto"/>
        <w:ind w:firstLineChars="200" w:firstLine="482"/>
        <w:contextualSpacing/>
        <w:rPr>
          <w:rFonts w:ascii="宋体" w:hAnsi="宋体" w:cs="宋体" w:hint="eastAsia"/>
          <w:b/>
          <w:bCs/>
          <w:sz w:val="24"/>
        </w:rPr>
      </w:pPr>
      <w:r>
        <w:rPr>
          <w:rFonts w:ascii="宋体" w:hAnsi="宋体" w:cs="宋体" w:hint="eastAsia"/>
          <w:b/>
          <w:bCs/>
          <w:sz w:val="24"/>
        </w:rPr>
        <w:t>（一）基本要求</w:t>
      </w:r>
    </w:p>
    <w:p w14:paraId="7447B714" w14:textId="77777777" w:rsidR="008264A7" w:rsidRDefault="00E115AB">
      <w:pPr>
        <w:spacing w:line="360" w:lineRule="auto"/>
        <w:ind w:firstLineChars="200" w:firstLine="482"/>
        <w:contextualSpacing/>
        <w:rPr>
          <w:rFonts w:ascii="宋体" w:hAnsi="宋体" w:cs="宋体" w:hint="eastAsia"/>
          <w:b/>
          <w:bCs/>
          <w:sz w:val="24"/>
        </w:rPr>
      </w:pPr>
      <w:r>
        <w:rPr>
          <w:rFonts w:ascii="宋体" w:hAnsi="宋体" w:cs="宋体" w:hint="eastAsia"/>
          <w:b/>
          <w:bCs/>
          <w:sz w:val="24"/>
        </w:rPr>
        <w:t>1.需满足国家相关标准、行业标准、地方标准或者其他标准、规范：</w:t>
      </w:r>
    </w:p>
    <w:p w14:paraId="7E4780D5" w14:textId="77777777" w:rsidR="008264A7" w:rsidRDefault="00E115AB">
      <w:pPr>
        <w:spacing w:line="360" w:lineRule="auto"/>
        <w:ind w:firstLineChars="200" w:firstLine="480"/>
        <w:jc w:val="left"/>
        <w:rPr>
          <w:rFonts w:ascii="宋体" w:hAnsi="宋体" w:cs="宋体" w:hint="eastAsia"/>
          <w:kern w:val="0"/>
          <w:sz w:val="24"/>
        </w:rPr>
      </w:pPr>
      <w:r>
        <w:rPr>
          <w:rFonts w:ascii="宋体" w:hAnsi="宋体" w:cs="宋体" w:hint="eastAsia"/>
          <w:kern w:val="0"/>
          <w:sz w:val="24"/>
        </w:rPr>
        <w:t>★1.1投标产品属于医疗器械的，应按原国家食品药品监督管理总局颁发的《医疗器械注册管理办法》，办理医疗器械注册证或者办理备案，投标人须提供医疗器械注册证复印件或备案凭证加盖单位公章。</w:t>
      </w:r>
    </w:p>
    <w:p w14:paraId="18267447" w14:textId="77777777" w:rsidR="008264A7" w:rsidRDefault="00E115AB">
      <w:pPr>
        <w:spacing w:line="360" w:lineRule="auto"/>
        <w:ind w:firstLineChars="200" w:firstLine="480"/>
        <w:jc w:val="left"/>
        <w:rPr>
          <w:rFonts w:ascii="宋体" w:hAnsi="宋体" w:cs="宋体" w:hint="eastAsia"/>
          <w:kern w:val="0"/>
          <w:sz w:val="24"/>
        </w:rPr>
      </w:pPr>
      <w:r>
        <w:rPr>
          <w:rFonts w:ascii="宋体" w:hAnsi="宋体" w:cs="宋体" w:hint="eastAsia"/>
          <w:kern w:val="0"/>
          <w:sz w:val="24"/>
        </w:rPr>
        <w:t>★1.2如投标人为代理商，所投投标产品为国产医疗器械的，应按原国家食品药品监督管理总局颁发的《医疗器械生产监督管理办法》，还应提供制造厂商有效的医疗器械生产资格证明文件复印件加盖单位公章。</w:t>
      </w:r>
    </w:p>
    <w:p w14:paraId="164775E0" w14:textId="77777777" w:rsidR="008264A7" w:rsidRDefault="00E115AB">
      <w:pPr>
        <w:spacing w:line="360" w:lineRule="auto"/>
        <w:ind w:firstLineChars="200" w:firstLine="480"/>
        <w:jc w:val="left"/>
      </w:pPr>
      <w:r>
        <w:rPr>
          <w:rFonts w:ascii="宋体" w:hAnsi="宋体" w:cs="宋体" w:hint="eastAsia"/>
          <w:kern w:val="0"/>
          <w:sz w:val="24"/>
        </w:rPr>
        <w:t>★1.3允许采购进口的产品，若有标人所投产品为进口产品，须提供制造厂商授权书。</w:t>
      </w:r>
    </w:p>
    <w:p w14:paraId="4E81E10D" w14:textId="77777777" w:rsidR="008264A7" w:rsidRDefault="00E115AB">
      <w:pPr>
        <w:spacing w:line="360" w:lineRule="auto"/>
        <w:ind w:firstLineChars="200" w:firstLine="480"/>
        <w:jc w:val="left"/>
        <w:rPr>
          <w:rFonts w:ascii="宋体" w:hAnsi="宋体" w:cs="宋体" w:hint="eastAsia"/>
          <w:kern w:val="0"/>
          <w:sz w:val="24"/>
        </w:rPr>
      </w:pPr>
      <w:r>
        <w:rPr>
          <w:rFonts w:ascii="宋体" w:hAnsi="宋体" w:cs="宋体" w:hint="eastAsia"/>
          <w:kern w:val="0"/>
          <w:sz w:val="24"/>
        </w:rPr>
        <w:t>1.4投标产品及制造商应符合国家有关部门规定的相应技术法规及标准，如国家有关部门对投标产品或其制造商有强制性规定或要求的，投标产品或其制造商必须符合相应规定或要求。</w:t>
      </w:r>
    </w:p>
    <w:p w14:paraId="67A37EEB" w14:textId="77777777" w:rsidR="008264A7" w:rsidRDefault="00E115AB">
      <w:pPr>
        <w:spacing w:line="360" w:lineRule="auto"/>
        <w:ind w:firstLineChars="200" w:firstLine="482"/>
        <w:jc w:val="left"/>
        <w:rPr>
          <w:rFonts w:ascii="宋体" w:hAnsi="宋体" w:cs="宋体" w:hint="eastAsia"/>
          <w:b/>
          <w:bCs/>
          <w:sz w:val="24"/>
        </w:rPr>
      </w:pPr>
      <w:r>
        <w:rPr>
          <w:rFonts w:ascii="宋体" w:hAnsi="宋体" w:cs="宋体" w:hint="eastAsia"/>
          <w:b/>
          <w:bCs/>
          <w:sz w:val="24"/>
        </w:rPr>
        <w:t>（二）具体要求</w:t>
      </w:r>
    </w:p>
    <w:p w14:paraId="0648FD5A" w14:textId="77777777" w:rsidR="008264A7" w:rsidRDefault="00E115AB">
      <w:pPr>
        <w:spacing w:line="360" w:lineRule="auto"/>
        <w:ind w:firstLineChars="200" w:firstLine="482"/>
        <w:jc w:val="left"/>
        <w:outlineLvl w:val="1"/>
        <w:rPr>
          <w:rFonts w:ascii="宋体" w:hAnsi="宋体" w:cs="宋体" w:hint="eastAsia"/>
          <w:b/>
          <w:bCs/>
          <w:sz w:val="24"/>
        </w:rPr>
      </w:pPr>
      <w:r>
        <w:rPr>
          <w:rFonts w:ascii="宋体" w:hAnsi="宋体" w:cs="宋体" w:hint="eastAsia"/>
          <w:b/>
          <w:bCs/>
          <w:sz w:val="24"/>
        </w:rPr>
        <w:t>标的1：</w:t>
      </w:r>
      <w:r>
        <w:rPr>
          <w:rFonts w:ascii="宋体" w:hAnsi="宋体" w:cs="宋体"/>
          <w:b/>
          <w:bCs/>
          <w:sz w:val="24"/>
        </w:rPr>
        <w:t>生物反馈治疗仪</w:t>
      </w:r>
    </w:p>
    <w:p w14:paraId="392C2277"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1.适用于焦虑症神经精神疾病的生物反馈治疗。</w:t>
      </w:r>
    </w:p>
    <w:p w14:paraId="6D32EE9E"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2.信号采集器：AD采样位数≥24bit，AD采样率≥2000Hz，具备实时采集脑电、肌电等生理信号功能。</w:t>
      </w:r>
    </w:p>
    <w:p w14:paraId="55F916DD"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2.1脑电采集</w:t>
      </w:r>
    </w:p>
    <w:p w14:paraId="4FEEF2AD"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2.1.1电压测量：电压测量误差不超过±10%。</w:t>
      </w:r>
    </w:p>
    <w:p w14:paraId="1CE0C140"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2.1.2共模抑制比：各通道≥100dB。</w:t>
      </w:r>
    </w:p>
    <w:p w14:paraId="75626506"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2.1.3噪声电平：≤2uV（峰-谷值）。</w:t>
      </w:r>
    </w:p>
    <w:p w14:paraId="5ACAA0E6"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lastRenderedPageBreak/>
        <w:t>2.1.4幅频特性：1Hz-60Hz时，相对于10Hz的幅值，偏差不超过＋5%至－10%。</w:t>
      </w:r>
    </w:p>
    <w:p w14:paraId="2A8B6C00"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2.1.5耐极化电压：以峰谷值100uv、周期1s标准方波的幅值为基准，加±300mV直流耐极化电压后，幅值偏差不超过标准方波的±5%。</w:t>
      </w:r>
    </w:p>
    <w:p w14:paraId="41BB0AAD"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2.1.6通频带：不窄于0.5-60Hz（不包括陷波波段）。 </w:t>
      </w:r>
    </w:p>
    <w:p w14:paraId="3F955E0C"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2.1.7时间间隔：误差不超过±5%。</w:t>
      </w:r>
    </w:p>
    <w:p w14:paraId="6045CBF9"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2.2肌电采集</w:t>
      </w:r>
    </w:p>
    <w:p w14:paraId="70AEF296"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2.2.1测量范围：1μV-5000μV。</w:t>
      </w:r>
    </w:p>
    <w:p w14:paraId="029D4A40"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2.2.2反馈阈值准确度：反馈阈值100uV，在中心频率点测量时误差不大于标称值的±10%。</w:t>
      </w:r>
    </w:p>
    <w:p w14:paraId="67362023"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2.2.3工频噪声抑制：肌电输入端叠加一组幅值为100uV(峰-谷值)的工频正弦信号时，反馈指示不应改变。</w:t>
      </w:r>
    </w:p>
    <w:p w14:paraId="227BC2F9"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2.2.4示值准确度：误差不大于±10%或±2uV，两者取较大值。</w:t>
      </w:r>
    </w:p>
    <w:p w14:paraId="00F3964A"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2.2.5通频带：不窄于20Hz-500Hz(-3dB)（不包括陷波波段）。</w:t>
      </w:r>
    </w:p>
    <w:p w14:paraId="1BD94178"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2.3脉搏速率</w:t>
      </w:r>
    </w:p>
    <w:p w14:paraId="78B14EFD"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2.3.1脉搏速率测量范围应不窄于30bpm-245bpm;</w:t>
      </w:r>
    </w:p>
    <w:p w14:paraId="453046AB"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2.3.2当脉搏速率测量范围为30bpm-59bpm时,其测量误差应为±1bpm;</w:t>
      </w:r>
    </w:p>
    <w:p w14:paraId="6813EF00"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3.材料与患者接触部位无致敏性，无细胞毒性作用。该材料必须进行生物相容性的试验或评价。</w:t>
      </w:r>
    </w:p>
    <w:p w14:paraId="5FC4CDE1"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4.设备具有无线传输功能，具备1个团体处理器对应多人信号采集器，对多人进行数据采集、分析、处理与交换功能。</w:t>
      </w:r>
    </w:p>
    <w:p w14:paraId="1C1B2CBF"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宋体" w:hAnsi="宋体" w:cs="宋体" w:hint="eastAsia"/>
          <w:bCs/>
          <w:kern w:val="0"/>
          <w:sz w:val="24"/>
        </w:rPr>
        <w:t>▲</w:t>
      </w:r>
      <w:r>
        <w:rPr>
          <w:rFonts w:asciiTheme="minorEastAsia" w:eastAsiaTheme="minorEastAsia" w:hAnsiTheme="minorEastAsia" w:cstheme="minorEastAsia" w:hint="eastAsia"/>
          <w:sz w:val="24"/>
        </w:rPr>
        <w:t>5.无线数据传输性能要求：信号采集器和信号接收器相距10米时，无线传输丢包率≤3%。</w:t>
      </w:r>
    </w:p>
    <w:p w14:paraId="59906677"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宋体" w:hAnsi="宋体" w:cs="宋体" w:hint="eastAsia"/>
          <w:bCs/>
          <w:kern w:val="0"/>
          <w:sz w:val="24"/>
        </w:rPr>
        <w:t>▲</w:t>
      </w:r>
      <w:r>
        <w:rPr>
          <w:rFonts w:asciiTheme="minorEastAsia" w:eastAsiaTheme="minorEastAsia" w:hAnsiTheme="minorEastAsia" w:cstheme="minorEastAsia" w:hint="eastAsia"/>
          <w:sz w:val="24"/>
        </w:rPr>
        <w:t>6.信号采集具备状态指示灯，可随放松指数变化呈现不同状态颜色；具备耳畔提示音功能，一对一干预患者。</w:t>
      </w:r>
    </w:p>
    <w:p w14:paraId="13B7BD39"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7.信号匹配</w:t>
      </w:r>
    </w:p>
    <w:p w14:paraId="0AE2ECF5"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宋体" w:hAnsi="宋体" w:cs="宋体" w:hint="eastAsia"/>
          <w:bCs/>
          <w:kern w:val="0"/>
          <w:sz w:val="24"/>
        </w:rPr>
        <w:t>▲</w:t>
      </w:r>
      <w:r>
        <w:rPr>
          <w:rFonts w:asciiTheme="minorEastAsia" w:eastAsiaTheme="minorEastAsia" w:hAnsiTheme="minorEastAsia" w:cstheme="minorEastAsia" w:hint="eastAsia"/>
          <w:sz w:val="24"/>
        </w:rPr>
        <w:t>7.1人脸匹配：具备通过人脸识别实现用户与信号采集器匹配的功能。</w:t>
      </w:r>
    </w:p>
    <w:p w14:paraId="3EA91DCA"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7.2选择团体：具备在团体用户列表中选取特定的团体进行治疗、训练功能。</w:t>
      </w:r>
    </w:p>
    <w:p w14:paraId="78E89D5B"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8.治疗方案</w:t>
      </w:r>
    </w:p>
    <w:p w14:paraId="0EE99722"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8.1具有静息评估、应激评估和特定评估方案对用户心理状态和生理状态进行评估。</w:t>
      </w:r>
    </w:p>
    <w:p w14:paraId="3257BC8F"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8.2具有呼吸放松治疗、松弛治疗、暗示治疗、音乐治疗等对用户进行心理干预与</w:t>
      </w:r>
      <w:r>
        <w:rPr>
          <w:rFonts w:asciiTheme="minorEastAsia" w:eastAsiaTheme="minorEastAsia" w:hAnsiTheme="minorEastAsia" w:cstheme="minorEastAsia" w:hint="eastAsia"/>
          <w:sz w:val="24"/>
        </w:rPr>
        <w:lastRenderedPageBreak/>
        <w:t>治疗。</w:t>
      </w:r>
    </w:p>
    <w:p w14:paraId="6AE97F2E"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8.3脑电参数可进行单独反馈，具有不同疾病团体的脑电生物反馈治疗方案。 </w:t>
      </w:r>
    </w:p>
    <w:p w14:paraId="1AC1019F"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8.4团体训练：具有支持性团体、动力取向团体、问题导向团体、活动团体治疗。</w:t>
      </w:r>
    </w:p>
    <w:p w14:paraId="7967F89D"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9.推车可移动，具备信号采集器无线充电、收纳，工作平台等功能。</w:t>
      </w:r>
    </w:p>
    <w:p w14:paraId="24B9A6A8"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10.报告模式：由评估报告、治疗报告、趋势报告构成。</w:t>
      </w:r>
    </w:p>
    <w:p w14:paraId="013B4C2F"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11.信号采集器≥4个</w:t>
      </w:r>
    </w:p>
    <w:p w14:paraId="5AE64FAF" w14:textId="77777777" w:rsidR="008264A7" w:rsidRDefault="00E115AB">
      <w:pPr>
        <w:spacing w:line="360" w:lineRule="auto"/>
        <w:ind w:firstLineChars="200" w:firstLine="482"/>
        <w:jc w:val="left"/>
        <w:outlineLvl w:val="1"/>
        <w:rPr>
          <w:rFonts w:ascii="宋体" w:hAnsi="宋体" w:cs="宋体" w:hint="eastAsia"/>
          <w:b/>
          <w:bCs/>
          <w:sz w:val="24"/>
        </w:rPr>
      </w:pPr>
      <w:r>
        <w:rPr>
          <w:rFonts w:ascii="宋体" w:hAnsi="宋体" w:cs="宋体" w:hint="eastAsia"/>
          <w:b/>
          <w:bCs/>
          <w:sz w:val="24"/>
        </w:rPr>
        <w:t>标的2：便携式多导睡眠监测仪</w:t>
      </w:r>
    </w:p>
    <w:p w14:paraId="508BD7A6" w14:textId="77777777" w:rsidR="008264A7" w:rsidRDefault="00E115AB">
      <w:pPr>
        <w:spacing w:line="360" w:lineRule="auto"/>
        <w:ind w:firstLineChars="200" w:firstLine="482"/>
        <w:jc w:val="left"/>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1.硬件系统:</w:t>
      </w:r>
    </w:p>
    <w:p w14:paraId="1FDCCFE7"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宋体" w:hAnsi="宋体" w:cs="宋体" w:hint="eastAsia"/>
          <w:bCs/>
          <w:kern w:val="0"/>
          <w:sz w:val="24"/>
        </w:rPr>
        <w:t>▲</w:t>
      </w:r>
      <w:r>
        <w:rPr>
          <w:rFonts w:asciiTheme="minorEastAsia" w:eastAsiaTheme="minorEastAsia" w:hAnsiTheme="minorEastAsia" w:cstheme="minorEastAsia" w:hint="eastAsia"/>
          <w:sz w:val="24"/>
        </w:rPr>
        <w:t>1.1通道数：≥28通道，监测功能包含电生理信号，呼吸生理信号等。所有导联线和传感器全部连接在同一个接线头盒。</w:t>
      </w:r>
    </w:p>
    <w:p w14:paraId="7520872A"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宋体" w:hAnsi="宋体" w:cs="宋体" w:hint="eastAsia"/>
          <w:bCs/>
          <w:kern w:val="0"/>
          <w:sz w:val="24"/>
        </w:rPr>
        <w:t>▲</w:t>
      </w:r>
      <w:r>
        <w:rPr>
          <w:rFonts w:asciiTheme="minorEastAsia" w:eastAsiaTheme="minorEastAsia" w:hAnsiTheme="minorEastAsia" w:cstheme="minorEastAsia" w:hint="eastAsia"/>
          <w:sz w:val="24"/>
        </w:rPr>
        <w:t>1.2记录盒主机电池供电。记录盒主机加脑心电接线头盒总重量≤250g（包含电池）。</w:t>
      </w:r>
    </w:p>
    <w:p w14:paraId="7BEE4393"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1.3要求记录盒内置液晶显示屏，具有查看所有通道的连接状况、实时显示每通道波形功能。</w:t>
      </w:r>
    </w:p>
    <w:p w14:paraId="7EA35F33"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1.4记录盒按键式，具有设置各个监测参数，设置监测自动开始时间和结束时间功能。感器。</w:t>
      </w:r>
    </w:p>
    <w:p w14:paraId="5C883105"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1.5记录盒主机具有体位传</w:t>
      </w:r>
    </w:p>
    <w:p w14:paraId="6FCD72A4"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1.6具备心电呼吸阻抗描记技术（RIPECG）,利用心电信号测量成人、婴幼儿胸腔阻抗功能。 </w:t>
      </w:r>
    </w:p>
    <w:p w14:paraId="37B3F803"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1.7具有体积扫描感应式胸腹绑带（RIP），具有胸腹相位分析功能</w:t>
      </w:r>
    </w:p>
    <w:p w14:paraId="0E3E5D70"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宋体" w:hAnsi="宋体" w:cs="宋体" w:hint="eastAsia"/>
          <w:bCs/>
          <w:kern w:val="0"/>
          <w:sz w:val="24"/>
        </w:rPr>
        <w:t>▲</w:t>
      </w:r>
      <w:r>
        <w:rPr>
          <w:rFonts w:asciiTheme="minorEastAsia" w:eastAsiaTheme="minorEastAsia" w:hAnsiTheme="minorEastAsia" w:cstheme="minorEastAsia" w:hint="eastAsia"/>
          <w:sz w:val="24"/>
        </w:rPr>
        <w:t>1.8记录盒主机具备本地数据存储功能，支持通过存储卡进行数据存储。具有血氧传感器，配备可通用接口的血氧探头。</w:t>
      </w:r>
    </w:p>
    <w:p w14:paraId="09935D12" w14:textId="77777777" w:rsidR="008264A7" w:rsidRDefault="00E115AB">
      <w:pPr>
        <w:spacing w:line="360" w:lineRule="auto"/>
        <w:ind w:firstLineChars="200" w:firstLine="482"/>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b/>
          <w:bCs/>
          <w:sz w:val="24"/>
        </w:rPr>
        <w:t>2.睡眠软件部分指标:</w:t>
      </w:r>
    </w:p>
    <w:p w14:paraId="756624AC"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宋体" w:hAnsi="宋体" w:cs="宋体" w:hint="eastAsia"/>
          <w:bCs/>
          <w:kern w:val="0"/>
          <w:sz w:val="24"/>
        </w:rPr>
        <w:t>▲</w:t>
      </w:r>
      <w:r>
        <w:rPr>
          <w:rFonts w:asciiTheme="minorEastAsia" w:eastAsiaTheme="minorEastAsia" w:hAnsiTheme="minorEastAsia" w:cstheme="minorEastAsia" w:hint="eastAsia"/>
          <w:sz w:val="24"/>
        </w:rPr>
        <w:t>2.1睡眠软件符合最新的AASM标准，具有全中文操作界面、全中文报告，并具有婴幼儿、儿童、成人三种分析软件。</w:t>
      </w:r>
    </w:p>
    <w:p w14:paraId="6A99CFF8"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2.2软件具备在记录病人数据的同时可对数据进行实时自动或手动分析功能。</w:t>
      </w:r>
    </w:p>
    <w:p w14:paraId="29CC561B"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2.3多导睡眠采集分析软件包括：睡眠分期、呼吸事件、心血管事件分析、体位分析、腿动分析、微觉醒事件分析、异态睡眠分析等。</w:t>
      </w:r>
    </w:p>
    <w:p w14:paraId="1F100AB3"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宋体" w:hAnsi="宋体" w:cs="宋体" w:hint="eastAsia"/>
          <w:bCs/>
          <w:kern w:val="0"/>
          <w:sz w:val="24"/>
        </w:rPr>
        <w:t>▲</w:t>
      </w:r>
      <w:r>
        <w:rPr>
          <w:rFonts w:asciiTheme="minorEastAsia" w:eastAsiaTheme="minorEastAsia" w:hAnsiTheme="minorEastAsia" w:cstheme="minorEastAsia" w:hint="eastAsia"/>
          <w:sz w:val="24"/>
        </w:rPr>
        <w:t>2.4采集时病人发生异常情况具有报警功能，如血氧过低、脉率异常、呼吸机面罩漏气等。</w:t>
      </w:r>
    </w:p>
    <w:p w14:paraId="4577340B"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lastRenderedPageBreak/>
        <w:t>2.5具备自定义编辑信号导联功能。</w:t>
      </w:r>
    </w:p>
    <w:p w14:paraId="09145A9F"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2.6具有帧概括统计功能，可显示每帧Beta、Sigma、Alpha、Theta等波形比例，最大血氧、最小血氧、体位状态、灯光状态、平均心率等数值。</w:t>
      </w:r>
    </w:p>
    <w:p w14:paraId="6CE54A52"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2.7具有学术研究管理软件；数据管理软件功能包括：复制数据、移动数据、删除数据、剪辑数据、合并片段数据、刻录数据、导入EDF数据等功能。</w:t>
      </w:r>
    </w:p>
    <w:p w14:paraId="33610D59"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2.8睡眠软件可出具整夜报告。</w:t>
      </w:r>
    </w:p>
    <w:p w14:paraId="2D49D5FE"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2.9睡眠软件具有单独出具分夜报告功能，通过一份报告可体现治疗前后的睡眠效率、睡眠分期</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 w:val="24"/>
        </w:rPr>
        <w:t>AHI、血氧饱和度、觉醒、心率变化、周期性腿动相关的觉醒变化等对比。</w:t>
      </w:r>
    </w:p>
    <w:p w14:paraId="04A32FC5"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2.10数据采集和回顾时，可实时添加或改变灯光状态等事件。</w:t>
      </w:r>
    </w:p>
    <w:p w14:paraId="036C386A"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2.11具有睡眠紊乱事件自动分析软件：呼吸事件、血氧饱和度、自发性微觉醒、运动相关性微觉醒、呼吸相关性微觉醒、PLM腿动、鼾声及其他自定义事件。</w:t>
      </w:r>
    </w:p>
    <w:p w14:paraId="69BCF58D"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2.12具有每帧纺锤波、Delta波等的自动数量统计图。</w:t>
      </w:r>
    </w:p>
    <w:p w14:paraId="11250129"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2.13具有不同医生可对同一病例数据进行分析，且分析结果可进行匹配对比，自动标记不同之处，并提供链接快速跳转相应原始数据界面功能，具有教学功能。</w:t>
      </w:r>
    </w:p>
    <w:p w14:paraId="53AA3AB0"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2.14软件具备连续小波频谱转换图查看功能、快速傅里叶变换直方图查看功能。</w:t>
      </w:r>
    </w:p>
    <w:p w14:paraId="449A6600"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2.15具有反映睡眠呼吸事件发生时的血压变化趋势，并能判断血压与呼吸事件相关性的PTT（脉搏传输时间）功能。</w:t>
      </w:r>
    </w:p>
    <w:p w14:paraId="7247F5B3"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2.16具有交替性腿部肌肉活动（ALMA）、入睡前足前颤（HFM）、多发片段性肌阵挛（EFM）、夜间磨牙，节律性运动障碍（RMD）分析并可出具报告。</w:t>
      </w:r>
    </w:p>
    <w:p w14:paraId="4DA9BCDA"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2.17具有预设AHI指数阈值功能、分夜诊断评估、辅助诊断系统</w:t>
      </w:r>
    </w:p>
    <w:p w14:paraId="03BED589" w14:textId="77777777" w:rsidR="008264A7" w:rsidRDefault="00E115AB">
      <w:pPr>
        <w:spacing w:line="360" w:lineRule="auto"/>
        <w:ind w:firstLineChars="200" w:firstLine="480"/>
        <w:jc w:val="left"/>
      </w:pPr>
      <w:r>
        <w:rPr>
          <w:rFonts w:asciiTheme="minorEastAsia" w:eastAsiaTheme="minorEastAsia" w:hAnsiTheme="minorEastAsia" w:cstheme="minorEastAsia" w:hint="eastAsia"/>
          <w:sz w:val="24"/>
        </w:rPr>
        <w:t>2.18具有 ≥100个异常事件标记、查找功能</w:t>
      </w:r>
    </w:p>
    <w:p w14:paraId="4B12902E" w14:textId="77777777" w:rsidR="008264A7" w:rsidRDefault="00E115AB">
      <w:pPr>
        <w:spacing w:line="360" w:lineRule="auto"/>
        <w:ind w:firstLineChars="200" w:firstLine="482"/>
        <w:jc w:val="left"/>
        <w:outlineLvl w:val="1"/>
        <w:rPr>
          <w:rFonts w:ascii="宋体" w:hAnsi="宋体" w:cs="宋体" w:hint="eastAsia"/>
          <w:b/>
          <w:bCs/>
          <w:sz w:val="24"/>
        </w:rPr>
      </w:pPr>
      <w:r>
        <w:rPr>
          <w:rFonts w:ascii="宋体" w:hAnsi="宋体" w:cs="宋体" w:hint="eastAsia"/>
          <w:b/>
          <w:bCs/>
          <w:sz w:val="24"/>
        </w:rPr>
        <w:t>标的3：心理治疗沙盘</w:t>
      </w:r>
    </w:p>
    <w:p w14:paraId="22322362" w14:textId="77777777" w:rsidR="008264A7" w:rsidRDefault="00E115AB">
      <w:pPr>
        <w:spacing w:line="360" w:lineRule="auto"/>
        <w:ind w:firstLineChars="200" w:firstLine="482"/>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b/>
          <w:bCs/>
          <w:sz w:val="24"/>
        </w:rPr>
        <w:t>1.硬件要求：</w:t>
      </w:r>
    </w:p>
    <w:p w14:paraId="788424F0"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宋体" w:hAnsi="宋体" w:cs="宋体" w:hint="eastAsia"/>
          <w:bCs/>
          <w:kern w:val="0"/>
          <w:sz w:val="24"/>
        </w:rPr>
        <w:t>▲</w:t>
      </w:r>
      <w:r>
        <w:rPr>
          <w:rFonts w:asciiTheme="minorEastAsia" w:eastAsiaTheme="minorEastAsia" w:hAnsiTheme="minorEastAsia" w:cstheme="minorEastAsia" w:hint="eastAsia"/>
          <w:sz w:val="24"/>
        </w:rPr>
        <w:t xml:space="preserve">1.1实木沙箱≥2个（水性清漆涂层，尺寸：≥55*70*7CM），外侧为原木色，内侧底面和侧面均是蓝色的。        </w:t>
      </w:r>
    </w:p>
    <w:p w14:paraId="008A1030"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宋体" w:hAnsi="宋体" w:cs="宋体" w:hint="eastAsia"/>
          <w:bCs/>
          <w:kern w:val="0"/>
          <w:sz w:val="24"/>
        </w:rPr>
        <w:t>▲</w:t>
      </w:r>
      <w:r>
        <w:rPr>
          <w:rFonts w:asciiTheme="minorEastAsia" w:eastAsiaTheme="minorEastAsia" w:hAnsiTheme="minorEastAsia" w:cstheme="minorEastAsia" w:hint="eastAsia"/>
          <w:sz w:val="24"/>
        </w:rPr>
        <w:t>1.2实木沙具柜≥2个（水性清漆涂层，尺寸：≥100*160*30）≥5层9阶实木沙具放置架，环保底漆。</w:t>
      </w:r>
    </w:p>
    <w:p w14:paraId="4B9BC4CC"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宋体" w:hAnsi="宋体" w:cs="宋体" w:hint="eastAsia"/>
          <w:bCs/>
          <w:kern w:val="0"/>
          <w:sz w:val="24"/>
        </w:rPr>
        <w:t>▲</w:t>
      </w:r>
      <w:r>
        <w:rPr>
          <w:rFonts w:asciiTheme="minorEastAsia" w:eastAsiaTheme="minorEastAsia" w:hAnsiTheme="minorEastAsia" w:cstheme="minorEastAsia" w:hint="eastAsia"/>
          <w:sz w:val="24"/>
        </w:rPr>
        <w:t>1.3≥1200个沙具(人物类、动物类、建筑类、军事类、交通工具类、生活用品类、食物类、自然物类、植物类、其他类等）</w:t>
      </w:r>
    </w:p>
    <w:p w14:paraId="31D9AB44"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lastRenderedPageBreak/>
        <w:t>1.4沙盘游戏治疗技术培训录像资料选辑≥1套</w:t>
      </w:r>
    </w:p>
    <w:p w14:paraId="068C16E4"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1.5沙盘游戏档案系统≥1套（配合心理沙盘进行心理教育、心理咨询、心理辅导的管理软件。该软件可存储记录来访者在沙盘游戏过程中的图片和视频资料，以完整、详细地呈现其沙盘心理历程。此外，心理工作者针对来访者的沙盘所进行的体验、分析及后续的辅导均可得到记录、输出和转换。）</w:t>
      </w:r>
    </w:p>
    <w:p w14:paraId="4756CB5F"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1.6沙盘游戏治疗指导书籍≥1本     </w:t>
      </w:r>
    </w:p>
    <w:p w14:paraId="67C4CB3C"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1.7海沙≥24公斤</w:t>
      </w:r>
    </w:p>
    <w:p w14:paraId="03B5A0D5"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1.8沙具选取框≥1件</w:t>
      </w:r>
    </w:p>
    <w:p w14:paraId="69E7AB4C"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1.9清洁工具≥1套</w:t>
      </w:r>
    </w:p>
    <w:p w14:paraId="77A36AFB" w14:textId="77777777" w:rsidR="008264A7" w:rsidRDefault="00E115AB">
      <w:pPr>
        <w:spacing w:line="360" w:lineRule="auto"/>
        <w:ind w:firstLineChars="200" w:firstLine="482"/>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b/>
          <w:bCs/>
          <w:sz w:val="24"/>
        </w:rPr>
        <w:t>2.软件要求：</w:t>
      </w:r>
    </w:p>
    <w:p w14:paraId="534C205C"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2.1基础信息</w:t>
      </w:r>
    </w:p>
    <w:p w14:paraId="2A8248F5"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2.1.1部署方式：云部署，具有多终端同步访问功能</w:t>
      </w:r>
    </w:p>
    <w:p w14:paraId="6335A92E"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2.2功能参数</w:t>
      </w:r>
    </w:p>
    <w:p w14:paraId="1CA8432C"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2.2.1心理沙盘解析功能</w:t>
      </w:r>
    </w:p>
    <w:p w14:paraId="7E25B351"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2.2.1.1技术支持：具有对来访者在沙盘游戏过程中的摆放布局、元素选择等进行智能分析的功能。</w:t>
      </w:r>
    </w:p>
    <w:p w14:paraId="075D1D72"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2.2.1.2解析内容：识别沙盘中各类元素所代表的心理含义，生成包含心理状态评估、潜在心理问题提示等在内的详细解析报告。</w:t>
      </w:r>
    </w:p>
    <w:p w14:paraId="1A3F4B00"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2.2.1.3应用场景：为心理咨询师提供辅助参考，帮助其更深入理解来访者潜意识表达，从而制定更具针对性的治疗方案。</w:t>
      </w:r>
    </w:p>
    <w:p w14:paraId="092CF567"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2.2.2沙盘档案管理功能</w:t>
      </w:r>
    </w:p>
    <w:p w14:paraId="1CCF1EF3"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2.2.2.1分类归档：系统具有依据来访者姓名、咨询时间、档案编号等信息进行智能分类归档功能。</w:t>
      </w:r>
    </w:p>
    <w:p w14:paraId="50E32266"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2.2.2.2搜索功能：具有通过来访者姓名、咨询时间范围、关键词（如特定沙盘元素、症状描述等）进行档案搜索功能。</w:t>
      </w:r>
    </w:p>
    <w:p w14:paraId="34AB7FE4"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2.2.3  AI求助对话功能</w:t>
      </w:r>
    </w:p>
    <w:p w14:paraId="325629B1"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2.2.3.1交互模式：具备自然语言处理技术，实时文字对话交互。来访者可随时输入问题或描述自身困惑，获取即时解答与引导。</w:t>
      </w:r>
    </w:p>
    <w:p w14:paraId="2E8A394D"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2.2.3.2应用场景：为咨询师提供便捷的技术参考途径，帮助其在等待咨询或日常工作中遇到困难时及时获得帮助。</w:t>
      </w:r>
    </w:p>
    <w:p w14:paraId="07C51C30"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lastRenderedPageBreak/>
        <w:t>2.2.4预警管理功能</w:t>
      </w:r>
    </w:p>
    <w:p w14:paraId="2FD70F6A"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2.2.4.1监测指标：通过对来访者多次沙盘数据变化、AI 对话内容分析以及咨询师记录等多维度数据监测，设定风险阈值。</w:t>
      </w:r>
    </w:p>
    <w:p w14:paraId="68773544" w14:textId="77777777" w:rsidR="008264A7" w:rsidRDefault="00E115AB">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2.2.4.2预警方式：当系统识别到来访者心理状态出现异常波动，可能存在较高风险时，会及时通过弹窗、短信等方式向咨询师发送预警信息。</w:t>
      </w:r>
    </w:p>
    <w:p w14:paraId="404350CA" w14:textId="77777777" w:rsidR="008264A7" w:rsidRDefault="00E115AB">
      <w:pPr>
        <w:spacing w:line="360" w:lineRule="auto"/>
        <w:ind w:firstLineChars="200" w:firstLine="480"/>
        <w:jc w:val="left"/>
        <w:rPr>
          <w:rFonts w:ascii="宋体" w:hAnsi="宋体" w:cs="宋体" w:hint="eastAsia"/>
          <w:b/>
          <w:bCs/>
          <w:sz w:val="24"/>
        </w:rPr>
      </w:pPr>
      <w:r>
        <w:rPr>
          <w:rFonts w:asciiTheme="minorEastAsia" w:eastAsiaTheme="minorEastAsia" w:hAnsiTheme="minorEastAsia" w:cstheme="minorEastAsia" w:hint="eastAsia"/>
          <w:sz w:val="24"/>
        </w:rPr>
        <w:t>2.2.4.3应用场景：助力咨询师及时发现来访者潜在危机，提前介入干预，保障来访者心理健康安全。</w:t>
      </w:r>
    </w:p>
    <w:p w14:paraId="717F1C1D" w14:textId="77777777" w:rsidR="008264A7" w:rsidRDefault="00E115AB">
      <w:pPr>
        <w:widowControl/>
        <w:numPr>
          <w:ilvl w:val="0"/>
          <w:numId w:val="7"/>
        </w:numPr>
        <w:spacing w:line="360" w:lineRule="auto"/>
        <w:ind w:firstLineChars="200" w:firstLine="480"/>
        <w:contextualSpacing/>
        <w:jc w:val="left"/>
        <w:rPr>
          <w:rFonts w:ascii="宋体" w:hAnsi="宋体" w:cs="宋体" w:hint="eastAsia"/>
          <w:sz w:val="24"/>
        </w:rPr>
      </w:pPr>
      <w:bookmarkStart w:id="15" w:name="_Toc24310"/>
      <w:r>
        <w:rPr>
          <w:rFonts w:ascii="宋体" w:hAnsi="宋体" w:cs="宋体" w:hint="eastAsia"/>
          <w:sz w:val="24"/>
        </w:rPr>
        <w:t>特别说明：</w:t>
      </w:r>
    </w:p>
    <w:p w14:paraId="3466705C" w14:textId="77777777" w:rsidR="008264A7" w:rsidRDefault="00E115AB">
      <w:pPr>
        <w:spacing w:line="360" w:lineRule="auto"/>
        <w:ind w:firstLineChars="200" w:firstLine="480"/>
        <w:jc w:val="left"/>
        <w:rPr>
          <w:rFonts w:ascii="宋体" w:hAnsi="宋体" w:hint="eastAsia"/>
          <w:sz w:val="24"/>
        </w:rPr>
      </w:pPr>
      <w:r>
        <w:rPr>
          <w:rFonts w:ascii="宋体" w:hAnsi="宋体" w:hint="eastAsia"/>
          <w:sz w:val="24"/>
        </w:rPr>
        <w:t>1.标注“</w:t>
      </w:r>
      <w:r>
        <w:rPr>
          <w:rFonts w:ascii="宋体" w:hAnsi="宋体" w:cs="宋体" w:hint="eastAsia"/>
          <w:bCs/>
          <w:kern w:val="0"/>
          <w:sz w:val="24"/>
        </w:rPr>
        <w:t>▲</w:t>
      </w:r>
      <w:r>
        <w:rPr>
          <w:rFonts w:ascii="宋体" w:hAnsi="宋体" w:hint="eastAsia"/>
          <w:sz w:val="24"/>
        </w:rPr>
        <w:t>”的指标为重要的技术指标，不满足将导致其在第四章评标标准中对采购需求的响应情况被扣除相应分值。</w:t>
      </w:r>
    </w:p>
    <w:p w14:paraId="3987ABE1" w14:textId="75FC2A2C" w:rsidR="008264A7" w:rsidRDefault="00E115AB" w:rsidP="00D652B4">
      <w:pPr>
        <w:widowControl/>
        <w:spacing w:line="360" w:lineRule="auto"/>
        <w:ind w:firstLineChars="200" w:firstLine="480"/>
        <w:contextualSpacing/>
        <w:jc w:val="left"/>
        <w:rPr>
          <w:b/>
          <w:sz w:val="36"/>
          <w:szCs w:val="36"/>
        </w:rPr>
      </w:pPr>
      <w:r>
        <w:rPr>
          <w:rFonts w:ascii="宋体" w:hAnsi="宋体" w:hint="eastAsia"/>
          <w:sz w:val="24"/>
        </w:rPr>
        <w:t>2.对于技术规格中标注“</w:t>
      </w:r>
      <w:r>
        <w:rPr>
          <w:rFonts w:ascii="宋体" w:hAnsi="宋体" w:cs="宋体" w:hint="eastAsia"/>
          <w:bCs/>
          <w:kern w:val="0"/>
          <w:sz w:val="24"/>
        </w:rPr>
        <w:t>▲</w:t>
      </w:r>
      <w:r>
        <w:rPr>
          <w:rFonts w:ascii="宋体" w:hAnsi="宋体" w:hint="eastAsia"/>
          <w:sz w:val="24"/>
        </w:rPr>
        <w:t>”号的技术指标，投标人须在投标文件中按照招标文件技术规格的要求提供技术应答的证明材料，其中证明材料除招标文件中有明确规定的证明材料外，其余“▲”号的技术指标需提供产品说明书或产品彩页或检测机构出具的检验报告。如投标人技术响应与证明材料不一致，将以证明材料为准。对于投标人提供的投标文件技术应答未按本条款要求提供证明材料的，评标委员会可不予承认，并可认为该技术应答不符合招标文件要求。由此产生的风险由投标人承担。</w:t>
      </w:r>
    </w:p>
    <w:bookmarkEnd w:id="15"/>
    <w:bookmarkEnd w:id="0"/>
    <w:bookmarkEnd w:id="1"/>
    <w:bookmarkEnd w:id="2"/>
    <w:bookmarkEnd w:id="3"/>
    <w:bookmarkEnd w:id="4"/>
    <w:bookmarkEnd w:id="5"/>
    <w:bookmarkEnd w:id="6"/>
    <w:bookmarkEnd w:id="7"/>
    <w:bookmarkEnd w:id="8"/>
    <w:bookmarkEnd w:id="9"/>
    <w:bookmarkEnd w:id="10"/>
    <w:bookmarkEnd w:id="11"/>
    <w:bookmarkEnd w:id="12"/>
    <w:bookmarkEnd w:id="13"/>
    <w:sectPr w:rsidR="008264A7" w:rsidSect="00D652B4">
      <w:footerReference w:type="default" r:id="rId8"/>
      <w:footerReference w:type="first" r:id="rId9"/>
      <w:pgSz w:w="11907" w:h="16840"/>
      <w:pgMar w:top="1418" w:right="1417" w:bottom="1418" w:left="1417"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19A8C" w14:textId="77777777" w:rsidR="00E115AB" w:rsidRDefault="00E115AB">
      <w:r>
        <w:separator/>
      </w:r>
    </w:p>
  </w:endnote>
  <w:endnote w:type="continuationSeparator" w:id="0">
    <w:p w14:paraId="62F0BD49" w14:textId="77777777" w:rsidR="00E115AB" w:rsidRDefault="00E1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FEBF" w14:textId="77777777" w:rsidR="008264A7" w:rsidRDefault="008264A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3CF4" w14:textId="77777777" w:rsidR="008264A7" w:rsidRDefault="008264A7">
    <w:pPr>
      <w:pStyle w:val="aa"/>
      <w:framePr w:wrap="around" w:vAnchor="text" w:hAnchor="margin" w:xAlign="right" w:y="1"/>
      <w:rPr>
        <w:rStyle w:val="af2"/>
      </w:rPr>
    </w:pPr>
  </w:p>
  <w:p w14:paraId="7FFE18BB" w14:textId="77777777" w:rsidR="008264A7" w:rsidRDefault="008264A7">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50D5D" w14:textId="77777777" w:rsidR="00E115AB" w:rsidRDefault="00E115AB">
      <w:r>
        <w:separator/>
      </w:r>
    </w:p>
  </w:footnote>
  <w:footnote w:type="continuationSeparator" w:id="0">
    <w:p w14:paraId="3DAFE4A2" w14:textId="77777777" w:rsidR="00E115AB" w:rsidRDefault="00E11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7"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794862A0"/>
    <w:multiLevelType w:val="singleLevel"/>
    <w:tmpl w:val="794862A0"/>
    <w:lvl w:ilvl="0">
      <w:start w:val="3"/>
      <w:numFmt w:val="chineseCounting"/>
      <w:suff w:val="nothing"/>
      <w:lvlText w:val="（%1）"/>
      <w:lvlJc w:val="left"/>
      <w:rPr>
        <w:rFonts w:hint="eastAsia"/>
      </w:rPr>
    </w:lvl>
  </w:abstractNum>
  <w:num w:numId="1" w16cid:durableId="1589389997">
    <w:abstractNumId w:val="1"/>
  </w:num>
  <w:num w:numId="2" w16cid:durableId="2052457732">
    <w:abstractNumId w:val="0"/>
  </w:num>
  <w:num w:numId="3" w16cid:durableId="1301037905">
    <w:abstractNumId w:val="5"/>
  </w:num>
  <w:num w:numId="4" w16cid:durableId="965937251">
    <w:abstractNumId w:val="2"/>
  </w:num>
  <w:num w:numId="5" w16cid:durableId="132523295">
    <w:abstractNumId w:val="7"/>
  </w:num>
  <w:num w:numId="6" w16cid:durableId="620452298">
    <w:abstractNumId w:val="3"/>
  </w:num>
  <w:num w:numId="7" w16cid:durableId="1535382993">
    <w:abstractNumId w:val="8"/>
  </w:num>
  <w:num w:numId="8" w16cid:durableId="1367829115">
    <w:abstractNumId w:val="4"/>
  </w:num>
  <w:num w:numId="9" w16cid:durableId="11194948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embedSystemFonts/>
  <w:bordersDoNotSurroundHeader/>
  <w:bordersDoNotSurroundFooter/>
  <w:hideSpellingErrors/>
  <w:defaultTabStop w:val="420"/>
  <w:drawingGridVerticalSpacing w:val="156"/>
  <w:noPunctuationKerning/>
  <w:characterSpacingControl w:val="compressPunctuation"/>
  <w:hdrShapeDefaults>
    <o:shapedefaults v:ext="edit" spidmax="307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MxNjNkZTg3ZTI4ZTJmMzYwMDc5MDhjMzc5NDFkZjYifQ=="/>
  </w:docVars>
  <w:rsids>
    <w:rsidRoot w:val="00010FB4"/>
    <w:rsid w:val="BA5F8731"/>
    <w:rsid w:val="E3DE13FA"/>
    <w:rsid w:val="EBA11F5A"/>
    <w:rsid w:val="EBFB413B"/>
    <w:rsid w:val="EFFBF764"/>
    <w:rsid w:val="F7A3A373"/>
    <w:rsid w:val="F7DF43AB"/>
    <w:rsid w:val="FDBF6908"/>
    <w:rsid w:val="FE7D7277"/>
    <w:rsid w:val="FFAE8A26"/>
    <w:rsid w:val="FFBFDA77"/>
    <w:rsid w:val="00000175"/>
    <w:rsid w:val="0000045A"/>
    <w:rsid w:val="00010FB4"/>
    <w:rsid w:val="00087C21"/>
    <w:rsid w:val="00097351"/>
    <w:rsid w:val="000D5267"/>
    <w:rsid w:val="00122016"/>
    <w:rsid w:val="00126241"/>
    <w:rsid w:val="00170297"/>
    <w:rsid w:val="00170758"/>
    <w:rsid w:val="0017781F"/>
    <w:rsid w:val="00186888"/>
    <w:rsid w:val="001E0A08"/>
    <w:rsid w:val="001F1571"/>
    <w:rsid w:val="00214166"/>
    <w:rsid w:val="00225C3B"/>
    <w:rsid w:val="0024364D"/>
    <w:rsid w:val="00293907"/>
    <w:rsid w:val="002A6B15"/>
    <w:rsid w:val="002F78D6"/>
    <w:rsid w:val="00314059"/>
    <w:rsid w:val="00342B8B"/>
    <w:rsid w:val="00383C88"/>
    <w:rsid w:val="00440BE9"/>
    <w:rsid w:val="00444A13"/>
    <w:rsid w:val="00474B5D"/>
    <w:rsid w:val="00477DFA"/>
    <w:rsid w:val="004B2B21"/>
    <w:rsid w:val="004B4A8A"/>
    <w:rsid w:val="004E43BF"/>
    <w:rsid w:val="00523CAA"/>
    <w:rsid w:val="00523F94"/>
    <w:rsid w:val="00546830"/>
    <w:rsid w:val="0055006E"/>
    <w:rsid w:val="005643CB"/>
    <w:rsid w:val="00586137"/>
    <w:rsid w:val="005E0AA6"/>
    <w:rsid w:val="006340EA"/>
    <w:rsid w:val="00640B7D"/>
    <w:rsid w:val="0064542C"/>
    <w:rsid w:val="006474D2"/>
    <w:rsid w:val="00672444"/>
    <w:rsid w:val="006A2DCC"/>
    <w:rsid w:val="006E6D1B"/>
    <w:rsid w:val="006F3814"/>
    <w:rsid w:val="00707150"/>
    <w:rsid w:val="00747E21"/>
    <w:rsid w:val="00767109"/>
    <w:rsid w:val="00787821"/>
    <w:rsid w:val="00792906"/>
    <w:rsid w:val="007C6771"/>
    <w:rsid w:val="007F2CBF"/>
    <w:rsid w:val="008023F9"/>
    <w:rsid w:val="008264A7"/>
    <w:rsid w:val="00882EF6"/>
    <w:rsid w:val="00897667"/>
    <w:rsid w:val="008A29C9"/>
    <w:rsid w:val="008A52A5"/>
    <w:rsid w:val="008D41AD"/>
    <w:rsid w:val="00906133"/>
    <w:rsid w:val="00937F07"/>
    <w:rsid w:val="009C3113"/>
    <w:rsid w:val="009C6EF9"/>
    <w:rsid w:val="00A31DB6"/>
    <w:rsid w:val="00A41EE8"/>
    <w:rsid w:val="00A77A12"/>
    <w:rsid w:val="00AC409A"/>
    <w:rsid w:val="00AE6422"/>
    <w:rsid w:val="00AF1302"/>
    <w:rsid w:val="00B154F4"/>
    <w:rsid w:val="00BA5FFD"/>
    <w:rsid w:val="00BA6FC0"/>
    <w:rsid w:val="00BC1DD8"/>
    <w:rsid w:val="00BD364F"/>
    <w:rsid w:val="00C52B16"/>
    <w:rsid w:val="00C87009"/>
    <w:rsid w:val="00CD2AB3"/>
    <w:rsid w:val="00D019E4"/>
    <w:rsid w:val="00D5071B"/>
    <w:rsid w:val="00D652B4"/>
    <w:rsid w:val="00D707CB"/>
    <w:rsid w:val="00D708A2"/>
    <w:rsid w:val="00D8611D"/>
    <w:rsid w:val="00DC4D00"/>
    <w:rsid w:val="00DC76C4"/>
    <w:rsid w:val="00DD5092"/>
    <w:rsid w:val="00DE5D4C"/>
    <w:rsid w:val="00E02CFB"/>
    <w:rsid w:val="00E115AB"/>
    <w:rsid w:val="00E82B1F"/>
    <w:rsid w:val="00EA5994"/>
    <w:rsid w:val="00EE4C4C"/>
    <w:rsid w:val="00F07EA2"/>
    <w:rsid w:val="00F22C87"/>
    <w:rsid w:val="00F5651D"/>
    <w:rsid w:val="00FB31E7"/>
    <w:rsid w:val="014337F8"/>
    <w:rsid w:val="017B2F92"/>
    <w:rsid w:val="01B464A4"/>
    <w:rsid w:val="01D76FCD"/>
    <w:rsid w:val="01EC20E2"/>
    <w:rsid w:val="020E02AA"/>
    <w:rsid w:val="02155BEB"/>
    <w:rsid w:val="022376FA"/>
    <w:rsid w:val="0246362F"/>
    <w:rsid w:val="02A52D67"/>
    <w:rsid w:val="02B90611"/>
    <w:rsid w:val="0301505B"/>
    <w:rsid w:val="032C2780"/>
    <w:rsid w:val="03375AE2"/>
    <w:rsid w:val="035E2B6B"/>
    <w:rsid w:val="03A32AC2"/>
    <w:rsid w:val="03B7227C"/>
    <w:rsid w:val="03BB4E91"/>
    <w:rsid w:val="03D16FB7"/>
    <w:rsid w:val="03D22594"/>
    <w:rsid w:val="04036024"/>
    <w:rsid w:val="043E17A6"/>
    <w:rsid w:val="04D211E1"/>
    <w:rsid w:val="04E80EFE"/>
    <w:rsid w:val="05092269"/>
    <w:rsid w:val="0518120E"/>
    <w:rsid w:val="05947D89"/>
    <w:rsid w:val="05AC3583"/>
    <w:rsid w:val="05BB1F47"/>
    <w:rsid w:val="05C33D5A"/>
    <w:rsid w:val="066761DB"/>
    <w:rsid w:val="06680ED0"/>
    <w:rsid w:val="06B05BC3"/>
    <w:rsid w:val="06CC0A35"/>
    <w:rsid w:val="06D22DA8"/>
    <w:rsid w:val="06E23AB3"/>
    <w:rsid w:val="070D3DB0"/>
    <w:rsid w:val="07155C37"/>
    <w:rsid w:val="071F36EB"/>
    <w:rsid w:val="0737795B"/>
    <w:rsid w:val="078E1308"/>
    <w:rsid w:val="0792694C"/>
    <w:rsid w:val="07B436A2"/>
    <w:rsid w:val="07F75DBF"/>
    <w:rsid w:val="080451C4"/>
    <w:rsid w:val="08170E80"/>
    <w:rsid w:val="0829610B"/>
    <w:rsid w:val="08836BD0"/>
    <w:rsid w:val="089B73D6"/>
    <w:rsid w:val="08BC6A1A"/>
    <w:rsid w:val="08D8516E"/>
    <w:rsid w:val="08DA66E6"/>
    <w:rsid w:val="08EF3B0E"/>
    <w:rsid w:val="08F3072F"/>
    <w:rsid w:val="093A3733"/>
    <w:rsid w:val="09471C45"/>
    <w:rsid w:val="09550054"/>
    <w:rsid w:val="09AD2157"/>
    <w:rsid w:val="09B6253B"/>
    <w:rsid w:val="09DB4F16"/>
    <w:rsid w:val="09DF3664"/>
    <w:rsid w:val="09EB0ED1"/>
    <w:rsid w:val="09F76FA1"/>
    <w:rsid w:val="09FA5D04"/>
    <w:rsid w:val="0A18027F"/>
    <w:rsid w:val="0A337547"/>
    <w:rsid w:val="0A5B2DE7"/>
    <w:rsid w:val="0A6F33CA"/>
    <w:rsid w:val="0AC459AA"/>
    <w:rsid w:val="0B4F19BA"/>
    <w:rsid w:val="0B674587"/>
    <w:rsid w:val="0B865355"/>
    <w:rsid w:val="0BA8253A"/>
    <w:rsid w:val="0BC71C64"/>
    <w:rsid w:val="0C0117FF"/>
    <w:rsid w:val="0C0901F9"/>
    <w:rsid w:val="0C3A6197"/>
    <w:rsid w:val="0C83265E"/>
    <w:rsid w:val="0CAA5933"/>
    <w:rsid w:val="0CB952B6"/>
    <w:rsid w:val="0CE2480D"/>
    <w:rsid w:val="0CEE4786"/>
    <w:rsid w:val="0D122CD5"/>
    <w:rsid w:val="0DA3709E"/>
    <w:rsid w:val="0DD06C7C"/>
    <w:rsid w:val="0EAA11F9"/>
    <w:rsid w:val="0EBC4BEA"/>
    <w:rsid w:val="0F3D2203"/>
    <w:rsid w:val="0F4A0448"/>
    <w:rsid w:val="0F8920EE"/>
    <w:rsid w:val="0F985025"/>
    <w:rsid w:val="0FB87FCB"/>
    <w:rsid w:val="0FBE07F2"/>
    <w:rsid w:val="0FC24931"/>
    <w:rsid w:val="10294501"/>
    <w:rsid w:val="10493510"/>
    <w:rsid w:val="10F54700"/>
    <w:rsid w:val="110034B4"/>
    <w:rsid w:val="110B6826"/>
    <w:rsid w:val="110F292A"/>
    <w:rsid w:val="116E48C1"/>
    <w:rsid w:val="1182036D"/>
    <w:rsid w:val="11A40DB1"/>
    <w:rsid w:val="11BE4ADD"/>
    <w:rsid w:val="120945EA"/>
    <w:rsid w:val="12203363"/>
    <w:rsid w:val="12301B77"/>
    <w:rsid w:val="123B1F6E"/>
    <w:rsid w:val="1247373F"/>
    <w:rsid w:val="12AE3B43"/>
    <w:rsid w:val="12BC78AF"/>
    <w:rsid w:val="12BD79B0"/>
    <w:rsid w:val="12D322B2"/>
    <w:rsid w:val="12F470BB"/>
    <w:rsid w:val="13091FED"/>
    <w:rsid w:val="130F79DE"/>
    <w:rsid w:val="132F1B6B"/>
    <w:rsid w:val="13C95DDF"/>
    <w:rsid w:val="142071CE"/>
    <w:rsid w:val="150A1679"/>
    <w:rsid w:val="15115C90"/>
    <w:rsid w:val="151E65FF"/>
    <w:rsid w:val="15455939"/>
    <w:rsid w:val="155B6E8A"/>
    <w:rsid w:val="15E31D70"/>
    <w:rsid w:val="1674297A"/>
    <w:rsid w:val="16750620"/>
    <w:rsid w:val="167A721E"/>
    <w:rsid w:val="16BF2C4F"/>
    <w:rsid w:val="16F12DE4"/>
    <w:rsid w:val="16FE6A36"/>
    <w:rsid w:val="1710689D"/>
    <w:rsid w:val="171F21BA"/>
    <w:rsid w:val="17217510"/>
    <w:rsid w:val="1722468F"/>
    <w:rsid w:val="17544559"/>
    <w:rsid w:val="176C0B82"/>
    <w:rsid w:val="1771641F"/>
    <w:rsid w:val="17E256C1"/>
    <w:rsid w:val="18365467"/>
    <w:rsid w:val="187B7588"/>
    <w:rsid w:val="18EB4A4A"/>
    <w:rsid w:val="19962743"/>
    <w:rsid w:val="19F8741E"/>
    <w:rsid w:val="1A64192B"/>
    <w:rsid w:val="1AF6760B"/>
    <w:rsid w:val="1AFF47DC"/>
    <w:rsid w:val="1B07032C"/>
    <w:rsid w:val="1B271392"/>
    <w:rsid w:val="1B636B19"/>
    <w:rsid w:val="1B847720"/>
    <w:rsid w:val="1B851BC5"/>
    <w:rsid w:val="1B88201F"/>
    <w:rsid w:val="1BCD0E63"/>
    <w:rsid w:val="1BE614F8"/>
    <w:rsid w:val="1C16002F"/>
    <w:rsid w:val="1C1E64AF"/>
    <w:rsid w:val="1CA83640"/>
    <w:rsid w:val="1CB659F1"/>
    <w:rsid w:val="1CD6156D"/>
    <w:rsid w:val="1CEB6DC6"/>
    <w:rsid w:val="1CEF0D86"/>
    <w:rsid w:val="1D293D92"/>
    <w:rsid w:val="1D436C02"/>
    <w:rsid w:val="1D632D08"/>
    <w:rsid w:val="1D76518A"/>
    <w:rsid w:val="1E0255DB"/>
    <w:rsid w:val="1E032835"/>
    <w:rsid w:val="1E0B750E"/>
    <w:rsid w:val="1E3351FE"/>
    <w:rsid w:val="1E44002F"/>
    <w:rsid w:val="1E5B7F7C"/>
    <w:rsid w:val="1E5D3CF4"/>
    <w:rsid w:val="1E7D7EF2"/>
    <w:rsid w:val="1E890EA3"/>
    <w:rsid w:val="1EA25AC0"/>
    <w:rsid w:val="1ECA64F1"/>
    <w:rsid w:val="1ECB5336"/>
    <w:rsid w:val="1F33644B"/>
    <w:rsid w:val="1F726CF1"/>
    <w:rsid w:val="1F8D23B7"/>
    <w:rsid w:val="1F8D7043"/>
    <w:rsid w:val="1FB02549"/>
    <w:rsid w:val="1FD2426D"/>
    <w:rsid w:val="1FDFC466"/>
    <w:rsid w:val="1FF618BE"/>
    <w:rsid w:val="1FF91BFE"/>
    <w:rsid w:val="1FFB6CAE"/>
    <w:rsid w:val="20036B1D"/>
    <w:rsid w:val="20547378"/>
    <w:rsid w:val="205F04A3"/>
    <w:rsid w:val="20823EE5"/>
    <w:rsid w:val="20A249A1"/>
    <w:rsid w:val="20C21E5E"/>
    <w:rsid w:val="20C718F8"/>
    <w:rsid w:val="20CE2C87"/>
    <w:rsid w:val="20D37D1E"/>
    <w:rsid w:val="20E16435"/>
    <w:rsid w:val="211C7E96"/>
    <w:rsid w:val="211D3C0E"/>
    <w:rsid w:val="213C22E6"/>
    <w:rsid w:val="215869F4"/>
    <w:rsid w:val="21B412C8"/>
    <w:rsid w:val="21DA38AD"/>
    <w:rsid w:val="22011BCD"/>
    <w:rsid w:val="223B434C"/>
    <w:rsid w:val="22EC5646"/>
    <w:rsid w:val="23064D5C"/>
    <w:rsid w:val="232440B2"/>
    <w:rsid w:val="23273161"/>
    <w:rsid w:val="23466F17"/>
    <w:rsid w:val="235B2848"/>
    <w:rsid w:val="239555EB"/>
    <w:rsid w:val="240A5E72"/>
    <w:rsid w:val="2443573A"/>
    <w:rsid w:val="24772346"/>
    <w:rsid w:val="2492046F"/>
    <w:rsid w:val="249B7F2C"/>
    <w:rsid w:val="24CC572F"/>
    <w:rsid w:val="24F8728F"/>
    <w:rsid w:val="251D4887"/>
    <w:rsid w:val="251E34B0"/>
    <w:rsid w:val="25203CCD"/>
    <w:rsid w:val="263B5F44"/>
    <w:rsid w:val="26890B30"/>
    <w:rsid w:val="269229A8"/>
    <w:rsid w:val="26CD2CE6"/>
    <w:rsid w:val="26EC61E5"/>
    <w:rsid w:val="26F96F78"/>
    <w:rsid w:val="271C2272"/>
    <w:rsid w:val="278247CB"/>
    <w:rsid w:val="27875B84"/>
    <w:rsid w:val="27B801ED"/>
    <w:rsid w:val="281D44F4"/>
    <w:rsid w:val="2869427F"/>
    <w:rsid w:val="286B525F"/>
    <w:rsid w:val="28CD2F54"/>
    <w:rsid w:val="28FC235B"/>
    <w:rsid w:val="29041BAB"/>
    <w:rsid w:val="292C49EE"/>
    <w:rsid w:val="29417EE1"/>
    <w:rsid w:val="297C5B80"/>
    <w:rsid w:val="299B6CDF"/>
    <w:rsid w:val="29B31587"/>
    <w:rsid w:val="2A047719"/>
    <w:rsid w:val="2A924D25"/>
    <w:rsid w:val="2AC35B85"/>
    <w:rsid w:val="2ACA31E0"/>
    <w:rsid w:val="2AF855C0"/>
    <w:rsid w:val="2B2D7144"/>
    <w:rsid w:val="2B5F7CF2"/>
    <w:rsid w:val="2B6F2EC8"/>
    <w:rsid w:val="2B810227"/>
    <w:rsid w:val="2B9176D3"/>
    <w:rsid w:val="2BC2163A"/>
    <w:rsid w:val="2BFF463C"/>
    <w:rsid w:val="2C071743"/>
    <w:rsid w:val="2C370F78"/>
    <w:rsid w:val="2C3A5674"/>
    <w:rsid w:val="2C480741"/>
    <w:rsid w:val="2C5C1A8E"/>
    <w:rsid w:val="2C954FA0"/>
    <w:rsid w:val="2CB31AEF"/>
    <w:rsid w:val="2CBF2A7D"/>
    <w:rsid w:val="2CC7740E"/>
    <w:rsid w:val="2CE11F94"/>
    <w:rsid w:val="2D6D3827"/>
    <w:rsid w:val="2DC518B5"/>
    <w:rsid w:val="2DC85235"/>
    <w:rsid w:val="2DD5687C"/>
    <w:rsid w:val="2E1D15A1"/>
    <w:rsid w:val="2E2C147D"/>
    <w:rsid w:val="2E5828FE"/>
    <w:rsid w:val="2E8827D0"/>
    <w:rsid w:val="2EA15E7F"/>
    <w:rsid w:val="2EB20AE4"/>
    <w:rsid w:val="2EB243B1"/>
    <w:rsid w:val="2EBD177C"/>
    <w:rsid w:val="2EE30A47"/>
    <w:rsid w:val="2F3738F6"/>
    <w:rsid w:val="2F662571"/>
    <w:rsid w:val="2F923A19"/>
    <w:rsid w:val="2FC17E5A"/>
    <w:rsid w:val="2FDE0A0C"/>
    <w:rsid w:val="304940D8"/>
    <w:rsid w:val="305E56A9"/>
    <w:rsid w:val="306E7FE2"/>
    <w:rsid w:val="308721FB"/>
    <w:rsid w:val="3093394D"/>
    <w:rsid w:val="309537C1"/>
    <w:rsid w:val="309D171B"/>
    <w:rsid w:val="309F01A1"/>
    <w:rsid w:val="30B57CDB"/>
    <w:rsid w:val="30E2564C"/>
    <w:rsid w:val="30F253AE"/>
    <w:rsid w:val="318D31E8"/>
    <w:rsid w:val="318F27FC"/>
    <w:rsid w:val="319E2257"/>
    <w:rsid w:val="31AD3142"/>
    <w:rsid w:val="31D125D7"/>
    <w:rsid w:val="31DE4CF4"/>
    <w:rsid w:val="32125C83"/>
    <w:rsid w:val="323B3EF4"/>
    <w:rsid w:val="326F6129"/>
    <w:rsid w:val="327C49FE"/>
    <w:rsid w:val="32827D75"/>
    <w:rsid w:val="32E5730D"/>
    <w:rsid w:val="32EC51EE"/>
    <w:rsid w:val="33031AD6"/>
    <w:rsid w:val="336E40D0"/>
    <w:rsid w:val="337E053C"/>
    <w:rsid w:val="33C443B2"/>
    <w:rsid w:val="340622E0"/>
    <w:rsid w:val="340D033E"/>
    <w:rsid w:val="345A7293"/>
    <w:rsid w:val="34931F8C"/>
    <w:rsid w:val="3497257A"/>
    <w:rsid w:val="34AB088E"/>
    <w:rsid w:val="34B21621"/>
    <w:rsid w:val="34CE1050"/>
    <w:rsid w:val="34E84BDA"/>
    <w:rsid w:val="35283494"/>
    <w:rsid w:val="352B2F77"/>
    <w:rsid w:val="35646D96"/>
    <w:rsid w:val="35926521"/>
    <w:rsid w:val="35A41DB0"/>
    <w:rsid w:val="35AB57BF"/>
    <w:rsid w:val="35B00B49"/>
    <w:rsid w:val="361F3F7F"/>
    <w:rsid w:val="36AA31D0"/>
    <w:rsid w:val="36CA1CEB"/>
    <w:rsid w:val="36CE3FBF"/>
    <w:rsid w:val="37515F68"/>
    <w:rsid w:val="375D1487"/>
    <w:rsid w:val="375D490D"/>
    <w:rsid w:val="375F0685"/>
    <w:rsid w:val="376143FD"/>
    <w:rsid w:val="37654AF6"/>
    <w:rsid w:val="377E6610"/>
    <w:rsid w:val="37983B97"/>
    <w:rsid w:val="37A6491A"/>
    <w:rsid w:val="37F4701F"/>
    <w:rsid w:val="3828316D"/>
    <w:rsid w:val="384A4E91"/>
    <w:rsid w:val="38794C50"/>
    <w:rsid w:val="38B81244"/>
    <w:rsid w:val="38CA1FF4"/>
    <w:rsid w:val="38DF2C15"/>
    <w:rsid w:val="38F17A02"/>
    <w:rsid w:val="38F65019"/>
    <w:rsid w:val="39131B2E"/>
    <w:rsid w:val="39241B86"/>
    <w:rsid w:val="395E4888"/>
    <w:rsid w:val="396C7089"/>
    <w:rsid w:val="399308EC"/>
    <w:rsid w:val="39EF8775"/>
    <w:rsid w:val="3A69462B"/>
    <w:rsid w:val="3AB900AC"/>
    <w:rsid w:val="3AD2116E"/>
    <w:rsid w:val="3ADD023E"/>
    <w:rsid w:val="3AE30259"/>
    <w:rsid w:val="3AE75F10"/>
    <w:rsid w:val="3B4D0332"/>
    <w:rsid w:val="3B624E48"/>
    <w:rsid w:val="3B954675"/>
    <w:rsid w:val="3BB54D17"/>
    <w:rsid w:val="3BF00CC8"/>
    <w:rsid w:val="3C0E5C1F"/>
    <w:rsid w:val="3C1A101E"/>
    <w:rsid w:val="3C9C5ED7"/>
    <w:rsid w:val="3CA0254E"/>
    <w:rsid w:val="3CA4693B"/>
    <w:rsid w:val="3CA623CD"/>
    <w:rsid w:val="3D7E7DDD"/>
    <w:rsid w:val="3D9A41C5"/>
    <w:rsid w:val="3DBD1130"/>
    <w:rsid w:val="3DBF3E9F"/>
    <w:rsid w:val="3DF5764D"/>
    <w:rsid w:val="3E9230EE"/>
    <w:rsid w:val="3E986769"/>
    <w:rsid w:val="3ECC05DA"/>
    <w:rsid w:val="3EDB03F2"/>
    <w:rsid w:val="3EF06066"/>
    <w:rsid w:val="3F1E0E25"/>
    <w:rsid w:val="3F261A88"/>
    <w:rsid w:val="3F4203A6"/>
    <w:rsid w:val="3F6B7D64"/>
    <w:rsid w:val="3F6E3AAE"/>
    <w:rsid w:val="3FA27361"/>
    <w:rsid w:val="3FAC4683"/>
    <w:rsid w:val="40100ABF"/>
    <w:rsid w:val="40503261"/>
    <w:rsid w:val="4071376A"/>
    <w:rsid w:val="4081341A"/>
    <w:rsid w:val="409C12D6"/>
    <w:rsid w:val="40A76693"/>
    <w:rsid w:val="40CB0B39"/>
    <w:rsid w:val="40CB63B7"/>
    <w:rsid w:val="41105572"/>
    <w:rsid w:val="411E6EBB"/>
    <w:rsid w:val="41401527"/>
    <w:rsid w:val="418A67B5"/>
    <w:rsid w:val="41941DA6"/>
    <w:rsid w:val="41F12885"/>
    <w:rsid w:val="42701998"/>
    <w:rsid w:val="429D14AC"/>
    <w:rsid w:val="430B64AE"/>
    <w:rsid w:val="43544FFA"/>
    <w:rsid w:val="43572B58"/>
    <w:rsid w:val="43C1792A"/>
    <w:rsid w:val="43C63351"/>
    <w:rsid w:val="43D35EC7"/>
    <w:rsid w:val="43D66090"/>
    <w:rsid w:val="43E715B7"/>
    <w:rsid w:val="43E91A02"/>
    <w:rsid w:val="440305EA"/>
    <w:rsid w:val="44093F6D"/>
    <w:rsid w:val="44142024"/>
    <w:rsid w:val="44174B71"/>
    <w:rsid w:val="44332C7D"/>
    <w:rsid w:val="445C12EB"/>
    <w:rsid w:val="449B108E"/>
    <w:rsid w:val="45120AE5"/>
    <w:rsid w:val="456948B1"/>
    <w:rsid w:val="4596510C"/>
    <w:rsid w:val="45C053B5"/>
    <w:rsid w:val="460A5C60"/>
    <w:rsid w:val="46224D78"/>
    <w:rsid w:val="462D194E"/>
    <w:rsid w:val="46357048"/>
    <w:rsid w:val="465B64BB"/>
    <w:rsid w:val="46640D69"/>
    <w:rsid w:val="467B6B5D"/>
    <w:rsid w:val="468477C0"/>
    <w:rsid w:val="46D252BD"/>
    <w:rsid w:val="47040660"/>
    <w:rsid w:val="471F5F36"/>
    <w:rsid w:val="47215957"/>
    <w:rsid w:val="474C0428"/>
    <w:rsid w:val="47572D31"/>
    <w:rsid w:val="478D36B4"/>
    <w:rsid w:val="47DC7D0E"/>
    <w:rsid w:val="47DE55F6"/>
    <w:rsid w:val="47EA7AF7"/>
    <w:rsid w:val="47F6649C"/>
    <w:rsid w:val="484A4A39"/>
    <w:rsid w:val="48531B40"/>
    <w:rsid w:val="4871646A"/>
    <w:rsid w:val="48751A7C"/>
    <w:rsid w:val="489155C8"/>
    <w:rsid w:val="489B0CC3"/>
    <w:rsid w:val="48AF22C8"/>
    <w:rsid w:val="48B25AE3"/>
    <w:rsid w:val="48C77E38"/>
    <w:rsid w:val="49047ECE"/>
    <w:rsid w:val="4938670B"/>
    <w:rsid w:val="495279EA"/>
    <w:rsid w:val="495F295F"/>
    <w:rsid w:val="496841DC"/>
    <w:rsid w:val="49A362C7"/>
    <w:rsid w:val="49DE6AF2"/>
    <w:rsid w:val="49E1317B"/>
    <w:rsid w:val="49F25388"/>
    <w:rsid w:val="4A076836"/>
    <w:rsid w:val="4A4D25BF"/>
    <w:rsid w:val="4A591F38"/>
    <w:rsid w:val="4A7758C2"/>
    <w:rsid w:val="4AE65E63"/>
    <w:rsid w:val="4B285784"/>
    <w:rsid w:val="4B6C4928"/>
    <w:rsid w:val="4B8048B0"/>
    <w:rsid w:val="4C45166F"/>
    <w:rsid w:val="4C5C4D3B"/>
    <w:rsid w:val="4C752587"/>
    <w:rsid w:val="4CC0351C"/>
    <w:rsid w:val="4CFE2B2F"/>
    <w:rsid w:val="4D844549"/>
    <w:rsid w:val="4D852D7D"/>
    <w:rsid w:val="4E130CAB"/>
    <w:rsid w:val="4E880069"/>
    <w:rsid w:val="4E8A2033"/>
    <w:rsid w:val="4F0F2539"/>
    <w:rsid w:val="4F200CFA"/>
    <w:rsid w:val="4F2A2ECF"/>
    <w:rsid w:val="4F2F0144"/>
    <w:rsid w:val="4F560168"/>
    <w:rsid w:val="4F5663B9"/>
    <w:rsid w:val="4F606DC8"/>
    <w:rsid w:val="4FB37368"/>
    <w:rsid w:val="50182CF3"/>
    <w:rsid w:val="50730285"/>
    <w:rsid w:val="507650A9"/>
    <w:rsid w:val="50812FC2"/>
    <w:rsid w:val="50967F77"/>
    <w:rsid w:val="50CF01D2"/>
    <w:rsid w:val="50E35CE3"/>
    <w:rsid w:val="50E847C4"/>
    <w:rsid w:val="51750D79"/>
    <w:rsid w:val="518A32F2"/>
    <w:rsid w:val="51EB11CD"/>
    <w:rsid w:val="52351487"/>
    <w:rsid w:val="524842D8"/>
    <w:rsid w:val="526D3037"/>
    <w:rsid w:val="529214B7"/>
    <w:rsid w:val="52C73868"/>
    <w:rsid w:val="5311062D"/>
    <w:rsid w:val="534529CD"/>
    <w:rsid w:val="535C0EDF"/>
    <w:rsid w:val="539D3D35"/>
    <w:rsid w:val="53A9627A"/>
    <w:rsid w:val="53B65F21"/>
    <w:rsid w:val="53C23AF9"/>
    <w:rsid w:val="53E86514"/>
    <w:rsid w:val="53F41109"/>
    <w:rsid w:val="543211F5"/>
    <w:rsid w:val="54597425"/>
    <w:rsid w:val="549F6D91"/>
    <w:rsid w:val="54A86D6F"/>
    <w:rsid w:val="54AB6860"/>
    <w:rsid w:val="54BB7DCA"/>
    <w:rsid w:val="54C210FA"/>
    <w:rsid w:val="54CC572F"/>
    <w:rsid w:val="54FB77E7"/>
    <w:rsid w:val="55C80D3A"/>
    <w:rsid w:val="55D27B8B"/>
    <w:rsid w:val="55FD45F5"/>
    <w:rsid w:val="561548D9"/>
    <w:rsid w:val="562B73E4"/>
    <w:rsid w:val="56440E09"/>
    <w:rsid w:val="56554CD5"/>
    <w:rsid w:val="565E62A2"/>
    <w:rsid w:val="56B740B1"/>
    <w:rsid w:val="5714693E"/>
    <w:rsid w:val="57215724"/>
    <w:rsid w:val="572F3778"/>
    <w:rsid w:val="577E34BE"/>
    <w:rsid w:val="57864589"/>
    <w:rsid w:val="579D4B86"/>
    <w:rsid w:val="57A35F14"/>
    <w:rsid w:val="57AD0F63"/>
    <w:rsid w:val="57B63E99"/>
    <w:rsid w:val="57CC546B"/>
    <w:rsid w:val="580E5545"/>
    <w:rsid w:val="581B1F4E"/>
    <w:rsid w:val="584B45E2"/>
    <w:rsid w:val="58FA6008"/>
    <w:rsid w:val="59560A6B"/>
    <w:rsid w:val="59FB5B93"/>
    <w:rsid w:val="5A110E45"/>
    <w:rsid w:val="5A2A0227"/>
    <w:rsid w:val="5A2F63C6"/>
    <w:rsid w:val="5A710DCE"/>
    <w:rsid w:val="5A762CCA"/>
    <w:rsid w:val="5AAF32DA"/>
    <w:rsid w:val="5ABB5323"/>
    <w:rsid w:val="5B614411"/>
    <w:rsid w:val="5B866767"/>
    <w:rsid w:val="5C4202DC"/>
    <w:rsid w:val="5C4359D4"/>
    <w:rsid w:val="5C8B76A2"/>
    <w:rsid w:val="5CC74453"/>
    <w:rsid w:val="5CF35248"/>
    <w:rsid w:val="5D331AE8"/>
    <w:rsid w:val="5D3B14D0"/>
    <w:rsid w:val="5D706898"/>
    <w:rsid w:val="5D7B19F7"/>
    <w:rsid w:val="5E185CD7"/>
    <w:rsid w:val="5E272791"/>
    <w:rsid w:val="5E2B1CB9"/>
    <w:rsid w:val="5E407BED"/>
    <w:rsid w:val="5E4B17AE"/>
    <w:rsid w:val="5E860B3C"/>
    <w:rsid w:val="5ED43BEF"/>
    <w:rsid w:val="5ED54D16"/>
    <w:rsid w:val="5F051DCA"/>
    <w:rsid w:val="5F0E7E34"/>
    <w:rsid w:val="5F180F96"/>
    <w:rsid w:val="5F5521EA"/>
    <w:rsid w:val="5FA42829"/>
    <w:rsid w:val="5FB213EA"/>
    <w:rsid w:val="5FDE3FC6"/>
    <w:rsid w:val="60022122"/>
    <w:rsid w:val="601206E2"/>
    <w:rsid w:val="60457B68"/>
    <w:rsid w:val="60753E1A"/>
    <w:rsid w:val="60AD4011"/>
    <w:rsid w:val="60B40439"/>
    <w:rsid w:val="60C45117"/>
    <w:rsid w:val="60F375C4"/>
    <w:rsid w:val="610D059B"/>
    <w:rsid w:val="61377200"/>
    <w:rsid w:val="6153099E"/>
    <w:rsid w:val="6175447D"/>
    <w:rsid w:val="618678EE"/>
    <w:rsid w:val="62210161"/>
    <w:rsid w:val="6287563B"/>
    <w:rsid w:val="62BB05B6"/>
    <w:rsid w:val="62C6245B"/>
    <w:rsid w:val="62C84A81"/>
    <w:rsid w:val="62C95A86"/>
    <w:rsid w:val="62DB375F"/>
    <w:rsid w:val="62E25B42"/>
    <w:rsid w:val="632D3743"/>
    <w:rsid w:val="632E12BD"/>
    <w:rsid w:val="636C7B02"/>
    <w:rsid w:val="639B4AFA"/>
    <w:rsid w:val="63D11082"/>
    <w:rsid w:val="64047D3A"/>
    <w:rsid w:val="643E324C"/>
    <w:rsid w:val="648A14D6"/>
    <w:rsid w:val="64A07A63"/>
    <w:rsid w:val="64A81B7C"/>
    <w:rsid w:val="64BD0615"/>
    <w:rsid w:val="64DD0CB7"/>
    <w:rsid w:val="64F904BF"/>
    <w:rsid w:val="654440EC"/>
    <w:rsid w:val="65636E35"/>
    <w:rsid w:val="65654809"/>
    <w:rsid w:val="657C6BE0"/>
    <w:rsid w:val="65D803F4"/>
    <w:rsid w:val="65E074CC"/>
    <w:rsid w:val="662326FA"/>
    <w:rsid w:val="66235C56"/>
    <w:rsid w:val="6672676D"/>
    <w:rsid w:val="66AB26EF"/>
    <w:rsid w:val="66BA58BD"/>
    <w:rsid w:val="66D62819"/>
    <w:rsid w:val="66F81DD8"/>
    <w:rsid w:val="66F90A49"/>
    <w:rsid w:val="674673A4"/>
    <w:rsid w:val="676C1E7F"/>
    <w:rsid w:val="67921654"/>
    <w:rsid w:val="67D57A24"/>
    <w:rsid w:val="68045607"/>
    <w:rsid w:val="680622D3"/>
    <w:rsid w:val="68142797"/>
    <w:rsid w:val="68210EBB"/>
    <w:rsid w:val="685B7A72"/>
    <w:rsid w:val="68A4734D"/>
    <w:rsid w:val="68C22BD8"/>
    <w:rsid w:val="69194288"/>
    <w:rsid w:val="69A86A0E"/>
    <w:rsid w:val="69AA4EE0"/>
    <w:rsid w:val="69E20B1E"/>
    <w:rsid w:val="69E55F18"/>
    <w:rsid w:val="69E7542D"/>
    <w:rsid w:val="69F449A2"/>
    <w:rsid w:val="6A0158E7"/>
    <w:rsid w:val="6A1B23DD"/>
    <w:rsid w:val="6A433281"/>
    <w:rsid w:val="6A8D6CDC"/>
    <w:rsid w:val="6AAC0203"/>
    <w:rsid w:val="6B6F4633"/>
    <w:rsid w:val="6B9C0E3C"/>
    <w:rsid w:val="6B9D2877"/>
    <w:rsid w:val="6BD14C49"/>
    <w:rsid w:val="6BDE5A0E"/>
    <w:rsid w:val="6BF568E6"/>
    <w:rsid w:val="6BFD579B"/>
    <w:rsid w:val="6BFF8045"/>
    <w:rsid w:val="6C3B62C3"/>
    <w:rsid w:val="6CB247D7"/>
    <w:rsid w:val="6CE82A10"/>
    <w:rsid w:val="6D00042B"/>
    <w:rsid w:val="6D3A25B2"/>
    <w:rsid w:val="6D45389E"/>
    <w:rsid w:val="6DD358C1"/>
    <w:rsid w:val="6DD93FE6"/>
    <w:rsid w:val="6DEE5D22"/>
    <w:rsid w:val="6E1D2124"/>
    <w:rsid w:val="6E2240E5"/>
    <w:rsid w:val="6E2C05BA"/>
    <w:rsid w:val="6E4B0A4A"/>
    <w:rsid w:val="6E62222D"/>
    <w:rsid w:val="6E792CCA"/>
    <w:rsid w:val="6E7A1325"/>
    <w:rsid w:val="6E9F1846"/>
    <w:rsid w:val="6EB14DA4"/>
    <w:rsid w:val="6EC52C73"/>
    <w:rsid w:val="6EF46D1F"/>
    <w:rsid w:val="6F0A08BE"/>
    <w:rsid w:val="6F2747C5"/>
    <w:rsid w:val="6F471088"/>
    <w:rsid w:val="6F51652A"/>
    <w:rsid w:val="6FB840A7"/>
    <w:rsid w:val="6FF27057"/>
    <w:rsid w:val="701F2D9D"/>
    <w:rsid w:val="70651502"/>
    <w:rsid w:val="707D50FC"/>
    <w:rsid w:val="708C3591"/>
    <w:rsid w:val="70BE4B17"/>
    <w:rsid w:val="70C44C10"/>
    <w:rsid w:val="70CB6663"/>
    <w:rsid w:val="70CD07AD"/>
    <w:rsid w:val="70E83694"/>
    <w:rsid w:val="7166042F"/>
    <w:rsid w:val="71A14E1B"/>
    <w:rsid w:val="71F3680E"/>
    <w:rsid w:val="71FB09CF"/>
    <w:rsid w:val="723D2D95"/>
    <w:rsid w:val="726065DD"/>
    <w:rsid w:val="727122A5"/>
    <w:rsid w:val="72C07522"/>
    <w:rsid w:val="72C25048"/>
    <w:rsid w:val="730B7BD0"/>
    <w:rsid w:val="73155AC0"/>
    <w:rsid w:val="732E0930"/>
    <w:rsid w:val="7340167A"/>
    <w:rsid w:val="735A3288"/>
    <w:rsid w:val="735C34D5"/>
    <w:rsid w:val="737629FD"/>
    <w:rsid w:val="739365B8"/>
    <w:rsid w:val="73A77D9D"/>
    <w:rsid w:val="741775AC"/>
    <w:rsid w:val="742064CB"/>
    <w:rsid w:val="743261FE"/>
    <w:rsid w:val="748C7C25"/>
    <w:rsid w:val="74E93707"/>
    <w:rsid w:val="752541D9"/>
    <w:rsid w:val="754609D9"/>
    <w:rsid w:val="754652C1"/>
    <w:rsid w:val="75A90DFC"/>
    <w:rsid w:val="75C702F8"/>
    <w:rsid w:val="75D237F5"/>
    <w:rsid w:val="75D4689D"/>
    <w:rsid w:val="75DE7698"/>
    <w:rsid w:val="75EA0038"/>
    <w:rsid w:val="761756AB"/>
    <w:rsid w:val="761E4C8C"/>
    <w:rsid w:val="76322C84"/>
    <w:rsid w:val="764C7A4B"/>
    <w:rsid w:val="76671F06"/>
    <w:rsid w:val="76830C04"/>
    <w:rsid w:val="76834381"/>
    <w:rsid w:val="76A74C81"/>
    <w:rsid w:val="76B37ACA"/>
    <w:rsid w:val="77322613"/>
    <w:rsid w:val="77517D6E"/>
    <w:rsid w:val="775D5575"/>
    <w:rsid w:val="77B51620"/>
    <w:rsid w:val="782C7B34"/>
    <w:rsid w:val="786D1EFA"/>
    <w:rsid w:val="787A0A3E"/>
    <w:rsid w:val="78E73A5B"/>
    <w:rsid w:val="793738F5"/>
    <w:rsid w:val="79F20909"/>
    <w:rsid w:val="7A3C04D5"/>
    <w:rsid w:val="7A4B0019"/>
    <w:rsid w:val="7A5F5A01"/>
    <w:rsid w:val="7A993241"/>
    <w:rsid w:val="7A9C2623"/>
    <w:rsid w:val="7ABC0D13"/>
    <w:rsid w:val="7AF0365B"/>
    <w:rsid w:val="7B0501C8"/>
    <w:rsid w:val="7B9F16C3"/>
    <w:rsid w:val="7BA03060"/>
    <w:rsid w:val="7BA93249"/>
    <w:rsid w:val="7BDF4EBD"/>
    <w:rsid w:val="7C0B5666"/>
    <w:rsid w:val="7C2A29F8"/>
    <w:rsid w:val="7C916C49"/>
    <w:rsid w:val="7CB63E70"/>
    <w:rsid w:val="7CD9068C"/>
    <w:rsid w:val="7CF356C1"/>
    <w:rsid w:val="7CFA4560"/>
    <w:rsid w:val="7D3D4087"/>
    <w:rsid w:val="7D4A45B8"/>
    <w:rsid w:val="7D865647"/>
    <w:rsid w:val="7D93486B"/>
    <w:rsid w:val="7DB55ED6"/>
    <w:rsid w:val="7DDF2F52"/>
    <w:rsid w:val="7DDF3108"/>
    <w:rsid w:val="7DF0795C"/>
    <w:rsid w:val="7DFC631E"/>
    <w:rsid w:val="7E1846B6"/>
    <w:rsid w:val="7E6478FC"/>
    <w:rsid w:val="7E6C052E"/>
    <w:rsid w:val="7EC00FD6"/>
    <w:rsid w:val="7EC743BC"/>
    <w:rsid w:val="7ECA1657"/>
    <w:rsid w:val="7F1B26CA"/>
    <w:rsid w:val="7F1B2F50"/>
    <w:rsid w:val="7F2C0419"/>
    <w:rsid w:val="7F317BE1"/>
    <w:rsid w:val="7F323556"/>
    <w:rsid w:val="7F4E6AEC"/>
    <w:rsid w:val="7F6E4BBD"/>
    <w:rsid w:val="7F7D2A23"/>
    <w:rsid w:val="7F7D336A"/>
    <w:rsid w:val="7F906B71"/>
    <w:rsid w:val="7FB7936B"/>
    <w:rsid w:val="7FBB576C"/>
    <w:rsid w:val="7FF60DA5"/>
    <w:rsid w:val="7FF8654D"/>
    <w:rsid w:val="7FFDEC37"/>
    <w:rsid w:val="9DFD9FF5"/>
    <w:rsid w:val="B5E9D4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fillcolor="white">
      <v:fill color="white"/>
    </o:shapedefaults>
    <o:shapelayout v:ext="edit">
      <o:idmap v:ext="edit" data="2"/>
    </o:shapelayout>
  </w:shapeDefaults>
  <w:decimalSymbol w:val="."/>
  <w:listSeparator w:val=","/>
  <w14:docId w14:val="066501BE"/>
  <w15:docId w15:val="{C8BDF856-B0CB-4EFD-9DBB-7B2E8337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4" w:uiPriority="99" w:unhideWhenUsed="1" w:qFormat="1"/>
    <w:lsdException w:name="toc 1" w:uiPriority="39" w:qFormat="1"/>
    <w:lsdException w:name="toc 2" w:uiPriority="39"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Body Text 2" w:semiHidden="1" w:uiPriority="99" w:unhideWhenUsed="1"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0"/>
    <w:qFormat/>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autoSpaceDE w:val="0"/>
      <w:autoSpaceDN w:val="0"/>
      <w:adjustRightInd w:val="0"/>
      <w:ind w:firstLine="420"/>
      <w:jc w:val="left"/>
    </w:pPr>
    <w:rPr>
      <w:rFonts w:ascii="宋体"/>
      <w:sz w:val="24"/>
    </w:rPr>
  </w:style>
  <w:style w:type="paragraph" w:styleId="a4">
    <w:name w:val="annotation text"/>
    <w:basedOn w:val="a"/>
    <w:link w:val="a5"/>
    <w:qFormat/>
    <w:pPr>
      <w:jc w:val="left"/>
    </w:pPr>
  </w:style>
  <w:style w:type="paragraph" w:styleId="a6">
    <w:name w:val="Body Text"/>
    <w:basedOn w:val="a"/>
    <w:next w:val="a"/>
    <w:qFormat/>
    <w:pPr>
      <w:tabs>
        <w:tab w:val="left" w:pos="567"/>
      </w:tabs>
      <w:spacing w:before="120" w:line="22" w:lineRule="atLeast"/>
    </w:pPr>
    <w:rPr>
      <w:rFonts w:ascii="宋体" w:hAnsi="宋体"/>
      <w:sz w:val="24"/>
    </w:rPr>
  </w:style>
  <w:style w:type="paragraph" w:styleId="21">
    <w:name w:val="List 2"/>
    <w:basedOn w:val="a"/>
    <w:qFormat/>
    <w:pPr>
      <w:ind w:leftChars="200" w:left="100" w:hangingChars="200" w:hanging="200"/>
    </w:pPr>
  </w:style>
  <w:style w:type="paragraph" w:styleId="4">
    <w:name w:val="index 4"/>
    <w:basedOn w:val="a"/>
    <w:next w:val="a"/>
    <w:uiPriority w:val="99"/>
    <w:unhideWhenUsed/>
    <w:qFormat/>
    <w:pPr>
      <w:spacing w:before="100" w:beforeAutospacing="1" w:after="100" w:afterAutospacing="1"/>
      <w:ind w:leftChars="600" w:left="600"/>
    </w:pPr>
  </w:style>
  <w:style w:type="paragraph" w:styleId="a7">
    <w:name w:val="Plain Text"/>
    <w:basedOn w:val="a"/>
    <w:qFormat/>
    <w:rPr>
      <w:rFonts w:ascii="宋体" w:hAnsi="Courier New" w:hint="eastAsia"/>
      <w:szCs w:val="20"/>
    </w:rPr>
  </w:style>
  <w:style w:type="paragraph" w:styleId="a8">
    <w:name w:val="Balloon Text"/>
    <w:basedOn w:val="a"/>
    <w:link w:val="a9"/>
    <w:qFormat/>
    <w:rPr>
      <w:sz w:val="18"/>
      <w:szCs w:val="18"/>
    </w:rPr>
  </w:style>
  <w:style w:type="paragraph" w:styleId="aa">
    <w:name w:val="footer"/>
    <w:basedOn w:val="a"/>
    <w:next w:val="a"/>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b">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2">
    <w:name w:val="toc 2"/>
    <w:basedOn w:val="a"/>
    <w:next w:val="a"/>
    <w:uiPriority w:val="39"/>
    <w:qFormat/>
    <w:pPr>
      <w:tabs>
        <w:tab w:val="right" w:leader="dot" w:pos="8937"/>
      </w:tabs>
      <w:spacing w:line="312" w:lineRule="auto"/>
      <w:ind w:leftChars="200" w:left="420"/>
    </w:pPr>
  </w:style>
  <w:style w:type="paragraph" w:styleId="22">
    <w:name w:val="Body Text 2"/>
    <w:basedOn w:val="a"/>
    <w:uiPriority w:val="99"/>
    <w:semiHidden/>
    <w:unhideWhenUsed/>
    <w:qFormat/>
    <w:pPr>
      <w:spacing w:after="120" w:line="480" w:lineRule="auto"/>
    </w:p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0">
    <w:name w:val="index 1"/>
    <w:basedOn w:val="a"/>
    <w:next w:val="a"/>
    <w:qFormat/>
    <w:rPr>
      <w:szCs w:val="20"/>
    </w:rPr>
  </w:style>
  <w:style w:type="paragraph" w:styleId="ad">
    <w:name w:val="annotation subject"/>
    <w:basedOn w:val="a4"/>
    <w:next w:val="a4"/>
    <w:link w:val="ae"/>
    <w:qFormat/>
    <w:rPr>
      <w:b/>
      <w:bCs/>
    </w:rPr>
  </w:style>
  <w:style w:type="paragraph" w:styleId="af">
    <w:name w:val="Body Text First Indent"/>
    <w:basedOn w:val="a"/>
    <w:qFormat/>
    <w:pPr>
      <w:tabs>
        <w:tab w:val="left" w:pos="567"/>
      </w:tabs>
      <w:ind w:firstLineChars="100" w:firstLine="420"/>
    </w:p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qFormat/>
    <w:rPr>
      <w:b/>
      <w:bCs/>
    </w:rPr>
  </w:style>
  <w:style w:type="character" w:styleId="af2">
    <w:name w:val="page number"/>
    <w:basedOn w:val="a1"/>
    <w:qFormat/>
  </w:style>
  <w:style w:type="character" w:styleId="af3">
    <w:name w:val="Hyperlink"/>
    <w:uiPriority w:val="99"/>
    <w:qFormat/>
    <w:rPr>
      <w:color w:val="0000FF"/>
      <w:u w:val="single"/>
    </w:rPr>
  </w:style>
  <w:style w:type="character" w:styleId="af4">
    <w:name w:val="annotation reference"/>
    <w:basedOn w:val="a1"/>
    <w:qFormat/>
    <w:rPr>
      <w:sz w:val="21"/>
      <w:szCs w:val="21"/>
    </w:rPr>
  </w:style>
  <w:style w:type="paragraph" w:customStyle="1" w:styleId="11">
    <w:name w:val="列出段落1"/>
    <w:basedOn w:val="a"/>
    <w:uiPriority w:val="34"/>
    <w:qFormat/>
    <w:pPr>
      <w:ind w:firstLineChars="200" w:firstLine="420"/>
    </w:pPr>
    <w:rPr>
      <w:rFonts w:ascii="Calibri" w:hAnsi="Calibri"/>
      <w:szCs w:val="22"/>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paragraph" w:styleId="af5">
    <w:name w:val="List Paragraph"/>
    <w:basedOn w:val="a"/>
    <w:uiPriority w:val="1"/>
    <w:qFormat/>
    <w:pPr>
      <w:ind w:firstLineChars="200" w:firstLine="420"/>
    </w:pPr>
  </w:style>
  <w:style w:type="character" w:customStyle="1" w:styleId="a9">
    <w:name w:val="批注框文本 字符"/>
    <w:basedOn w:val="a1"/>
    <w:link w:val="a8"/>
    <w:qFormat/>
    <w:rPr>
      <w:rFonts w:ascii="Times New Roman" w:eastAsia="宋体" w:hAnsi="Times New Roman" w:cs="Times New Roman"/>
      <w:kern w:val="2"/>
      <w:sz w:val="18"/>
      <w:szCs w:val="18"/>
    </w:rPr>
  </w:style>
  <w:style w:type="character" w:customStyle="1" w:styleId="a5">
    <w:name w:val="批注文字 字符"/>
    <w:basedOn w:val="a1"/>
    <w:link w:val="a4"/>
    <w:qFormat/>
    <w:rPr>
      <w:rFonts w:ascii="Times New Roman" w:eastAsia="宋体" w:hAnsi="Times New Roman" w:cs="Times New Roman"/>
      <w:kern w:val="2"/>
      <w:sz w:val="21"/>
      <w:szCs w:val="24"/>
    </w:rPr>
  </w:style>
  <w:style w:type="character" w:customStyle="1" w:styleId="ae">
    <w:name w:val="批注主题 字符"/>
    <w:basedOn w:val="a5"/>
    <w:link w:val="ad"/>
    <w:qFormat/>
    <w:rPr>
      <w:rFonts w:ascii="Times New Roman" w:eastAsia="宋体" w:hAnsi="Times New Roman" w:cs="Times New Roman"/>
      <w:b/>
      <w:bCs/>
      <w:kern w:val="2"/>
      <w:sz w:val="21"/>
      <w:szCs w:val="24"/>
    </w:rPr>
  </w:style>
  <w:style w:type="character" w:customStyle="1" w:styleId="20">
    <w:name w:val="标题 2 字符"/>
    <w:basedOn w:val="a1"/>
    <w:link w:val="2"/>
    <w:qFormat/>
    <w:rPr>
      <w:rFonts w:ascii="Arial" w:eastAsia="黑体" w:hAnsi="Arial" w:cs="Times New Roman"/>
      <w:b/>
      <w:sz w:val="30"/>
    </w:rPr>
  </w:style>
  <w:style w:type="character" w:customStyle="1" w:styleId="30">
    <w:name w:val="标题 3 字符"/>
    <w:basedOn w:val="a1"/>
    <w:link w:val="3"/>
    <w:qFormat/>
    <w:rPr>
      <w:rFonts w:ascii="宋体" w:eastAsia="宋体" w:hAnsi="Times New Roman" w:cs="Times New Roman"/>
      <w:b/>
      <w:sz w:val="24"/>
      <w:u w:val="single"/>
    </w:rPr>
  </w:style>
  <w:style w:type="paragraph" w:customStyle="1" w:styleId="TableText">
    <w:name w:val="Table Text"/>
    <w:basedOn w:val="a"/>
    <w:semiHidden/>
    <w:qFormat/>
    <w:rPr>
      <w:rFonts w:ascii="Arial" w:eastAsia="Arial" w:hAnsi="Arial" w:cs="Arial"/>
      <w:szCs w:val="21"/>
      <w:lang w:eastAsia="en-US"/>
    </w:rPr>
  </w:style>
  <w:style w:type="paragraph" w:customStyle="1" w:styleId="12">
    <w:name w:val="修订1"/>
    <w:hidden/>
    <w:uiPriority w:val="99"/>
    <w:semiHidden/>
    <w:qFormat/>
    <w:rPr>
      <w:kern w:val="2"/>
      <w:sz w:val="21"/>
      <w:szCs w:val="24"/>
    </w:rPr>
  </w:style>
  <w:style w:type="paragraph" w:customStyle="1" w:styleId="31">
    <w:name w:val="正文3"/>
    <w:uiPriority w:val="99"/>
    <w:qFormat/>
    <w:pPr>
      <w:jc w:val="both"/>
    </w:pPr>
    <w:rPr>
      <w:rFonts w:ascii="Calibri" w:hAnsi="Calibri" w:cs="Calibri"/>
      <w:kern w:val="2"/>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110">
    <w:name w:val="列出段落11"/>
    <w:basedOn w:val="a"/>
    <w:qFormat/>
    <w:pPr>
      <w:ind w:firstLineChars="200" w:firstLine="420"/>
    </w:pPr>
    <w:rPr>
      <w:rFonts w:ascii="Calibri" w:hAnsi="Calibri"/>
      <w:szCs w:val="22"/>
    </w:rPr>
  </w:style>
  <w:style w:type="paragraph" w:customStyle="1" w:styleId="af6">
    <w:name w:val="!正文"/>
    <w:basedOn w:val="a"/>
    <w:qFormat/>
    <w:pPr>
      <w:spacing w:after="120" w:line="360" w:lineRule="auto"/>
      <w:ind w:leftChars="200" w:left="420" w:firstLineChars="200" w:firstLine="480"/>
    </w:pPr>
    <w:rPr>
      <w:rFonts w:cs="宋体"/>
      <w:sz w:val="24"/>
    </w:rPr>
  </w:style>
  <w:style w:type="paragraph" w:customStyle="1" w:styleId="af7">
    <w:name w:val="*正文"/>
    <w:basedOn w:val="a"/>
    <w:qFormat/>
    <w:pPr>
      <w:spacing w:line="300" w:lineRule="auto"/>
      <w:ind w:firstLine="480"/>
    </w:pPr>
    <w:rPr>
      <w:rFonts w:ascii="宋体" w:hAnsi="宋体"/>
      <w:sz w:val="24"/>
    </w:rPr>
  </w:style>
  <w:style w:type="paragraph" w:customStyle="1" w:styleId="23">
    <w:name w:val="修订2"/>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718</Words>
  <Characters>4098</Characters>
  <Application>Microsoft Office Word</Application>
  <DocSecurity>0</DocSecurity>
  <Lines>34</Lines>
  <Paragraphs>9</Paragraphs>
  <ScaleCrop>false</ScaleCrop>
  <Company>Microsoft</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dc:creator>
  <cp:lastModifiedBy>OU X</cp:lastModifiedBy>
  <cp:revision>15</cp:revision>
  <dcterms:created xsi:type="dcterms:W3CDTF">2025-09-18T03:22:00Z</dcterms:created>
  <dcterms:modified xsi:type="dcterms:W3CDTF">2025-11-18T06:04:00Z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917EEF56E6EE28981A1F3468F32D77CC_43</vt:lpwstr>
  </property>
  <property fmtid="{D5CDD505-2E9C-101B-9397-08002B2CF9AE}" pid="4" name="KSOTemplateDocerSaveRecord">
    <vt:lpwstr>eyJoZGlkIjoiMDU4MWRkZDVlYzU1YTFjMjhlMGU0YTU1YzE5NWNiY2QiLCJ1c2VySWQiOiIxNjUzNTUzNDU2In0=</vt:lpwstr>
  </property>
</Properties>
</file>