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FBB6F">
      <w:pPr>
        <w:spacing w:line="360" w:lineRule="auto"/>
        <w:jc w:val="center"/>
        <w:outlineLvl w:val="0"/>
        <w:rPr>
          <w:b/>
          <w:color w:val="auto"/>
          <w:sz w:val="36"/>
          <w:szCs w:val="36"/>
          <w:highlight w:val="none"/>
        </w:rPr>
      </w:pPr>
      <w:r>
        <w:rPr>
          <w:b/>
          <w:color w:val="auto"/>
          <w:sz w:val="36"/>
          <w:szCs w:val="36"/>
          <w:highlight w:val="none"/>
        </w:rPr>
        <w:t>采购需求</w:t>
      </w:r>
    </w:p>
    <w:p w14:paraId="770EA0F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宋体"/>
          <w:b/>
          <w:bCs/>
          <w:sz w:val="24"/>
          <w:szCs w:val="24"/>
          <w:highlight w:val="none"/>
        </w:rPr>
      </w:pPr>
      <w:r>
        <w:rPr>
          <w:rFonts w:hint="eastAsia" w:ascii="宋体" w:hAnsi="宋体" w:cs="宋体"/>
          <w:b/>
          <w:bCs/>
          <w:sz w:val="24"/>
          <w:szCs w:val="24"/>
          <w:highlight w:val="none"/>
          <w:lang w:val="en-US" w:eastAsia="zh-CN"/>
        </w:rPr>
        <w:t>一、</w:t>
      </w:r>
      <w:r>
        <w:rPr>
          <w:rFonts w:hint="eastAsia" w:ascii="宋体" w:hAnsi="宋体" w:cs="宋体"/>
          <w:b/>
          <w:bCs/>
          <w:sz w:val="24"/>
          <w:szCs w:val="24"/>
          <w:highlight w:val="none"/>
        </w:rPr>
        <w:t>采购要求：</w:t>
      </w:r>
    </w:p>
    <w:p w14:paraId="516E8D3A">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由中标方负责根据招标方工作需求及条件进行招聘公告的发布，并在招标方将招聘需求及条件发至中标方10个工作日内推荐符合条件人员到招标方进行面试； </w:t>
      </w:r>
    </w:p>
    <w:p w14:paraId="49635EA9">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由中标方根据招标方工作阶段性需求决定派遣员工数量（最高不超过56人,具体明细附后）；</w:t>
      </w:r>
    </w:p>
    <w:p w14:paraId="03833019">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由中标方负责与派遣的员工签订劳动合同，确立劳动关系，并负责办理一切相关手续(包含但不限于入职手续、离职手续、各类证明材料等)；</w:t>
      </w:r>
    </w:p>
    <w:p w14:paraId="3F1D7146">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由中标方负责派遣员工的薪酬管理、社保办理、及个税代扣代缴，劳动关系维护，代办员工有关证件，有关法律法规咨询等；</w:t>
      </w:r>
    </w:p>
    <w:p w14:paraId="3A03677C">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由中标方负责处理派遣员工提出的劳动仲裁、诉讼等事宜；</w:t>
      </w:r>
    </w:p>
    <w:p w14:paraId="5334E0D6">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由中标方负责派遣员工的档案管理以及专业技术人员的职称申报、评定等；</w:t>
      </w:r>
    </w:p>
    <w:p w14:paraId="21B51EB2">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中标方应确保及时、准确、妥善的处理派遣员工的薪酬管理、社保办理、及个税代扣代缴工作，避免发生劳动仲裁、诉讼事件；</w:t>
      </w:r>
    </w:p>
    <w:p w14:paraId="11696EEC">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中标方应确保及时、准确、妥善的处理派遣员工的档案管理以及专业技术人员的职称申报、评定等工作，避免发生人事仲裁事件；</w:t>
      </w:r>
    </w:p>
    <w:p w14:paraId="6D7140C3">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中标方应确保和谐、稳妥的处理派遣员工的劳动仲裁、劳动诉讼及人事仲裁事件，避免妨碍招标方的正常工作或给招标方带来不利社会影响；</w:t>
      </w:r>
    </w:p>
    <w:p w14:paraId="4AEC328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派驻现场指定专人应勤勉尽责，每周至少一个半天在招标方处理派遣员工的各项事务，协助招标方的相关工作；</w:t>
      </w:r>
    </w:p>
    <w:p w14:paraId="05CD22C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cs="宋体"/>
          <w:sz w:val="24"/>
          <w:szCs w:val="24"/>
          <w:highlight w:val="none"/>
        </w:rPr>
        <w:t>中标方应根据招标方要求，与招标方现在正在使用的工作能力良好的劳务派遣员工签订劳动合同并重新派遣至招标方，并将其在招标方的工作时间合并计算工作年限；</w:t>
      </w:r>
    </w:p>
    <w:p w14:paraId="6394EEF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cs="宋体"/>
          <w:sz w:val="24"/>
          <w:szCs w:val="24"/>
          <w:highlight w:val="none"/>
        </w:rPr>
        <w:t>中标方应根据招标方对劳务派遣人员的日常考勤、工作情况等反馈，发放劳务派遣人员工资、加班费、过节费、年终奖金等；</w:t>
      </w:r>
    </w:p>
    <w:p w14:paraId="1AC5C1E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cs="宋体"/>
          <w:sz w:val="24"/>
          <w:szCs w:val="24"/>
          <w:highlight w:val="none"/>
        </w:rPr>
        <w:t>中标方应根据招标方要求，负责组织员工培训、工会活动、发放员工福利等事宜。</w:t>
      </w:r>
    </w:p>
    <w:p w14:paraId="030A4138">
      <w:pPr>
        <w:pStyle w:val="4"/>
        <w:spacing w:line="360" w:lineRule="auto"/>
        <w:ind w:firstLine="0" w:firstLineChars="0"/>
        <w:jc w:val="center"/>
        <w:rPr>
          <w:rFonts w:ascii="宋体" w:hAnsi="宋体" w:cs="宋体"/>
          <w:b/>
          <w:sz w:val="24"/>
          <w:szCs w:val="24"/>
          <w:highlight w:val="none"/>
        </w:rPr>
      </w:pPr>
      <w:r>
        <w:rPr>
          <w:rFonts w:hint="eastAsia" w:ascii="宋体" w:hAnsi="宋体" w:cs="宋体"/>
          <w:b/>
          <w:sz w:val="24"/>
          <w:szCs w:val="24"/>
          <w:highlight w:val="none"/>
        </w:rPr>
        <w:t>最大派遣员工数量明细</w:t>
      </w:r>
    </w:p>
    <w:tbl>
      <w:tblPr>
        <w:tblStyle w:val="2"/>
        <w:tblW w:w="9059" w:type="dxa"/>
        <w:tblInd w:w="103" w:type="dxa"/>
        <w:tblLayout w:type="fixed"/>
        <w:tblCellMar>
          <w:top w:w="0" w:type="dxa"/>
          <w:left w:w="108" w:type="dxa"/>
          <w:bottom w:w="0" w:type="dxa"/>
          <w:right w:w="108" w:type="dxa"/>
        </w:tblCellMar>
      </w:tblPr>
      <w:tblGrid>
        <w:gridCol w:w="5247"/>
        <w:gridCol w:w="3812"/>
      </w:tblGrid>
      <w:tr w14:paraId="61FEE4EC">
        <w:tblPrEx>
          <w:tblCellMar>
            <w:top w:w="0" w:type="dxa"/>
            <w:left w:w="108" w:type="dxa"/>
            <w:bottom w:w="0" w:type="dxa"/>
            <w:right w:w="108" w:type="dxa"/>
          </w:tblCellMar>
        </w:tblPrEx>
        <w:trPr>
          <w:trHeight w:val="508" w:hRule="atLeast"/>
        </w:trPr>
        <w:tc>
          <w:tcPr>
            <w:tcW w:w="5247" w:type="dxa"/>
            <w:tcBorders>
              <w:top w:val="single" w:color="auto" w:sz="4" w:space="0"/>
              <w:left w:val="single" w:color="auto" w:sz="4" w:space="0"/>
              <w:bottom w:val="single" w:color="auto" w:sz="4" w:space="0"/>
              <w:right w:val="single" w:color="auto" w:sz="4" w:space="0"/>
            </w:tcBorders>
            <w:shd w:val="clear" w:color="auto" w:fill="auto"/>
            <w:vAlign w:val="center"/>
          </w:tcPr>
          <w:p w14:paraId="42A2ECF6">
            <w:pPr>
              <w:widowControl/>
              <w:spacing w:line="360" w:lineRule="auto"/>
              <w:jc w:val="center"/>
              <w:rPr>
                <w:rFonts w:ascii="宋体" w:hAnsi="宋体" w:cs="宋体"/>
                <w:b/>
                <w:kern w:val="0"/>
                <w:sz w:val="24"/>
                <w:highlight w:val="none"/>
              </w:rPr>
            </w:pPr>
            <w:r>
              <w:rPr>
                <w:rFonts w:hint="eastAsia" w:ascii="宋体" w:hAnsi="宋体" w:cs="宋体"/>
                <w:b/>
                <w:kern w:val="0"/>
                <w:sz w:val="24"/>
                <w:highlight w:val="none"/>
              </w:rPr>
              <w:t>岗位类别</w:t>
            </w:r>
          </w:p>
        </w:tc>
        <w:tc>
          <w:tcPr>
            <w:tcW w:w="3812" w:type="dxa"/>
            <w:tcBorders>
              <w:top w:val="single" w:color="auto" w:sz="4" w:space="0"/>
              <w:left w:val="nil"/>
              <w:bottom w:val="single" w:color="auto" w:sz="4" w:space="0"/>
              <w:right w:val="single" w:color="auto" w:sz="4" w:space="0"/>
            </w:tcBorders>
            <w:shd w:val="clear" w:color="auto" w:fill="auto"/>
            <w:vAlign w:val="center"/>
          </w:tcPr>
          <w:p w14:paraId="692CD3C9">
            <w:pPr>
              <w:widowControl/>
              <w:spacing w:line="360" w:lineRule="auto"/>
              <w:jc w:val="center"/>
              <w:rPr>
                <w:rFonts w:ascii="宋体" w:hAnsi="宋体" w:cs="宋体"/>
                <w:b/>
                <w:kern w:val="0"/>
                <w:sz w:val="24"/>
                <w:highlight w:val="none"/>
              </w:rPr>
            </w:pPr>
            <w:r>
              <w:rPr>
                <w:rFonts w:hint="eastAsia" w:ascii="宋体" w:hAnsi="宋体" w:cs="宋体"/>
                <w:b/>
                <w:kern w:val="0"/>
                <w:sz w:val="24"/>
                <w:highlight w:val="none"/>
              </w:rPr>
              <w:t>人数</w:t>
            </w:r>
          </w:p>
        </w:tc>
      </w:tr>
      <w:tr w14:paraId="3360241E">
        <w:trPr>
          <w:trHeight w:val="452" w:hRule="atLeast"/>
        </w:trPr>
        <w:tc>
          <w:tcPr>
            <w:tcW w:w="5247" w:type="dxa"/>
            <w:tcBorders>
              <w:top w:val="single" w:color="auto" w:sz="4" w:space="0"/>
              <w:left w:val="single" w:color="auto" w:sz="4" w:space="0"/>
              <w:bottom w:val="single" w:color="auto" w:sz="4" w:space="0"/>
              <w:right w:val="single" w:color="auto" w:sz="4" w:space="0"/>
            </w:tcBorders>
            <w:shd w:val="clear" w:color="auto" w:fill="auto"/>
            <w:vAlign w:val="center"/>
          </w:tcPr>
          <w:p w14:paraId="7ED82D58">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综合人员</w:t>
            </w:r>
          </w:p>
        </w:tc>
        <w:tc>
          <w:tcPr>
            <w:tcW w:w="3812" w:type="dxa"/>
            <w:tcBorders>
              <w:top w:val="single" w:color="auto" w:sz="4" w:space="0"/>
              <w:left w:val="nil"/>
              <w:bottom w:val="single" w:color="auto" w:sz="4" w:space="0"/>
              <w:right w:val="single" w:color="auto" w:sz="4" w:space="0"/>
            </w:tcBorders>
            <w:shd w:val="clear" w:color="auto" w:fill="auto"/>
            <w:vAlign w:val="center"/>
          </w:tcPr>
          <w:p w14:paraId="1757F85B">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6</w:t>
            </w:r>
          </w:p>
        </w:tc>
      </w:tr>
      <w:tr w14:paraId="4EE89278">
        <w:tblPrEx>
          <w:tblCellMar>
            <w:top w:w="0" w:type="dxa"/>
            <w:left w:w="108" w:type="dxa"/>
            <w:bottom w:w="0" w:type="dxa"/>
            <w:right w:w="108" w:type="dxa"/>
          </w:tblCellMar>
        </w:tblPrEx>
        <w:trPr>
          <w:trHeight w:val="452" w:hRule="atLeast"/>
        </w:trPr>
        <w:tc>
          <w:tcPr>
            <w:tcW w:w="5247" w:type="dxa"/>
            <w:tcBorders>
              <w:top w:val="single" w:color="auto" w:sz="4" w:space="0"/>
              <w:left w:val="single" w:color="auto" w:sz="4" w:space="0"/>
              <w:bottom w:val="single" w:color="auto" w:sz="4" w:space="0"/>
              <w:right w:val="single" w:color="auto" w:sz="4" w:space="0"/>
            </w:tcBorders>
            <w:shd w:val="clear" w:color="auto" w:fill="auto"/>
            <w:vAlign w:val="center"/>
          </w:tcPr>
          <w:p w14:paraId="159F880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服务人员</w:t>
            </w:r>
          </w:p>
        </w:tc>
        <w:tc>
          <w:tcPr>
            <w:tcW w:w="3812" w:type="dxa"/>
            <w:tcBorders>
              <w:top w:val="single" w:color="auto" w:sz="4" w:space="0"/>
              <w:left w:val="nil"/>
              <w:bottom w:val="single" w:color="auto" w:sz="4" w:space="0"/>
              <w:right w:val="single" w:color="auto" w:sz="4" w:space="0"/>
            </w:tcBorders>
            <w:shd w:val="clear" w:color="auto" w:fill="auto"/>
            <w:vAlign w:val="center"/>
          </w:tcPr>
          <w:p w14:paraId="61DA066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47</w:t>
            </w:r>
          </w:p>
        </w:tc>
      </w:tr>
      <w:tr w14:paraId="6A9A544E">
        <w:tblPrEx>
          <w:tblCellMar>
            <w:top w:w="0" w:type="dxa"/>
            <w:left w:w="108" w:type="dxa"/>
            <w:bottom w:w="0" w:type="dxa"/>
            <w:right w:w="108" w:type="dxa"/>
          </w:tblCellMar>
        </w:tblPrEx>
        <w:trPr>
          <w:trHeight w:val="452" w:hRule="atLeast"/>
        </w:trPr>
        <w:tc>
          <w:tcPr>
            <w:tcW w:w="5247" w:type="dxa"/>
            <w:tcBorders>
              <w:top w:val="nil"/>
              <w:left w:val="single" w:color="auto" w:sz="4" w:space="0"/>
              <w:bottom w:val="single" w:color="auto" w:sz="4" w:space="0"/>
              <w:right w:val="single" w:color="auto" w:sz="4" w:space="0"/>
            </w:tcBorders>
            <w:shd w:val="clear" w:color="auto" w:fill="auto"/>
            <w:vAlign w:val="center"/>
          </w:tcPr>
          <w:p w14:paraId="129C68C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讲解人员</w:t>
            </w:r>
          </w:p>
        </w:tc>
        <w:tc>
          <w:tcPr>
            <w:tcW w:w="3812" w:type="dxa"/>
            <w:tcBorders>
              <w:top w:val="nil"/>
              <w:left w:val="nil"/>
              <w:bottom w:val="single" w:color="auto" w:sz="4" w:space="0"/>
              <w:right w:val="single" w:color="auto" w:sz="4" w:space="0"/>
            </w:tcBorders>
            <w:shd w:val="clear" w:color="auto" w:fill="auto"/>
            <w:vAlign w:val="center"/>
          </w:tcPr>
          <w:p w14:paraId="2A7FE26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r>
      <w:tr w14:paraId="7B28BEAD">
        <w:tblPrEx>
          <w:tblCellMar>
            <w:top w:w="0" w:type="dxa"/>
            <w:left w:w="108" w:type="dxa"/>
            <w:bottom w:w="0" w:type="dxa"/>
            <w:right w:w="108" w:type="dxa"/>
          </w:tblCellMar>
        </w:tblPrEx>
        <w:trPr>
          <w:trHeight w:val="461" w:hRule="atLeast"/>
        </w:trPr>
        <w:tc>
          <w:tcPr>
            <w:tcW w:w="5247" w:type="dxa"/>
            <w:tcBorders>
              <w:top w:val="single" w:color="auto" w:sz="4" w:space="0"/>
              <w:left w:val="single" w:color="auto" w:sz="4" w:space="0"/>
              <w:bottom w:val="single" w:color="auto" w:sz="4" w:space="0"/>
              <w:right w:val="single" w:color="auto" w:sz="4" w:space="0"/>
            </w:tcBorders>
            <w:shd w:val="clear" w:color="auto" w:fill="auto"/>
            <w:vAlign w:val="center"/>
          </w:tcPr>
          <w:p w14:paraId="6E11CC75">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总计</w:t>
            </w:r>
          </w:p>
        </w:tc>
        <w:tc>
          <w:tcPr>
            <w:tcW w:w="3812" w:type="dxa"/>
            <w:tcBorders>
              <w:top w:val="single" w:color="auto" w:sz="4" w:space="0"/>
              <w:left w:val="nil"/>
              <w:bottom w:val="single" w:color="auto" w:sz="4" w:space="0"/>
              <w:right w:val="single" w:color="auto" w:sz="4" w:space="0"/>
            </w:tcBorders>
            <w:shd w:val="clear" w:color="auto" w:fill="auto"/>
            <w:vAlign w:val="center"/>
          </w:tcPr>
          <w:p w14:paraId="1E2EC54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56</w:t>
            </w:r>
          </w:p>
        </w:tc>
      </w:tr>
    </w:tbl>
    <w:p w14:paraId="647FFB1E">
      <w:pPr>
        <w:ind w:left="420"/>
        <w:rPr>
          <w:rFonts w:ascii="宋体" w:hAnsi="宋体" w:cs="宋体"/>
          <w:sz w:val="24"/>
          <w:highlight w:val="none"/>
        </w:rPr>
      </w:pPr>
    </w:p>
    <w:p w14:paraId="013F72CB">
      <w:pPr>
        <w:rPr>
          <w:rFonts w:ascii="宋体" w:hAnsi="宋体" w:cs="宋体"/>
          <w:b/>
          <w:bCs/>
          <w:sz w:val="24"/>
          <w:highlight w:val="none"/>
        </w:rPr>
      </w:pPr>
      <w:r>
        <w:rPr>
          <w:rFonts w:hint="eastAsia" w:ascii="宋体" w:hAnsi="宋体" w:cs="宋体"/>
          <w:b/>
          <w:bCs/>
          <w:sz w:val="24"/>
          <w:highlight w:val="none"/>
        </w:rPr>
        <w:t>二、其他</w:t>
      </w:r>
    </w:p>
    <w:p w14:paraId="7F2C979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1.服务期：1年。</w:t>
      </w:r>
    </w:p>
    <w:p w14:paraId="1ADB98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bCs/>
          <w:sz w:val="24"/>
          <w:highlight w:val="none"/>
        </w:rPr>
      </w:pPr>
      <w:r>
        <w:rPr>
          <w:rFonts w:hint="eastAsia" w:ascii="宋体" w:hAnsi="宋体" w:cs="宋体"/>
          <w:sz w:val="24"/>
          <w:highlight w:val="none"/>
        </w:rPr>
        <w:t>2.管理费：不超过</w:t>
      </w:r>
      <w:r>
        <w:rPr>
          <w:rFonts w:hint="eastAsia" w:ascii="宋体" w:hAnsi="宋体" w:cs="宋体"/>
          <w:sz w:val="24"/>
          <w:highlight w:val="none"/>
          <w:lang w:val="en-US" w:eastAsia="zh-CN"/>
        </w:rPr>
        <w:t>8</w:t>
      </w:r>
      <w:r>
        <w:rPr>
          <w:rFonts w:hint="eastAsia" w:ascii="宋体" w:hAnsi="宋体" w:cs="宋体"/>
          <w:sz w:val="24"/>
          <w:highlight w:val="none"/>
        </w:rPr>
        <w:t>0元每人每月。</w:t>
      </w:r>
    </w:p>
    <w:p w14:paraId="042616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4503C"/>
    <w:multiLevelType w:val="multilevel"/>
    <w:tmpl w:val="3BF4503C"/>
    <w:lvl w:ilvl="0" w:tentative="0">
      <w:start w:val="1"/>
      <w:numFmt w:val="decimal"/>
      <w:lvlText w:val="%1."/>
      <w:lvlJc w:val="left"/>
      <w:pPr>
        <w:ind w:left="698" w:hanging="420"/>
      </w:pPr>
    </w:lvl>
    <w:lvl w:ilvl="1" w:tentative="0">
      <w:start w:val="1"/>
      <w:numFmt w:val="lowerLetter"/>
      <w:lvlText w:val="%2)"/>
      <w:lvlJc w:val="left"/>
      <w:pPr>
        <w:ind w:left="1118" w:hanging="420"/>
      </w:pPr>
    </w:lvl>
    <w:lvl w:ilvl="2" w:tentative="0">
      <w:start w:val="1"/>
      <w:numFmt w:val="lowerRoman"/>
      <w:lvlText w:val="%3."/>
      <w:lvlJc w:val="right"/>
      <w:pPr>
        <w:ind w:left="1538" w:hanging="420"/>
      </w:pPr>
    </w:lvl>
    <w:lvl w:ilvl="3" w:tentative="0">
      <w:start w:val="1"/>
      <w:numFmt w:val="decimal"/>
      <w:lvlText w:val="%4."/>
      <w:lvlJc w:val="left"/>
      <w:pPr>
        <w:ind w:left="1958" w:hanging="420"/>
      </w:pPr>
    </w:lvl>
    <w:lvl w:ilvl="4" w:tentative="0">
      <w:start w:val="1"/>
      <w:numFmt w:val="lowerLetter"/>
      <w:lvlText w:val="%5)"/>
      <w:lvlJc w:val="left"/>
      <w:pPr>
        <w:ind w:left="2378" w:hanging="420"/>
      </w:pPr>
    </w:lvl>
    <w:lvl w:ilvl="5" w:tentative="0">
      <w:start w:val="1"/>
      <w:numFmt w:val="lowerRoman"/>
      <w:lvlText w:val="%6."/>
      <w:lvlJc w:val="right"/>
      <w:pPr>
        <w:ind w:left="2798" w:hanging="420"/>
      </w:pPr>
    </w:lvl>
    <w:lvl w:ilvl="6" w:tentative="0">
      <w:start w:val="1"/>
      <w:numFmt w:val="decimal"/>
      <w:lvlText w:val="%7."/>
      <w:lvlJc w:val="left"/>
      <w:pPr>
        <w:ind w:left="3218" w:hanging="420"/>
      </w:pPr>
    </w:lvl>
    <w:lvl w:ilvl="7" w:tentative="0">
      <w:start w:val="1"/>
      <w:numFmt w:val="lowerLetter"/>
      <w:lvlText w:val="%8)"/>
      <w:lvlJc w:val="left"/>
      <w:pPr>
        <w:ind w:left="3638" w:hanging="420"/>
      </w:pPr>
    </w:lvl>
    <w:lvl w:ilvl="8" w:tentative="0">
      <w:start w:val="1"/>
      <w:numFmt w:val="lowerRoman"/>
      <w:lvlText w:val="%9."/>
      <w:lvlJc w:val="right"/>
      <w:pPr>
        <w:ind w:left="40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7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2025-11-25T06:33:10Z</dcterms:created>
  <dc:creator>YZ</dc:creator>
  <cp:lastModifiedBy>搁浅的流年</cp:lastModifiedBy>
  <dcterms:modified xsi:type="dcterms:W3CDTF">2025-11-25T06:33:59Z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eyJoZGlkIjoiYWQxYmMzNTBmZjA2ZTllNzk4YzgzYzY0NjZmM2JlZDUiLCJ1c2VySWQiOiI3ODM1NTczMjgifQ==</vt:lpwstr>
  </property>
  <property fmtid="{D5CDD505-2E9C-101B-9397-08002B2CF9AE}" pid="4" name="ICV">
    <vt:lpwstr>070D191373A94C69BEA909A2CC3CAEC0_12</vt:lpwstr>
  </property>
</Properties>
</file>