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BF6DB8" w14:textId="77777777" w:rsidR="00BB4A28" w:rsidRDefault="00BB4A28" w:rsidP="00BB4A28">
      <w:pPr>
        <w:spacing w:before="257" w:line="185" w:lineRule="auto"/>
        <w:ind w:left="524"/>
        <w:rPr>
          <w:rFonts w:ascii="微软雅黑" w:eastAsia="微软雅黑" w:hAnsi="微软雅黑" w:cs="微软雅黑" w:hint="eastAsia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  <w:t>一、项目概况</w:t>
      </w:r>
    </w:p>
    <w:p w14:paraId="54E0F379" w14:textId="77777777" w:rsidR="00BB4A28" w:rsidRDefault="00BB4A28" w:rsidP="00BB4A28">
      <w:pPr>
        <w:pStyle w:val="af5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本次补充医疗保险包北京市植物园管理处人员合计约</w:t>
      </w:r>
      <w:r>
        <w:rPr>
          <w:rFonts w:hint="eastAsia"/>
          <w:sz w:val="28"/>
          <w:szCs w:val="28"/>
        </w:rPr>
        <w:t xml:space="preserve"> 846</w:t>
      </w:r>
      <w:r>
        <w:rPr>
          <w:rFonts w:hint="eastAsia"/>
          <w:sz w:val="28"/>
          <w:szCs w:val="28"/>
        </w:rPr>
        <w:t>人，其中在职人员</w:t>
      </w:r>
      <w:r>
        <w:rPr>
          <w:rFonts w:hint="eastAsia"/>
          <w:sz w:val="28"/>
          <w:szCs w:val="28"/>
        </w:rPr>
        <w:t xml:space="preserve"> 468 </w:t>
      </w:r>
      <w:r>
        <w:rPr>
          <w:rFonts w:hint="eastAsia"/>
          <w:sz w:val="28"/>
          <w:szCs w:val="28"/>
        </w:rPr>
        <w:t>人，平均年龄</w:t>
      </w:r>
      <w:r>
        <w:rPr>
          <w:rFonts w:hint="eastAsia"/>
          <w:sz w:val="28"/>
          <w:szCs w:val="28"/>
        </w:rPr>
        <w:t>41</w:t>
      </w:r>
      <w:r>
        <w:rPr>
          <w:rFonts w:hint="eastAsia"/>
          <w:sz w:val="28"/>
          <w:szCs w:val="28"/>
        </w:rPr>
        <w:t>岁；退休人员</w:t>
      </w:r>
      <w:r>
        <w:rPr>
          <w:rFonts w:hint="eastAsia"/>
          <w:sz w:val="28"/>
          <w:szCs w:val="28"/>
        </w:rPr>
        <w:t xml:space="preserve"> 378 </w:t>
      </w:r>
      <w:r>
        <w:rPr>
          <w:rFonts w:hint="eastAsia"/>
          <w:sz w:val="28"/>
          <w:szCs w:val="28"/>
        </w:rPr>
        <w:t>人，平均年龄</w:t>
      </w:r>
      <w:r>
        <w:rPr>
          <w:rFonts w:hint="eastAsia"/>
          <w:sz w:val="28"/>
          <w:szCs w:val="28"/>
        </w:rPr>
        <w:t>68</w:t>
      </w:r>
      <w:r>
        <w:rPr>
          <w:rFonts w:hint="eastAsia"/>
          <w:sz w:val="28"/>
          <w:szCs w:val="28"/>
        </w:rPr>
        <w:t>岁。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被保险人数量以采购人最终投保人数为准）</w:t>
      </w:r>
    </w:p>
    <w:p w14:paraId="54E95BAC" w14:textId="77777777" w:rsidR="00BB4A28" w:rsidRDefault="00BB4A28" w:rsidP="00BB4A28">
      <w:pPr>
        <w:pStyle w:val="af5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保险期间：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-2026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点。</w:t>
      </w:r>
    </w:p>
    <w:p w14:paraId="176EB2D9" w14:textId="77777777" w:rsidR="00BB4A28" w:rsidRDefault="00BB4A28" w:rsidP="00BB4A28">
      <w:pPr>
        <w:widowControl/>
        <w:numPr>
          <w:ilvl w:val="0"/>
          <w:numId w:val="6"/>
        </w:numPr>
        <w:kinsoku w:val="0"/>
        <w:autoSpaceDE w:val="0"/>
        <w:autoSpaceDN w:val="0"/>
        <w:adjustRightInd w:val="0"/>
        <w:snapToGrid w:val="0"/>
        <w:spacing w:before="152" w:line="185" w:lineRule="auto"/>
        <w:ind w:left="524"/>
        <w:jc w:val="left"/>
        <w:textAlignment w:val="baseline"/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  <w:t>保障内容</w:t>
      </w:r>
    </w:p>
    <w:p w14:paraId="0CCFEEC0" w14:textId="77777777" w:rsidR="00BB4A28" w:rsidRDefault="00BB4A28" w:rsidP="00BB4A28">
      <w:pPr>
        <w:spacing w:before="152" w:line="185" w:lineRule="auto"/>
        <w:ind w:left="524"/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  <w:t>（一）</w:t>
      </w:r>
      <w:r>
        <w:rPr>
          <w:rFonts w:ascii="微软雅黑" w:eastAsia="微软雅黑" w:hAnsi="微软雅黑" w:cs="微软雅黑" w:hint="eastAsia"/>
          <w:sz w:val="28"/>
          <w:szCs w:val="28"/>
        </w:rPr>
        <w:t>★</w:t>
      </w:r>
      <w:r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  <w:t>保险责任简表</w:t>
      </w:r>
    </w:p>
    <w:tbl>
      <w:tblPr>
        <w:tblStyle w:val="af7"/>
        <w:tblW w:w="0" w:type="auto"/>
        <w:tblInd w:w="690" w:type="dxa"/>
        <w:tblLayout w:type="fixed"/>
        <w:tblLook w:val="04A0" w:firstRow="1" w:lastRow="0" w:firstColumn="1" w:lastColumn="0" w:noHBand="0" w:noVBand="1"/>
      </w:tblPr>
      <w:tblGrid>
        <w:gridCol w:w="1972"/>
        <w:gridCol w:w="1684"/>
        <w:gridCol w:w="1355"/>
        <w:gridCol w:w="1617"/>
        <w:gridCol w:w="1872"/>
      </w:tblGrid>
      <w:tr w:rsidR="00BB4A28" w14:paraId="6E6EC28C" w14:textId="77777777" w:rsidTr="00B7605F">
        <w:tc>
          <w:tcPr>
            <w:tcW w:w="1972" w:type="dxa"/>
            <w:vAlign w:val="center"/>
          </w:tcPr>
          <w:p w14:paraId="2006ECE8" w14:textId="77777777" w:rsidR="00BB4A28" w:rsidRDefault="00BB4A28" w:rsidP="00B7605F">
            <w:pPr>
              <w:spacing w:before="85" w:line="277" w:lineRule="auto"/>
              <w:ind w:right="76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保险责任</w:t>
            </w:r>
          </w:p>
        </w:tc>
        <w:tc>
          <w:tcPr>
            <w:tcW w:w="1684" w:type="dxa"/>
            <w:vAlign w:val="center"/>
          </w:tcPr>
          <w:p w14:paraId="44BB39C0" w14:textId="77777777" w:rsidR="00BB4A28" w:rsidRDefault="00BB4A28" w:rsidP="00B7605F">
            <w:pPr>
              <w:spacing w:before="85" w:line="277" w:lineRule="auto"/>
              <w:ind w:right="-12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保险金额</w:t>
            </w:r>
          </w:p>
          <w:p w14:paraId="5DA360CD" w14:textId="77777777" w:rsidR="00BB4A28" w:rsidRDefault="00BB4A28" w:rsidP="00B7605F">
            <w:pPr>
              <w:spacing w:before="85" w:line="277" w:lineRule="auto"/>
              <w:ind w:right="-12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（元）</w:t>
            </w:r>
          </w:p>
        </w:tc>
        <w:tc>
          <w:tcPr>
            <w:tcW w:w="1355" w:type="dxa"/>
            <w:vAlign w:val="center"/>
          </w:tcPr>
          <w:p w14:paraId="5FC58172" w14:textId="77777777" w:rsidR="00BB4A28" w:rsidRDefault="00BB4A28" w:rsidP="00B7605F">
            <w:pPr>
              <w:spacing w:before="85" w:line="277" w:lineRule="auto"/>
              <w:ind w:right="-121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免赔额</w:t>
            </w:r>
          </w:p>
          <w:p w14:paraId="3703DE9D" w14:textId="77777777" w:rsidR="00BB4A28" w:rsidRDefault="00BB4A28" w:rsidP="00B7605F">
            <w:pPr>
              <w:spacing w:before="85" w:line="277" w:lineRule="auto"/>
              <w:ind w:right="-121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（元）</w:t>
            </w:r>
          </w:p>
        </w:tc>
        <w:tc>
          <w:tcPr>
            <w:tcW w:w="1617" w:type="dxa"/>
            <w:vAlign w:val="center"/>
          </w:tcPr>
          <w:p w14:paraId="2A7FEB9A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赔付比例</w:t>
            </w:r>
          </w:p>
        </w:tc>
        <w:tc>
          <w:tcPr>
            <w:tcW w:w="1872" w:type="dxa"/>
            <w:vAlign w:val="center"/>
          </w:tcPr>
          <w:p w14:paraId="087E4020" w14:textId="77777777" w:rsidR="00BB4A28" w:rsidRDefault="00BB4A28" w:rsidP="00B7605F">
            <w:pPr>
              <w:spacing w:before="85" w:line="277" w:lineRule="auto"/>
              <w:ind w:right="53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备注</w:t>
            </w:r>
          </w:p>
        </w:tc>
      </w:tr>
      <w:tr w:rsidR="00BB4A28" w14:paraId="0E2558E5" w14:textId="77777777" w:rsidTr="00B7605F">
        <w:tc>
          <w:tcPr>
            <w:tcW w:w="1972" w:type="dxa"/>
            <w:vAlign w:val="center"/>
          </w:tcPr>
          <w:p w14:paraId="2A2A542B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补充门（急）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诊医疗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保障</w:t>
            </w:r>
          </w:p>
        </w:tc>
        <w:tc>
          <w:tcPr>
            <w:tcW w:w="1684" w:type="dxa"/>
            <w:vAlign w:val="center"/>
          </w:tcPr>
          <w:p w14:paraId="34EBD142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不封顶</w:t>
            </w:r>
          </w:p>
        </w:tc>
        <w:tc>
          <w:tcPr>
            <w:tcW w:w="1355" w:type="dxa"/>
            <w:vAlign w:val="center"/>
          </w:tcPr>
          <w:p w14:paraId="55C7B06F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500元</w:t>
            </w:r>
          </w:p>
        </w:tc>
        <w:tc>
          <w:tcPr>
            <w:tcW w:w="1617" w:type="dxa"/>
            <w:vAlign w:val="center"/>
          </w:tcPr>
          <w:p w14:paraId="68C87BE5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90%</w:t>
            </w:r>
          </w:p>
        </w:tc>
        <w:tc>
          <w:tcPr>
            <w:tcW w:w="1872" w:type="dxa"/>
            <w:vAlign w:val="center"/>
          </w:tcPr>
          <w:p w14:paraId="6E45FDC5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同社保接轨</w:t>
            </w:r>
          </w:p>
        </w:tc>
      </w:tr>
      <w:tr w:rsidR="00BB4A28" w14:paraId="648EFF49" w14:textId="77777777" w:rsidTr="00B7605F">
        <w:tc>
          <w:tcPr>
            <w:tcW w:w="1972" w:type="dxa"/>
            <w:vAlign w:val="center"/>
          </w:tcPr>
          <w:p w14:paraId="49CFF313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补充住院医疗保障</w:t>
            </w:r>
          </w:p>
        </w:tc>
        <w:tc>
          <w:tcPr>
            <w:tcW w:w="1684" w:type="dxa"/>
            <w:vAlign w:val="center"/>
          </w:tcPr>
          <w:p w14:paraId="49AD0E59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同社保</w:t>
            </w:r>
          </w:p>
        </w:tc>
        <w:tc>
          <w:tcPr>
            <w:tcW w:w="1355" w:type="dxa"/>
            <w:vAlign w:val="center"/>
          </w:tcPr>
          <w:p w14:paraId="0F0C3C22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0元</w:t>
            </w:r>
          </w:p>
        </w:tc>
        <w:tc>
          <w:tcPr>
            <w:tcW w:w="1617" w:type="dxa"/>
            <w:vAlign w:val="center"/>
          </w:tcPr>
          <w:p w14:paraId="636BA8FC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90%</w:t>
            </w:r>
          </w:p>
        </w:tc>
        <w:tc>
          <w:tcPr>
            <w:tcW w:w="1872" w:type="dxa"/>
            <w:vAlign w:val="center"/>
          </w:tcPr>
          <w:p w14:paraId="343EB413" w14:textId="77777777" w:rsidR="00BB4A28" w:rsidRDefault="00BB4A28" w:rsidP="00B7605F">
            <w:pPr>
              <w:spacing w:before="85" w:line="277" w:lineRule="auto"/>
              <w:ind w:right="-79"/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同社保接轨</w:t>
            </w:r>
          </w:p>
        </w:tc>
      </w:tr>
    </w:tbl>
    <w:p w14:paraId="5CE4912C" w14:textId="77777777" w:rsidR="00BB4A28" w:rsidRDefault="00BB4A28" w:rsidP="00BB4A28">
      <w:pPr>
        <w:spacing w:before="152" w:line="185" w:lineRule="auto"/>
        <w:ind w:left="524"/>
        <w:rPr>
          <w:rFonts w:ascii="微软雅黑" w:eastAsia="微软雅黑" w:hAnsi="微软雅黑" w:cs="微软雅黑" w:hint="eastAsia"/>
          <w:spacing w:val="-2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★</w:t>
      </w:r>
      <w:r>
        <w:rPr>
          <w:rFonts w:ascii="微软雅黑" w:eastAsia="微软雅黑" w:hAnsi="微软雅黑" w:cs="微软雅黑" w:hint="eastAsia"/>
          <w:spacing w:val="-2"/>
          <w:sz w:val="28"/>
          <w:szCs w:val="28"/>
        </w:rPr>
        <w:t>本次采购内容仅包含“补充门（急）诊医疗保障”和“补充住院医疗保障”两项。禁止供应商（保险人）在方案中捆绑、搭售或强制要求投保任何其他险种。</w:t>
      </w:r>
    </w:p>
    <w:p w14:paraId="47A23647" w14:textId="77777777" w:rsidR="00BB4A28" w:rsidRDefault="00BB4A28" w:rsidP="00BB4A28">
      <w:pPr>
        <w:spacing w:before="152" w:line="185" w:lineRule="auto"/>
        <w:ind w:left="524"/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pacing w:val="-2"/>
          <w:sz w:val="28"/>
          <w:szCs w:val="28"/>
        </w:rPr>
        <w:t>（二）具体内容</w:t>
      </w:r>
    </w:p>
    <w:p w14:paraId="35090DD9" w14:textId="77777777" w:rsidR="00BB4A28" w:rsidRDefault="00BB4A28" w:rsidP="00BB4A28">
      <w:pPr>
        <w:spacing w:line="112" w:lineRule="exact"/>
        <w:rPr>
          <w:rFonts w:ascii="微软雅黑" w:eastAsia="微软雅黑" w:hAnsi="微软雅黑" w:cs="微软雅黑" w:hint="eastAsia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582" w:tblpY="114"/>
        <w:tblOverlap w:val="never"/>
        <w:tblW w:w="927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638"/>
        <w:gridCol w:w="1537"/>
        <w:gridCol w:w="6333"/>
      </w:tblGrid>
      <w:tr w:rsidR="00BB4A28" w14:paraId="7C9DB074" w14:textId="77777777" w:rsidTr="00B7605F">
        <w:trPr>
          <w:trHeight w:val="643"/>
        </w:trPr>
        <w:tc>
          <w:tcPr>
            <w:tcW w:w="2942" w:type="dxa"/>
            <w:gridSpan w:val="3"/>
            <w:tcBorders>
              <w:tl2br w:val="nil"/>
              <w:tr2bl w:val="nil"/>
            </w:tcBorders>
            <w:vAlign w:val="center"/>
          </w:tcPr>
          <w:p w14:paraId="3764FF52" w14:textId="77777777" w:rsidR="00BB4A28" w:rsidRDefault="00BB4A28" w:rsidP="00B7605F">
            <w:pPr>
              <w:pStyle w:val="TableText"/>
              <w:spacing w:before="223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投保险种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38A3BD30" w14:textId="77777777" w:rsidR="00BB4A28" w:rsidRDefault="00BB4A28" w:rsidP="00B7605F">
            <w:pPr>
              <w:pStyle w:val="TableText"/>
              <w:spacing w:before="222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团体补充医疗保险</w:t>
            </w:r>
          </w:p>
        </w:tc>
      </w:tr>
      <w:tr w:rsidR="00BB4A28" w14:paraId="31EEFAB6" w14:textId="77777777" w:rsidTr="00B7605F">
        <w:trPr>
          <w:trHeight w:val="714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887400F" w14:textId="77777777" w:rsidR="00BB4A28" w:rsidRDefault="00BB4A28" w:rsidP="00B7605F">
            <w:pPr>
              <w:pStyle w:val="TableText"/>
              <w:spacing w:before="238" w:line="173" w:lineRule="auto"/>
              <w:ind w:left="71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07B16B46" w14:textId="77777777" w:rsidR="00BB4A28" w:rsidRDefault="00BB4A28" w:rsidP="00B7605F">
            <w:pPr>
              <w:pStyle w:val="TableText"/>
              <w:spacing w:before="187" w:line="17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3C6D1E84" w14:textId="77777777" w:rsidR="00BB4A28" w:rsidRDefault="00BB4A28" w:rsidP="00B7605F">
            <w:pPr>
              <w:pStyle w:val="TableText"/>
              <w:spacing w:before="251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41388FBC" w14:textId="77777777" w:rsidR="00BB4A28" w:rsidRDefault="00BB4A28" w:rsidP="00B7605F">
            <w:pPr>
              <w:pStyle w:val="TableText"/>
              <w:spacing w:before="251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要求</w:t>
            </w:r>
          </w:p>
        </w:tc>
      </w:tr>
      <w:tr w:rsidR="00BB4A28" w14:paraId="3FBBCB71" w14:textId="77777777" w:rsidTr="00B7605F">
        <w:trPr>
          <w:trHeight w:val="717"/>
        </w:trPr>
        <w:tc>
          <w:tcPr>
            <w:tcW w:w="767" w:type="dxa"/>
            <w:vMerge w:val="restart"/>
            <w:tcBorders>
              <w:tl2br w:val="nil"/>
              <w:tr2bl w:val="nil"/>
            </w:tcBorders>
            <w:vAlign w:val="center"/>
          </w:tcPr>
          <w:p w14:paraId="3814E2AC" w14:textId="77777777" w:rsidR="00BB4A28" w:rsidRDefault="00BB4A28" w:rsidP="00B7605F">
            <w:pPr>
              <w:pStyle w:val="TableText"/>
              <w:spacing w:before="233" w:line="177" w:lineRule="auto"/>
              <w:ind w:left="79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lastRenderedPageBreak/>
              <w:t>保险责任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1448B010" w14:textId="77777777" w:rsidR="00BB4A28" w:rsidRDefault="00BB4A28" w:rsidP="00B7605F">
            <w:pPr>
              <w:pStyle w:val="TableText"/>
              <w:spacing w:before="254" w:line="204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4397058B" w14:textId="77777777" w:rsidR="00BB4A28" w:rsidRDefault="00BB4A28" w:rsidP="00B7605F">
            <w:pPr>
              <w:pStyle w:val="TableText"/>
              <w:spacing w:before="254" w:line="184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门急诊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13BC7406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保险人按照 自付一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500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元免赔、90%的标准向被保险人给付（与社保接轨）</w:t>
            </w:r>
          </w:p>
        </w:tc>
      </w:tr>
      <w:tr w:rsidR="00BB4A28" w14:paraId="57220052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22788FE9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063599AA" w14:textId="77777777" w:rsidR="00BB4A28" w:rsidRDefault="00BB4A28" w:rsidP="00B7605F">
            <w:pPr>
              <w:pStyle w:val="TableText"/>
              <w:spacing w:before="251" w:line="204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5154D531" w14:textId="77777777" w:rsidR="00BB4A28" w:rsidRDefault="00BB4A28" w:rsidP="00B7605F">
            <w:pPr>
              <w:pStyle w:val="TableText"/>
              <w:spacing w:before="252" w:line="184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住院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3E8388C0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保险人按照 0 免赔、90%的标准向被保险人给付（与社保接轨）</w:t>
            </w:r>
          </w:p>
        </w:tc>
      </w:tr>
      <w:tr w:rsidR="00BB4A28" w14:paraId="165285E0" w14:textId="77777777" w:rsidTr="00B7605F">
        <w:trPr>
          <w:trHeight w:val="1857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E732A12" w14:textId="77777777" w:rsidR="00BB4A28" w:rsidRDefault="00BB4A28" w:rsidP="00B7605F">
            <w:pPr>
              <w:pStyle w:val="TableText"/>
              <w:spacing w:before="233" w:line="176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特别 约定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3321DE0A" w14:textId="77777777" w:rsidR="00BB4A28" w:rsidRDefault="00BB4A28" w:rsidP="00B7605F">
            <w:pPr>
              <w:pStyle w:val="TableText"/>
              <w:spacing w:before="103" w:line="202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354FF5E2" w14:textId="77777777" w:rsidR="00BB4A28" w:rsidRDefault="00BB4A28" w:rsidP="00B7605F">
            <w:pPr>
              <w:pStyle w:val="TableText"/>
              <w:spacing w:before="103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政策依据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5798A72E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本项目中门诊、住院保险以现行的《北京市基本医疗保险规定》、《北京市基本医疗就医管理暂行办法》、《北京市基本医疗结算办法》、《北京市基本医疗保险用药报销目录》、《北京市基本医疗报销诊疗项目报销目录》及《北京市基本医疗保险医疗设施目录》等为依据，若政府有新颁布政策文件或有调整则以新文件或新规定为准。</w:t>
            </w:r>
          </w:p>
        </w:tc>
      </w:tr>
      <w:tr w:rsidR="00BB4A28" w14:paraId="6D466D10" w14:textId="77777777" w:rsidTr="00B7605F">
        <w:trPr>
          <w:trHeight w:val="714"/>
        </w:trPr>
        <w:tc>
          <w:tcPr>
            <w:tcW w:w="767" w:type="dxa"/>
            <w:vMerge w:val="restart"/>
            <w:tcBorders>
              <w:tl2br w:val="nil"/>
              <w:tr2bl w:val="nil"/>
            </w:tcBorders>
            <w:vAlign w:val="center"/>
          </w:tcPr>
          <w:p w14:paraId="76E6A702" w14:textId="77777777" w:rsidR="00BB4A28" w:rsidRDefault="00BB4A28" w:rsidP="00B7605F">
            <w:pPr>
              <w:pStyle w:val="TableText"/>
              <w:spacing w:before="233" w:line="177" w:lineRule="auto"/>
              <w:ind w:left="79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服务要求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09A1E041" w14:textId="77777777" w:rsidR="00BB4A28" w:rsidRDefault="00BB4A28" w:rsidP="00B7605F">
            <w:pPr>
              <w:pStyle w:val="TableText"/>
              <w:spacing w:before="253" w:line="204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★4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2224E014" w14:textId="77777777" w:rsidR="00BB4A28" w:rsidRDefault="00BB4A28" w:rsidP="00B7605F">
            <w:pPr>
              <w:pStyle w:val="TableText"/>
              <w:spacing w:before="73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被保险人变动通知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7BB51729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合同生效之日起，被保险人名单变动幅度在3%（含） 以内的，无需退补保费。</w:t>
            </w:r>
          </w:p>
        </w:tc>
      </w:tr>
      <w:tr w:rsidR="00BB4A28" w14:paraId="6C27AD8F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41D2F1AE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tcBorders>
              <w:tl2br w:val="nil"/>
              <w:tr2bl w:val="nil"/>
            </w:tcBorders>
            <w:vAlign w:val="center"/>
          </w:tcPr>
          <w:p w14:paraId="548E6538" w14:textId="77777777" w:rsidR="00BB4A28" w:rsidRDefault="00BB4A28" w:rsidP="00B7605F">
            <w:pPr>
              <w:pStyle w:val="TableText"/>
              <w:spacing w:before="103" w:line="202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vAlign w:val="center"/>
          </w:tcPr>
          <w:p w14:paraId="75CDFA58" w14:textId="77777777" w:rsidR="00BB4A28" w:rsidRDefault="00BB4A28" w:rsidP="00B7605F">
            <w:pPr>
              <w:pStyle w:val="TableText"/>
              <w:spacing w:before="103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承保服务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7A09FC79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5.1 出单时效：投保人提交投保单后的 3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工作日内，保险人出具保单正本。</w:t>
            </w:r>
          </w:p>
        </w:tc>
      </w:tr>
      <w:tr w:rsidR="00BB4A28" w14:paraId="31975D48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493A2DAD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57F720E2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3EB5728A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51F7FC50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5.2 保单送达时效：正式保单出具后的 1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工作日内将保单正本、保费发票等凭证派专人送达投保人。</w:t>
            </w:r>
          </w:p>
        </w:tc>
      </w:tr>
      <w:tr w:rsidR="00BB4A28" w14:paraId="1D308EE1" w14:textId="77777777" w:rsidTr="00B7605F">
        <w:trPr>
          <w:trHeight w:val="381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16E2734B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086DB973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747022E7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0CF7E59E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5.3 保单批改时效：1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工作日内完成保单批改手续。</w:t>
            </w:r>
          </w:p>
        </w:tc>
      </w:tr>
      <w:tr w:rsidR="00BB4A28" w14:paraId="32FF7704" w14:textId="77777777" w:rsidTr="00B7605F">
        <w:trPr>
          <w:trHeight w:val="107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6AE61538" w14:textId="77777777" w:rsidR="00BB4A28" w:rsidRDefault="00BB4A28" w:rsidP="00B7605F">
            <w:pPr>
              <w:jc w:val="center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 w:val="restart"/>
            <w:tcBorders>
              <w:tl2br w:val="nil"/>
              <w:tr2bl w:val="nil"/>
            </w:tcBorders>
            <w:vAlign w:val="center"/>
          </w:tcPr>
          <w:p w14:paraId="17C8EA20" w14:textId="77777777" w:rsidR="00BB4A28" w:rsidRDefault="00BB4A28" w:rsidP="00B7605F">
            <w:pPr>
              <w:pStyle w:val="TableText"/>
              <w:spacing w:before="103" w:line="202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537" w:type="dxa"/>
            <w:vMerge w:val="restart"/>
            <w:tcBorders>
              <w:tl2br w:val="nil"/>
              <w:tr2bl w:val="nil"/>
            </w:tcBorders>
            <w:vAlign w:val="center"/>
          </w:tcPr>
          <w:p w14:paraId="11CA8CF1" w14:textId="77777777" w:rsidR="00BB4A28" w:rsidRDefault="00BB4A28" w:rsidP="00B7605F">
            <w:pPr>
              <w:pStyle w:val="TableText"/>
              <w:spacing w:before="103" w:line="185" w:lineRule="auto"/>
              <w:jc w:val="center"/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8"/>
                <w:szCs w:val="28"/>
                <w:lang w:eastAsia="zh-CN"/>
              </w:rPr>
              <w:t>理赔服务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228DBFB0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6.1 社保数据理赔：经投保人授权，保险人按投保人指定频次到社保中心提取门急诊、住院和门诊特殊病社保数据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做为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报销凭证，并及时进行理赔。</w:t>
            </w:r>
          </w:p>
        </w:tc>
      </w:tr>
      <w:tr w:rsidR="00BB4A28" w14:paraId="58108463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0D859126" w14:textId="77777777" w:rsidR="00BB4A28" w:rsidRDefault="00BB4A28" w:rsidP="00B7605F">
            <w:pPr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581E1739" w14:textId="77777777" w:rsidR="00BB4A28" w:rsidRDefault="00BB4A28" w:rsidP="00B7605F">
            <w:pPr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156DDD4C" w14:textId="77777777" w:rsidR="00BB4A28" w:rsidRDefault="00BB4A28" w:rsidP="00B7605F">
            <w:pPr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32CF5C31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6.2 赔款支付时效：被保险人提供完整必要的索赔材料后，保险人在10个工作日内支付赔款。</w:t>
            </w:r>
          </w:p>
        </w:tc>
      </w:tr>
      <w:tr w:rsidR="00BB4A28" w14:paraId="135C425E" w14:textId="77777777" w:rsidTr="00B7605F">
        <w:trPr>
          <w:trHeight w:val="1188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0CB3B9D6" w14:textId="77777777" w:rsidR="00BB4A28" w:rsidRDefault="00BB4A28" w:rsidP="00B7605F">
            <w:pPr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65ED017C" w14:textId="77777777" w:rsidR="00BB4A28" w:rsidRDefault="00BB4A28" w:rsidP="00B7605F">
            <w:pPr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505EDB78" w14:textId="77777777" w:rsidR="00BB4A28" w:rsidRDefault="00BB4A28" w:rsidP="00B7605F">
            <w:pPr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62167A3C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6.3 保险人需承担被保险人2025-2026跨年度住院费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用相关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赔付责任</w:t>
            </w:r>
          </w:p>
        </w:tc>
      </w:tr>
      <w:tr w:rsidR="00BB4A28" w14:paraId="7BE433D8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556AB935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7A5014C5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6D39C6B2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5C8881B0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6.4 疾病等待期 0 天，疾病认证标准与社保同步。</w:t>
            </w:r>
          </w:p>
        </w:tc>
      </w:tr>
      <w:tr w:rsidR="00BB4A28" w14:paraId="63269E4D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7CA5EFC8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04ECD7DA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0D2173FB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576B16FC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6.5 理赔材料：药费单据收取在符合有关要求的前提下以方便被保险人为原则，理赔材料仅限于：</w:t>
            </w:r>
          </w:p>
          <w:p w14:paraId="425DA13B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门诊药费：投保人协助保险人通过社保中心提取数据/上门服务作为报销凭证，按月或季度进行理赔。</w:t>
            </w:r>
          </w:p>
          <w:p w14:paraId="1CFF2C8D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住院药费：投保人协助保险人通过社保中心提取数据/上门服务作为报销凭证，按月或季度进行理赔。</w:t>
            </w:r>
          </w:p>
          <w:p w14:paraId="045CE814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特殊病药费：投保人协助保险人通过社保中心提取数据/上门服务作为报销凭证，按月或季度进行理赔。</w:t>
            </w:r>
          </w:p>
          <w:p w14:paraId="7B400C59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在特殊情况下，对住院和门诊特殊病进行线上和线下理赔。</w:t>
            </w:r>
          </w:p>
        </w:tc>
      </w:tr>
      <w:tr w:rsidR="00BB4A28" w14:paraId="60302077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5B93E66F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53FC10D5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081E936C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180A5A1F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6.6 赔款支付通知：保险人应于赔款支付后 3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工作日内以手机短信等形式或其他通讯方式通知相应被保险人。</w:t>
            </w:r>
          </w:p>
        </w:tc>
      </w:tr>
      <w:tr w:rsidR="00BB4A28" w14:paraId="7F0C3C95" w14:textId="77777777" w:rsidTr="00B7605F">
        <w:trPr>
          <w:trHeight w:val="714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315A60D4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7341788F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31BAF418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6C331728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6.7保险责任：门急诊保险人按照500元免赔，90%的标准向被保险人给付（与社保接轨）；住院保险人按照0免赔，90%的标准向被保险人给付（与社保接轨）。</w:t>
            </w:r>
          </w:p>
        </w:tc>
      </w:tr>
      <w:tr w:rsidR="00BB4A28" w14:paraId="54A36C63" w14:textId="77777777" w:rsidTr="00B7605F">
        <w:trPr>
          <w:trHeight w:val="739"/>
        </w:trPr>
        <w:tc>
          <w:tcPr>
            <w:tcW w:w="767" w:type="dxa"/>
            <w:vMerge/>
            <w:tcBorders>
              <w:tl2br w:val="nil"/>
              <w:tr2bl w:val="nil"/>
            </w:tcBorders>
            <w:vAlign w:val="center"/>
          </w:tcPr>
          <w:p w14:paraId="137D256E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8" w:type="dxa"/>
            <w:vMerge/>
            <w:tcBorders>
              <w:tl2br w:val="nil"/>
              <w:tr2bl w:val="nil"/>
            </w:tcBorders>
            <w:vAlign w:val="center"/>
          </w:tcPr>
          <w:p w14:paraId="4311A5D5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l2br w:val="nil"/>
              <w:tr2bl w:val="nil"/>
            </w:tcBorders>
            <w:vAlign w:val="center"/>
          </w:tcPr>
          <w:p w14:paraId="1713B10D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697BFCF0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★6.8保险人应认可所投保职工的所有既往病史，并承担全部既往</w:t>
            </w:r>
            <w:proofErr w:type="gramStart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症赔偿</w:t>
            </w:r>
            <w:proofErr w:type="gramEnd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责任。</w:t>
            </w:r>
          </w:p>
        </w:tc>
      </w:tr>
      <w:tr w:rsidR="00BB4A28" w14:paraId="239DAD98" w14:textId="77777777" w:rsidTr="00B7605F">
        <w:trPr>
          <w:trHeight w:val="739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1C81ECB5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服务要求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3F628DF5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7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42ECBE4E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专职服务团队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0F4D890F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保险人应设立本项目7*24小时专职服务团队，并提供专职人员姓名、职务、联系方式，7*24小时专职提供查询索赔明细，便于被保险人了解索赔进度。</w:t>
            </w:r>
          </w:p>
          <w:p w14:paraId="2C8FCC4F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服务内容包括但不限于派专人提供上门投保服务，协助填写《投保单》，完成出单事宜，并按要求及时将保单正本和保费发票派专人送达投保人；及时提供专人上门的相关理赔服务，包括但不限于协助被保险人准备相关索赔资料。</w:t>
            </w:r>
          </w:p>
        </w:tc>
      </w:tr>
      <w:tr w:rsidR="00BB4A28" w14:paraId="7B79B866" w14:textId="77777777" w:rsidTr="00B7605F">
        <w:trPr>
          <w:trHeight w:val="739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3197137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收</w:t>
            </w:r>
          </w:p>
        </w:tc>
        <w:tc>
          <w:tcPr>
            <w:tcW w:w="638" w:type="dxa"/>
            <w:tcBorders>
              <w:tl2br w:val="nil"/>
              <w:tr2bl w:val="nil"/>
            </w:tcBorders>
            <w:vAlign w:val="center"/>
          </w:tcPr>
          <w:p w14:paraId="32193262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0BAEA68E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验收标准</w:t>
            </w:r>
          </w:p>
        </w:tc>
        <w:tc>
          <w:tcPr>
            <w:tcW w:w="6333" w:type="dxa"/>
            <w:tcBorders>
              <w:tl2br w:val="nil"/>
              <w:tr2bl w:val="nil"/>
            </w:tcBorders>
            <w:vAlign w:val="center"/>
          </w:tcPr>
          <w:p w14:paraId="46385DF7" w14:textId="77777777" w:rsidR="00BB4A28" w:rsidRDefault="00BB4A28" w:rsidP="00B7605F">
            <w:pPr>
              <w:spacing w:before="85" w:line="277" w:lineRule="auto"/>
              <w:ind w:left="118" w:right="248"/>
              <w:rPr>
                <w:rFonts w:ascii="微软雅黑" w:eastAsia="微软雅黑" w:hAnsi="微软雅黑" w:cs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采购人（投保人）有权根据项目需要，在合理期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间内对供应商（保险人）的合同履约情况进行监督和查验，以核实其是否严格按照采购文件、响应文件的承诺及本合同约定履行义务。供应商（保险人）应予以必要、及时的配合，包括但不限于提供相关数据、文件资料及进行必要说明等。</w:t>
            </w:r>
          </w:p>
        </w:tc>
      </w:tr>
    </w:tbl>
    <w:p w14:paraId="086B1552" w14:textId="3B5DA63E" w:rsidR="009E777F" w:rsidRPr="00BB4A28" w:rsidRDefault="009E777F" w:rsidP="00BB4A28">
      <w:pPr>
        <w:spacing w:before="257" w:line="185" w:lineRule="auto"/>
        <w:rPr>
          <w:rFonts w:ascii="微软雅黑" w:eastAsia="微软雅黑" w:hAnsi="微软雅黑" w:cs="微软雅黑" w:hint="eastAsia"/>
          <w:sz w:val="28"/>
          <w:szCs w:val="28"/>
        </w:rPr>
      </w:pPr>
    </w:p>
    <w:p w14:paraId="2426DD17" w14:textId="77777777" w:rsidR="002C4A70" w:rsidRPr="009E777F" w:rsidRDefault="002C4A70" w:rsidP="009E777F"/>
    <w:sectPr w:rsidR="002C4A70" w:rsidRPr="009E777F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59B5" w14:textId="77777777" w:rsidR="00FD27FC" w:rsidRDefault="00FD27FC">
      <w:r>
        <w:separator/>
      </w:r>
    </w:p>
  </w:endnote>
  <w:endnote w:type="continuationSeparator" w:id="0">
    <w:p w14:paraId="2C9EC150" w14:textId="77777777" w:rsidR="00FD27FC" w:rsidRDefault="00FD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F574" w14:textId="77777777" w:rsidR="002C4A70" w:rsidRDefault="00000000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7</w:t>
    </w:r>
    <w:r>
      <w:fldChar w:fldCharType="end"/>
    </w:r>
  </w:p>
  <w:p w14:paraId="6E4A59E6" w14:textId="77777777" w:rsidR="002C4A70" w:rsidRDefault="002C4A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7733" w14:textId="77777777" w:rsidR="002C4A70" w:rsidRDefault="00000000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5</w:t>
    </w:r>
    <w:r>
      <w:fldChar w:fldCharType="end"/>
    </w:r>
  </w:p>
  <w:p w14:paraId="5C80D0D1" w14:textId="77777777" w:rsidR="002C4A70" w:rsidRDefault="002C4A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9E5F" w14:textId="77777777" w:rsidR="00FD27FC" w:rsidRDefault="00FD27FC">
      <w:r>
        <w:separator/>
      </w:r>
    </w:p>
  </w:footnote>
  <w:footnote w:type="continuationSeparator" w:id="0">
    <w:p w14:paraId="1F6CD8C3" w14:textId="77777777" w:rsidR="00FD27FC" w:rsidRDefault="00FD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E162" w14:textId="77777777" w:rsidR="002C4A70" w:rsidRDefault="002C4A70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09D4D"/>
    <w:multiLevelType w:val="singleLevel"/>
    <w:tmpl w:val="88C09D4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4B64E7D"/>
    <w:multiLevelType w:val="multilevel"/>
    <w:tmpl w:val="14B64E7D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left" w:pos="2140"/>
        </w:tabs>
        <w:ind w:left="2140" w:hanging="1080"/>
      </w:pPr>
      <w:rPr>
        <w:rFonts w:cs="Times New Roman" w:hint="eastAsia"/>
      </w:rPr>
    </w:lvl>
    <w:lvl w:ilvl="2">
      <w:start w:val="4"/>
      <w:numFmt w:val="bullet"/>
      <w:lvlText w:val="□"/>
      <w:lvlJc w:val="left"/>
      <w:pPr>
        <w:tabs>
          <w:tab w:val="left" w:pos="1840"/>
        </w:tabs>
        <w:ind w:left="1840" w:hanging="360"/>
      </w:pPr>
      <w:rPr>
        <w:rFonts w:ascii="仿宋_GB2312" w:eastAsia="仿宋_GB2312" w:hAnsi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2" w15:restartNumberingAfterBreak="0">
    <w:nsid w:val="2A1E796D"/>
    <w:multiLevelType w:val="multilevel"/>
    <w:tmpl w:val="2A1E796D"/>
    <w:lvl w:ilvl="0">
      <w:start w:val="1"/>
      <w:numFmt w:val="decimal"/>
      <w:lvlText w:val="（%1）"/>
      <w:lvlJc w:val="left"/>
      <w:pPr>
        <w:tabs>
          <w:tab w:val="left" w:pos="1720"/>
        </w:tabs>
        <w:ind w:left="1720" w:hanging="10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3" w15:restartNumberingAfterBreak="0">
    <w:nsid w:val="4DED3B14"/>
    <w:multiLevelType w:val="multilevel"/>
    <w:tmpl w:val="4DED3B14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BD3EFD"/>
    <w:multiLevelType w:val="multilevel"/>
    <w:tmpl w:val="4FBD3EFD"/>
    <w:lvl w:ilvl="0">
      <w:start w:val="2"/>
      <w:numFmt w:val="japaneseCounting"/>
      <w:lvlText w:val="（%1）"/>
      <w:lvlJc w:val="left"/>
      <w:pPr>
        <w:tabs>
          <w:tab w:val="left" w:pos="1720"/>
        </w:tabs>
        <w:ind w:left="1720" w:hanging="10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5" w15:restartNumberingAfterBreak="0">
    <w:nsid w:val="672D696A"/>
    <w:multiLevelType w:val="multilevel"/>
    <w:tmpl w:val="672D696A"/>
    <w:lvl w:ilvl="0">
      <w:start w:val="1"/>
      <w:numFmt w:val="decimal"/>
      <w:lvlText w:val="%1、"/>
      <w:lvlJc w:val="left"/>
      <w:pPr>
        <w:tabs>
          <w:tab w:val="left" w:pos="1360"/>
        </w:tabs>
        <w:ind w:left="1360" w:hanging="72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left" w:pos="2140"/>
        </w:tabs>
        <w:ind w:left="2140" w:hanging="10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num w:numId="1" w16cid:durableId="1624002056">
    <w:abstractNumId w:val="1"/>
  </w:num>
  <w:num w:numId="2" w16cid:durableId="2062053941">
    <w:abstractNumId w:val="5"/>
  </w:num>
  <w:num w:numId="3" w16cid:durableId="102579360">
    <w:abstractNumId w:val="2"/>
  </w:num>
  <w:num w:numId="4" w16cid:durableId="2140801332">
    <w:abstractNumId w:val="4"/>
  </w:num>
  <w:num w:numId="5" w16cid:durableId="301690512">
    <w:abstractNumId w:val="3"/>
  </w:num>
  <w:num w:numId="6" w16cid:durableId="25513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5ZmE1ODU0MDAzMzg0NTJkMjVkNjFmNTUyM2JhMmIifQ=="/>
  </w:docVars>
  <w:rsids>
    <w:rsidRoot w:val="003711D1"/>
    <w:rsid w:val="DFDFE2FB"/>
    <w:rsid w:val="EBB79BD9"/>
    <w:rsid w:val="EFAF8D0D"/>
    <w:rsid w:val="FBDDEF3E"/>
    <w:rsid w:val="FFBE1A78"/>
    <w:rsid w:val="FFD5489F"/>
    <w:rsid w:val="0000379B"/>
    <w:rsid w:val="00010695"/>
    <w:rsid w:val="00014F7A"/>
    <w:rsid w:val="0003521A"/>
    <w:rsid w:val="00046B1D"/>
    <w:rsid w:val="000538B3"/>
    <w:rsid w:val="00053FF7"/>
    <w:rsid w:val="000553B5"/>
    <w:rsid w:val="000569F6"/>
    <w:rsid w:val="00073865"/>
    <w:rsid w:val="0008686D"/>
    <w:rsid w:val="00086F56"/>
    <w:rsid w:val="000925BD"/>
    <w:rsid w:val="00092F73"/>
    <w:rsid w:val="000B5047"/>
    <w:rsid w:val="000C002B"/>
    <w:rsid w:val="000E58A2"/>
    <w:rsid w:val="000F1C3D"/>
    <w:rsid w:val="00107718"/>
    <w:rsid w:val="00112BAA"/>
    <w:rsid w:val="00114D2C"/>
    <w:rsid w:val="00126680"/>
    <w:rsid w:val="001438AB"/>
    <w:rsid w:val="00156B82"/>
    <w:rsid w:val="0016551B"/>
    <w:rsid w:val="001921E5"/>
    <w:rsid w:val="001D324C"/>
    <w:rsid w:val="001D4A3D"/>
    <w:rsid w:val="001E318E"/>
    <w:rsid w:val="001E4EC2"/>
    <w:rsid w:val="001F7DEF"/>
    <w:rsid w:val="00214182"/>
    <w:rsid w:val="002157D4"/>
    <w:rsid w:val="00223292"/>
    <w:rsid w:val="00233E73"/>
    <w:rsid w:val="0023583A"/>
    <w:rsid w:val="00237001"/>
    <w:rsid w:val="00237F02"/>
    <w:rsid w:val="0024069D"/>
    <w:rsid w:val="00240ED3"/>
    <w:rsid w:val="00254F59"/>
    <w:rsid w:val="00255D89"/>
    <w:rsid w:val="00262089"/>
    <w:rsid w:val="00277589"/>
    <w:rsid w:val="00283254"/>
    <w:rsid w:val="00284A53"/>
    <w:rsid w:val="002A710E"/>
    <w:rsid w:val="002C4A70"/>
    <w:rsid w:val="002C7C20"/>
    <w:rsid w:val="002F3987"/>
    <w:rsid w:val="002F6C74"/>
    <w:rsid w:val="00303A29"/>
    <w:rsid w:val="00304115"/>
    <w:rsid w:val="00332528"/>
    <w:rsid w:val="00361ABB"/>
    <w:rsid w:val="003711D1"/>
    <w:rsid w:val="003764A2"/>
    <w:rsid w:val="00385F76"/>
    <w:rsid w:val="003F3B84"/>
    <w:rsid w:val="003F3BF0"/>
    <w:rsid w:val="00435040"/>
    <w:rsid w:val="00461F6B"/>
    <w:rsid w:val="004844EE"/>
    <w:rsid w:val="004C517E"/>
    <w:rsid w:val="004D1947"/>
    <w:rsid w:val="004E1AB1"/>
    <w:rsid w:val="004F4215"/>
    <w:rsid w:val="00505EED"/>
    <w:rsid w:val="00507A3B"/>
    <w:rsid w:val="00512EC9"/>
    <w:rsid w:val="00524479"/>
    <w:rsid w:val="005372FB"/>
    <w:rsid w:val="00537B60"/>
    <w:rsid w:val="005626BF"/>
    <w:rsid w:val="00563307"/>
    <w:rsid w:val="00570F74"/>
    <w:rsid w:val="00571CD1"/>
    <w:rsid w:val="00574E77"/>
    <w:rsid w:val="0058071F"/>
    <w:rsid w:val="00582373"/>
    <w:rsid w:val="00584174"/>
    <w:rsid w:val="005915A5"/>
    <w:rsid w:val="005A36FA"/>
    <w:rsid w:val="005C2CF3"/>
    <w:rsid w:val="005C798D"/>
    <w:rsid w:val="00622111"/>
    <w:rsid w:val="00633B0B"/>
    <w:rsid w:val="00640EC7"/>
    <w:rsid w:val="0066039E"/>
    <w:rsid w:val="006653CE"/>
    <w:rsid w:val="00665481"/>
    <w:rsid w:val="006662B2"/>
    <w:rsid w:val="006755EF"/>
    <w:rsid w:val="00684816"/>
    <w:rsid w:val="00685BE0"/>
    <w:rsid w:val="006A4273"/>
    <w:rsid w:val="006A7B17"/>
    <w:rsid w:val="006B52C4"/>
    <w:rsid w:val="006C4CD3"/>
    <w:rsid w:val="00706821"/>
    <w:rsid w:val="00744B0D"/>
    <w:rsid w:val="00750A68"/>
    <w:rsid w:val="00753B24"/>
    <w:rsid w:val="00756652"/>
    <w:rsid w:val="00760397"/>
    <w:rsid w:val="00761732"/>
    <w:rsid w:val="007660E2"/>
    <w:rsid w:val="007C11C0"/>
    <w:rsid w:val="007C66DE"/>
    <w:rsid w:val="007D663C"/>
    <w:rsid w:val="007D7587"/>
    <w:rsid w:val="007F3FA5"/>
    <w:rsid w:val="00812D24"/>
    <w:rsid w:val="00832F6F"/>
    <w:rsid w:val="00844875"/>
    <w:rsid w:val="00852E28"/>
    <w:rsid w:val="00862CB8"/>
    <w:rsid w:val="00884015"/>
    <w:rsid w:val="008C0DCF"/>
    <w:rsid w:val="008C209F"/>
    <w:rsid w:val="008D4778"/>
    <w:rsid w:val="009114FF"/>
    <w:rsid w:val="009552BC"/>
    <w:rsid w:val="00967B7C"/>
    <w:rsid w:val="00976C0A"/>
    <w:rsid w:val="009802DF"/>
    <w:rsid w:val="00996B71"/>
    <w:rsid w:val="009A40FD"/>
    <w:rsid w:val="009C7D43"/>
    <w:rsid w:val="009D2C6E"/>
    <w:rsid w:val="009D3E4A"/>
    <w:rsid w:val="009E777F"/>
    <w:rsid w:val="009F193A"/>
    <w:rsid w:val="00A059B2"/>
    <w:rsid w:val="00A4718D"/>
    <w:rsid w:val="00A57B48"/>
    <w:rsid w:val="00A8322B"/>
    <w:rsid w:val="00AA0C2F"/>
    <w:rsid w:val="00AB57DF"/>
    <w:rsid w:val="00AD1133"/>
    <w:rsid w:val="00B149D9"/>
    <w:rsid w:val="00B41A86"/>
    <w:rsid w:val="00B51B69"/>
    <w:rsid w:val="00B560E7"/>
    <w:rsid w:val="00B5640F"/>
    <w:rsid w:val="00B671A3"/>
    <w:rsid w:val="00B7147F"/>
    <w:rsid w:val="00B86691"/>
    <w:rsid w:val="00B90EE7"/>
    <w:rsid w:val="00BA0D96"/>
    <w:rsid w:val="00BB13A9"/>
    <w:rsid w:val="00BB4A28"/>
    <w:rsid w:val="00BB7593"/>
    <w:rsid w:val="00BD07D9"/>
    <w:rsid w:val="00BD59AD"/>
    <w:rsid w:val="00C217C4"/>
    <w:rsid w:val="00C505C3"/>
    <w:rsid w:val="00C512B0"/>
    <w:rsid w:val="00C61448"/>
    <w:rsid w:val="00C80F6B"/>
    <w:rsid w:val="00C84234"/>
    <w:rsid w:val="00C945F8"/>
    <w:rsid w:val="00CB496A"/>
    <w:rsid w:val="00CC170E"/>
    <w:rsid w:val="00CE158A"/>
    <w:rsid w:val="00CE46D1"/>
    <w:rsid w:val="00CF03CA"/>
    <w:rsid w:val="00CF09CD"/>
    <w:rsid w:val="00CF1F7D"/>
    <w:rsid w:val="00D32336"/>
    <w:rsid w:val="00D74C03"/>
    <w:rsid w:val="00D92FA0"/>
    <w:rsid w:val="00DA69E8"/>
    <w:rsid w:val="00DC3946"/>
    <w:rsid w:val="00DC7D98"/>
    <w:rsid w:val="00E004F6"/>
    <w:rsid w:val="00E053FD"/>
    <w:rsid w:val="00E2076A"/>
    <w:rsid w:val="00E30DC1"/>
    <w:rsid w:val="00E338EB"/>
    <w:rsid w:val="00E34E66"/>
    <w:rsid w:val="00E50B98"/>
    <w:rsid w:val="00E731D2"/>
    <w:rsid w:val="00E75545"/>
    <w:rsid w:val="00E8024C"/>
    <w:rsid w:val="00E838A7"/>
    <w:rsid w:val="00E855D1"/>
    <w:rsid w:val="00EA43C3"/>
    <w:rsid w:val="00EC00BD"/>
    <w:rsid w:val="00EC1B43"/>
    <w:rsid w:val="00EC5EB4"/>
    <w:rsid w:val="00EE7A27"/>
    <w:rsid w:val="00F12A71"/>
    <w:rsid w:val="00F24415"/>
    <w:rsid w:val="00F50160"/>
    <w:rsid w:val="00F55043"/>
    <w:rsid w:val="00F558A4"/>
    <w:rsid w:val="00F559E5"/>
    <w:rsid w:val="00F72687"/>
    <w:rsid w:val="00F75473"/>
    <w:rsid w:val="00F8799D"/>
    <w:rsid w:val="00FA3A88"/>
    <w:rsid w:val="00FD27FC"/>
    <w:rsid w:val="00FF5674"/>
    <w:rsid w:val="02A2648C"/>
    <w:rsid w:val="044D0C65"/>
    <w:rsid w:val="05B04047"/>
    <w:rsid w:val="07E17B27"/>
    <w:rsid w:val="09E22639"/>
    <w:rsid w:val="0B6DFF3D"/>
    <w:rsid w:val="0C903D1C"/>
    <w:rsid w:val="0FA979B6"/>
    <w:rsid w:val="12800216"/>
    <w:rsid w:val="13003ABA"/>
    <w:rsid w:val="141D25CF"/>
    <w:rsid w:val="19866520"/>
    <w:rsid w:val="19D4651A"/>
    <w:rsid w:val="1C0751A2"/>
    <w:rsid w:val="1D726872"/>
    <w:rsid w:val="1EBC5234"/>
    <w:rsid w:val="20692E24"/>
    <w:rsid w:val="23A00A7A"/>
    <w:rsid w:val="255C3120"/>
    <w:rsid w:val="29A22AAF"/>
    <w:rsid w:val="2B917A36"/>
    <w:rsid w:val="31DA7D44"/>
    <w:rsid w:val="343833CF"/>
    <w:rsid w:val="3BBCC026"/>
    <w:rsid w:val="3C0F436B"/>
    <w:rsid w:val="3DD31603"/>
    <w:rsid w:val="3DEFE3C7"/>
    <w:rsid w:val="3FBE451B"/>
    <w:rsid w:val="42211FEA"/>
    <w:rsid w:val="4A293D01"/>
    <w:rsid w:val="4ACC7988"/>
    <w:rsid w:val="4F942B49"/>
    <w:rsid w:val="522628F3"/>
    <w:rsid w:val="560C0B22"/>
    <w:rsid w:val="565B752F"/>
    <w:rsid w:val="57FC21F1"/>
    <w:rsid w:val="57FFC311"/>
    <w:rsid w:val="58381A4A"/>
    <w:rsid w:val="586173D8"/>
    <w:rsid w:val="5C3B79BC"/>
    <w:rsid w:val="5D44187F"/>
    <w:rsid w:val="5EA44B88"/>
    <w:rsid w:val="5F107358"/>
    <w:rsid w:val="60A809F6"/>
    <w:rsid w:val="62CB4D98"/>
    <w:rsid w:val="6DD52ACC"/>
    <w:rsid w:val="6E1B58E6"/>
    <w:rsid w:val="6F8C6CE5"/>
    <w:rsid w:val="706E02C6"/>
    <w:rsid w:val="7313493E"/>
    <w:rsid w:val="73AE7C8E"/>
    <w:rsid w:val="73DE62AF"/>
    <w:rsid w:val="73DF2698"/>
    <w:rsid w:val="762F1103"/>
    <w:rsid w:val="780D5A03"/>
    <w:rsid w:val="789500E1"/>
    <w:rsid w:val="79701CA2"/>
    <w:rsid w:val="79CF4524"/>
    <w:rsid w:val="7F3D8F90"/>
    <w:rsid w:val="7F42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4B1F0"/>
  <w15:docId w15:val="{BFB712C6-9E06-4FFA-AF38-2A015F81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annotation text"/>
    <w:basedOn w:val="a"/>
    <w:link w:val="a5"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link w:val="ae"/>
    <w:semiHidden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page number"/>
    <w:uiPriority w:val="99"/>
    <w:semiHidden/>
    <w:qFormat/>
    <w:rPr>
      <w:rFonts w:cs="Times New Roman"/>
    </w:rPr>
  </w:style>
  <w:style w:type="character" w:styleId="af1">
    <w:name w:val="FollowedHyperlink"/>
    <w:unhideWhenUsed/>
    <w:qFormat/>
    <w:rPr>
      <w:color w:val="0657AB"/>
      <w:u w:val="none"/>
    </w:rPr>
  </w:style>
  <w:style w:type="character" w:styleId="af2">
    <w:name w:val="Hyperlink"/>
    <w:unhideWhenUsed/>
    <w:qFormat/>
    <w:rPr>
      <w:color w:val="0657AB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9">
    <w:name w:val="页脚 字符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l-btn-icon-right">
    <w:name w:val="l-btn-icon-right"/>
    <w:basedOn w:val="a0"/>
    <w:qFormat/>
  </w:style>
  <w:style w:type="character" w:customStyle="1" w:styleId="l-btn-empty">
    <w:name w:val="l-btn-empty"/>
    <w:basedOn w:val="a0"/>
    <w:qFormat/>
  </w:style>
  <w:style w:type="character" w:customStyle="1" w:styleId="l-btn-text">
    <w:name w:val="l-btn-text"/>
    <w:qFormat/>
    <w:rPr>
      <w:sz w:val="18"/>
      <w:szCs w:val="18"/>
      <w:vertAlign w:val="baseline"/>
    </w:rPr>
  </w:style>
  <w:style w:type="character" w:customStyle="1" w:styleId="on">
    <w:name w:val="on"/>
    <w:qFormat/>
    <w:rPr>
      <w:vanish/>
      <w:shd w:val="clear" w:color="auto" w:fill="FFFFFF"/>
    </w:rPr>
  </w:style>
  <w:style w:type="character" w:customStyle="1" w:styleId="l-btn-left">
    <w:name w:val="l-btn-left"/>
    <w:basedOn w:val="a0"/>
    <w:qFormat/>
  </w:style>
  <w:style w:type="character" w:customStyle="1" w:styleId="l-btn-left1">
    <w:name w:val="l-btn-left1"/>
    <w:basedOn w:val="a0"/>
    <w:qFormat/>
  </w:style>
  <w:style w:type="character" w:customStyle="1" w:styleId="l-btn-left2">
    <w:name w:val="l-btn-left2"/>
    <w:basedOn w:val="a0"/>
    <w:qFormat/>
  </w:style>
  <w:style w:type="character" w:customStyle="1" w:styleId="l-btn-left3">
    <w:name w:val="l-btn-left3"/>
    <w:basedOn w:val="a0"/>
    <w:qFormat/>
  </w:style>
  <w:style w:type="character" w:customStyle="1" w:styleId="l-btn-icon-left">
    <w:name w:val="l-btn-icon-left"/>
    <w:basedOn w:val="a0"/>
    <w:qFormat/>
  </w:style>
  <w:style w:type="character" w:customStyle="1" w:styleId="a5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e">
    <w:name w:val="批注主题 字符"/>
    <w:basedOn w:val="a5"/>
    <w:link w:val="ad"/>
    <w:semiHidden/>
    <w:qFormat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0">
    <w:name w:val="修订2"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Body Text"/>
    <w:basedOn w:val="a"/>
    <w:link w:val="af6"/>
    <w:semiHidden/>
    <w:unhideWhenUsed/>
    <w:rsid w:val="009E777F"/>
    <w:pPr>
      <w:spacing w:after="120"/>
    </w:pPr>
  </w:style>
  <w:style w:type="character" w:customStyle="1" w:styleId="af6">
    <w:name w:val="正文文本 字符"/>
    <w:basedOn w:val="a0"/>
    <w:link w:val="af5"/>
    <w:semiHidden/>
    <w:rsid w:val="009E777F"/>
    <w:rPr>
      <w:kern w:val="2"/>
      <w:sz w:val="21"/>
      <w:szCs w:val="24"/>
    </w:rPr>
  </w:style>
  <w:style w:type="table" w:styleId="af7">
    <w:name w:val="Table Grid"/>
    <w:basedOn w:val="a1"/>
    <w:qFormat/>
    <w:rsid w:val="009E77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9E77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E777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5</Pages>
  <Words>254</Words>
  <Characters>1453</Characters>
  <Application>Microsoft Office Word</Application>
  <DocSecurity>0</DocSecurity>
  <Lines>12</Lines>
  <Paragraphs>3</Paragraphs>
  <ScaleCrop>false</ScaleCrop>
  <Company>China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XF XI</cp:lastModifiedBy>
  <cp:revision>43</cp:revision>
  <cp:lastPrinted>2025-11-06T01:56:00Z</cp:lastPrinted>
  <dcterms:created xsi:type="dcterms:W3CDTF">2024-12-02T08:53:00Z</dcterms:created>
  <dcterms:modified xsi:type="dcterms:W3CDTF">2025-11-20T02:50:00Z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8CC88371BB7F440992EB48DDA2746D65_13</vt:lpwstr>
  </property>
  <property fmtid="{D5CDD505-2E9C-101B-9397-08002B2CF9AE}" pid="4" name="KSOTemplateDocerSaveRecord">
    <vt:lpwstr>eyJoZGlkIjoiMDQ4OTg4ZWJjNWU3YmFmNTJmZjgxMDkyODZjYTk0M2QiLCJ1c2VySWQiOiIyNTI1Mzg2NDcifQ==</vt:lpwstr>
  </property>
</Properties>
</file>