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highlight w:val="none"/>
        </w:rPr>
      </w:pPr>
      <w:bookmarkStart w:id="35" w:name="_GoBack"/>
      <w:bookmarkEnd w:id="35"/>
      <w:bookmarkStart w:id="0" w:name="_Toc6893"/>
      <w:bookmarkStart w:id="1" w:name="_Toc99301424"/>
      <w:bookmarkStart w:id="2" w:name="_Toc31978"/>
      <w:bookmarkStart w:id="3" w:name="_Toc4297"/>
      <w:r>
        <w:rPr>
          <w:b/>
          <w:sz w:val="36"/>
          <w:szCs w:val="36"/>
          <w:highlight w:val="none"/>
        </w:rPr>
        <w:t>采购需求</w:t>
      </w:r>
      <w:bookmarkEnd w:id="0"/>
      <w:bookmarkEnd w:id="1"/>
      <w:bookmarkEnd w:id="2"/>
      <w:bookmarkEnd w:id="3"/>
    </w:p>
    <w:p>
      <w:pPr>
        <w:tabs>
          <w:tab w:val="left" w:pos="2834"/>
        </w:tabs>
        <w:spacing w:line="360" w:lineRule="auto"/>
        <w:jc w:val="center"/>
        <w:outlineLvl w:val="1"/>
        <w:rPr>
          <w:rFonts w:hint="eastAsia" w:ascii="Times New Roman" w:hAnsi="Times New Roman" w:eastAsia="宋体" w:cs="Times New Roman"/>
          <w:b/>
          <w:sz w:val="24"/>
          <w:szCs w:val="24"/>
          <w:highlight w:val="none"/>
          <w:lang w:val="en-US" w:eastAsia="zh-CN"/>
        </w:rPr>
      </w:pPr>
      <w:bookmarkStart w:id="4" w:name="_Toc14537"/>
      <w:r>
        <w:rPr>
          <w:rFonts w:hint="eastAsia" w:ascii="Times New Roman" w:hAnsi="Times New Roman" w:eastAsia="宋体" w:cs="Times New Roman"/>
          <w:b/>
          <w:sz w:val="24"/>
          <w:szCs w:val="24"/>
          <w:highlight w:val="none"/>
          <w:lang w:val="en-US" w:eastAsia="zh-CN"/>
        </w:rPr>
        <w:t>第一包：</w:t>
      </w:r>
      <w:bookmarkEnd w:id="4"/>
    </w:p>
    <w:p>
      <w:pPr>
        <w:pStyle w:val="3"/>
        <w:numPr>
          <w:ilvl w:val="0"/>
          <w:numId w:val="9"/>
        </w:numPr>
        <w:ind w:firstLine="316" w:firstLineChars="131"/>
        <w:jc w:val="left"/>
        <w:rPr>
          <w:rFonts w:hint="eastAsia" w:ascii="宋体" w:hAnsi="宋体" w:eastAsia="宋体" w:cs="宋体"/>
          <w:sz w:val="24"/>
          <w:szCs w:val="24"/>
          <w:highlight w:val="none"/>
          <w:lang w:val="en-US" w:eastAsia="zh-CN"/>
        </w:rPr>
      </w:pPr>
      <w:bookmarkStart w:id="5" w:name="_Toc29723"/>
      <w:bookmarkStart w:id="6" w:name="_Toc20180"/>
      <w:r>
        <w:rPr>
          <w:rFonts w:hint="eastAsia" w:ascii="宋体" w:hAnsi="宋体" w:eastAsia="宋体" w:cs="宋体"/>
          <w:sz w:val="24"/>
          <w:szCs w:val="24"/>
          <w:highlight w:val="none"/>
        </w:rPr>
        <w:t>采购</w:t>
      </w:r>
      <w:r>
        <w:rPr>
          <w:rFonts w:hint="eastAsia" w:ascii="宋体" w:hAnsi="宋体" w:eastAsia="宋体" w:cs="宋体"/>
          <w:sz w:val="24"/>
          <w:szCs w:val="24"/>
          <w:highlight w:val="none"/>
          <w:lang w:val="en-US" w:eastAsia="zh-CN"/>
        </w:rPr>
        <w:t>标的</w:t>
      </w:r>
      <w:bookmarkEnd w:id="5"/>
    </w:p>
    <w:p>
      <w:pPr>
        <w:pStyle w:val="2"/>
        <w:numPr>
          <w:ilvl w:val="2"/>
          <w:numId w:val="9"/>
        </w:numPr>
        <w:ind w:firstLine="335" w:firstLineChars="139"/>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采购标的</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本项目不接受进口产品。</w:t>
      </w:r>
    </w:p>
    <w:tbl>
      <w:tblPr>
        <w:tblStyle w:val="53"/>
        <w:tblW w:w="80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2343"/>
        <w:gridCol w:w="1701"/>
        <w:gridCol w:w="1473"/>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8" w:type="dxa"/>
            <w:noWrap w:val="0"/>
            <w:vAlign w:val="center"/>
          </w:tcPr>
          <w:p>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2343" w:type="dxa"/>
            <w:noWrap w:val="0"/>
            <w:vAlign w:val="center"/>
          </w:tcPr>
          <w:p>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货物或服务名称</w:t>
            </w:r>
          </w:p>
        </w:tc>
        <w:tc>
          <w:tcPr>
            <w:tcW w:w="1701" w:type="dxa"/>
            <w:noWrap w:val="0"/>
            <w:vAlign w:val="center"/>
          </w:tcPr>
          <w:p>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数量</w:t>
            </w:r>
          </w:p>
        </w:tc>
        <w:tc>
          <w:tcPr>
            <w:tcW w:w="1473" w:type="dxa"/>
            <w:noWrap w:val="0"/>
            <w:vAlign w:val="center"/>
          </w:tcPr>
          <w:p>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单位</w:t>
            </w:r>
          </w:p>
        </w:tc>
        <w:tc>
          <w:tcPr>
            <w:tcW w:w="1473" w:type="dxa"/>
            <w:noWrap w:val="0"/>
            <w:vAlign w:val="center"/>
          </w:tcPr>
          <w:p>
            <w:pPr>
              <w:spacing w:line="360" w:lineRule="auto"/>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备注（核心产品）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8"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343" w:type="dxa"/>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操作系统</w:t>
            </w:r>
          </w:p>
        </w:tc>
        <w:tc>
          <w:tcPr>
            <w:tcW w:w="1701" w:type="dxa"/>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108</w:t>
            </w:r>
          </w:p>
        </w:tc>
        <w:tc>
          <w:tcPr>
            <w:tcW w:w="1473" w:type="dxa"/>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套</w:t>
            </w:r>
          </w:p>
        </w:tc>
        <w:tc>
          <w:tcPr>
            <w:tcW w:w="1473" w:type="dxa"/>
            <w:noWrap w:val="0"/>
            <w:vAlign w:val="center"/>
          </w:tcPr>
          <w:p>
            <w:pPr>
              <w:spacing w:line="560" w:lineRule="exact"/>
              <w:jc w:val="center"/>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8"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343" w:type="dxa"/>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集中式数据库</w:t>
            </w:r>
          </w:p>
        </w:tc>
        <w:tc>
          <w:tcPr>
            <w:tcW w:w="1701" w:type="dxa"/>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p>
        </w:tc>
        <w:tc>
          <w:tcPr>
            <w:tcW w:w="1473" w:type="dxa"/>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套</w:t>
            </w:r>
          </w:p>
        </w:tc>
        <w:tc>
          <w:tcPr>
            <w:tcW w:w="1473" w:type="dxa"/>
            <w:noWrap w:val="0"/>
            <w:vAlign w:val="center"/>
          </w:tcPr>
          <w:p>
            <w:pPr>
              <w:spacing w:line="56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058"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343" w:type="dxa"/>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数据库集群软件</w:t>
            </w:r>
          </w:p>
        </w:tc>
        <w:tc>
          <w:tcPr>
            <w:tcW w:w="1701" w:type="dxa"/>
            <w:noWrap w:val="0"/>
            <w:vAlign w:val="center"/>
          </w:tcPr>
          <w:p>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473" w:type="dxa"/>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节点</w:t>
            </w:r>
          </w:p>
        </w:tc>
        <w:tc>
          <w:tcPr>
            <w:tcW w:w="1473" w:type="dxa"/>
            <w:noWrap w:val="0"/>
            <w:vAlign w:val="center"/>
          </w:tcPr>
          <w:p>
            <w:pPr>
              <w:spacing w:line="560" w:lineRule="exact"/>
              <w:jc w:val="center"/>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8"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2343" w:type="dxa"/>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消息中间件 </w:t>
            </w:r>
          </w:p>
        </w:tc>
        <w:tc>
          <w:tcPr>
            <w:tcW w:w="1701" w:type="dxa"/>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1473" w:type="dxa"/>
            <w:noWrap w:val="0"/>
            <w:vAlign w:val="center"/>
          </w:tcPr>
          <w:p>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473" w:type="dxa"/>
            <w:noWrap w:val="0"/>
            <w:vAlign w:val="center"/>
          </w:tcPr>
          <w:p>
            <w:pPr>
              <w:spacing w:line="560" w:lineRule="exact"/>
              <w:jc w:val="center"/>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8"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2343" w:type="dxa"/>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缓存中间件（4G）</w:t>
            </w:r>
          </w:p>
        </w:tc>
        <w:tc>
          <w:tcPr>
            <w:tcW w:w="1701" w:type="dxa"/>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1473" w:type="dxa"/>
            <w:noWrap w:val="0"/>
            <w:vAlign w:val="center"/>
          </w:tcPr>
          <w:p>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473" w:type="dxa"/>
            <w:noWrap w:val="0"/>
            <w:vAlign w:val="center"/>
          </w:tcPr>
          <w:p>
            <w:pPr>
              <w:spacing w:line="560" w:lineRule="exact"/>
              <w:jc w:val="center"/>
              <w:rPr>
                <w:rFonts w:hint="eastAsia" w:ascii="宋体" w:hAnsi="宋体" w:eastAsia="宋体" w:cs="宋体"/>
                <w:sz w:val="24"/>
                <w:szCs w:val="24"/>
                <w:highlight w:val="none"/>
                <w:lang w:val="en-US" w:eastAsia="zh-CN"/>
              </w:rPr>
            </w:pPr>
          </w:p>
        </w:tc>
      </w:tr>
    </w:tbl>
    <w:p>
      <w:pPr>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★注：序号为1、2的产品，须属于安全可靠产品测评公告内产品，否则投标无效</w:t>
      </w:r>
      <w:r>
        <w:rPr>
          <w:rFonts w:hint="eastAsia" w:ascii="宋体" w:hAnsi="宋体" w:eastAsia="宋体" w:cs="宋体"/>
          <w:sz w:val="24"/>
          <w:szCs w:val="24"/>
          <w:highlight w:val="none"/>
        </w:rPr>
        <w:t>。</w:t>
      </w:r>
    </w:p>
    <w:p>
      <w:pPr>
        <w:pStyle w:val="2"/>
        <w:numPr>
          <w:ilvl w:val="2"/>
          <w:numId w:val="9"/>
        </w:numPr>
        <w:ind w:firstLine="335" w:firstLineChars="139"/>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项目背景</w:t>
      </w:r>
    </w:p>
    <w:p>
      <w:pPr>
        <w:spacing w:line="360" w:lineRule="auto"/>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2016年，财政部下发文件要求各省级财政部门要逐步将重要业务数据统一纳入到异地数据中心，实现各省财政的远程数据保护和应急保障，提升财政数据的整体安全。</w:t>
      </w:r>
    </w:p>
    <w:p>
      <w:pPr>
        <w:spacing w:line="360" w:lineRule="auto"/>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2023年4月，财政部下发文件要求各省市财政部门统筹推进业务应急保障体系建设，利用同城、异地等应急保障资源，保障系统数据完整性和业务连续性。一是要完善数据保障系统，优化数据保护策略，确保省级和市、县级财政数据有完善的应急保障机制，重要数据应通过异地应急保障中心进行保护。二是对于预算管理一体化系统等用户面广、业务连续性要求高的信息系统，应按照应用连续性应急保障标准进行建设，确保系统在发生突发事件时能够实现应用切换，并在短时间内恢复运行。三是要制定信息系统应急恢复预案，定期组织应急演练，对数据的完整性和系统的可用性进行验证。</w:t>
      </w:r>
    </w:p>
    <w:p>
      <w:pPr>
        <w:spacing w:line="360" w:lineRule="auto"/>
        <w:ind w:firstLine="482"/>
        <w:rPr>
          <w:rFonts w:hint="eastAsia" w:ascii="宋体" w:hAnsi="宋体" w:eastAsia="宋体" w:cs="宋体"/>
          <w:sz w:val="24"/>
          <w:szCs w:val="24"/>
          <w:highlight w:val="none"/>
        </w:rPr>
      </w:pPr>
      <w:r>
        <w:rPr>
          <w:rFonts w:hint="eastAsia" w:ascii="宋体" w:hAnsi="宋体" w:eastAsia="宋体" w:cs="宋体"/>
          <w:bCs/>
          <w:color w:val="000000"/>
          <w:sz w:val="24"/>
          <w:szCs w:val="24"/>
          <w:highlight w:val="none"/>
        </w:rPr>
        <w:t>为提升市采购人数据整体安全，建立完善的业务应急保障体系，按照相关要求，亟需依托现有能力完善构建业务应急保障体系。综合考虑项目迫切性、建设运维成本、系统应急保障能力等多种因素，拟选择副中心机房作为政务云机房的同城异地应急保障中心，选择郊区机房作为归档数据保障中心，与异地数据中心共同完善构建市财政局多层级、跨地域的业务应急保障体系</w:t>
      </w:r>
      <w:r>
        <w:rPr>
          <w:rFonts w:hint="eastAsia" w:ascii="宋体" w:hAnsi="宋体" w:eastAsia="宋体" w:cs="宋体"/>
          <w:sz w:val="24"/>
          <w:szCs w:val="24"/>
          <w:highlight w:val="none"/>
        </w:rPr>
        <w:t>。</w:t>
      </w:r>
    </w:p>
    <w:p>
      <w:pPr>
        <w:pStyle w:val="2"/>
        <w:numPr>
          <w:ilvl w:val="2"/>
          <w:numId w:val="9"/>
        </w:numPr>
        <w:ind w:firstLine="335" w:firstLineChars="139"/>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业务现状</w:t>
      </w:r>
    </w:p>
    <w:p>
      <w:pPr>
        <w:spacing w:line="360" w:lineRule="auto"/>
        <w:ind w:firstLine="482"/>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预算管理一体化系统坚持信息系统一体化的理念，以统一的数据规范和技术标准为基础，以统一的应用门户为入口，以应用支撑平台为底层，采用先进成熟的云计算和微服务技术建立统一的财政信息一体化系统。目前仅通过云平台的备份机制实现了数据级备份，未进行应用级容灾备份。</w:t>
      </w:r>
    </w:p>
    <w:p>
      <w:pPr>
        <w:spacing w:line="360" w:lineRule="auto"/>
        <w:ind w:firstLine="482"/>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现阶段，预算管理一体化的备份情况如下所示，按照每周六全量，每日增量的方式保障数据安全：</w:t>
      </w:r>
    </w:p>
    <w:tbl>
      <w:tblPr>
        <w:tblStyle w:val="53"/>
        <w:tblW w:w="9588" w:type="dxa"/>
        <w:jc w:val="center"/>
        <w:tblInd w:w="0" w:type="dxa"/>
        <w:tblLayout w:type="fixed"/>
        <w:tblCellMar>
          <w:top w:w="0" w:type="dxa"/>
          <w:left w:w="0" w:type="dxa"/>
          <w:bottom w:w="0" w:type="dxa"/>
          <w:right w:w="0" w:type="dxa"/>
        </w:tblCellMar>
      </w:tblPr>
      <w:tblGrid>
        <w:gridCol w:w="2143"/>
        <w:gridCol w:w="1320"/>
        <w:gridCol w:w="1680"/>
        <w:gridCol w:w="1149"/>
        <w:gridCol w:w="3296"/>
      </w:tblGrid>
      <w:tr>
        <w:tblPrEx>
          <w:tblLayout w:type="fixed"/>
          <w:tblCellMar>
            <w:top w:w="0" w:type="dxa"/>
            <w:left w:w="0" w:type="dxa"/>
            <w:bottom w:w="0" w:type="dxa"/>
            <w:right w:w="0" w:type="dxa"/>
          </w:tblCellMar>
        </w:tblPrEx>
        <w:trPr>
          <w:trHeight w:val="233" w:hRule="atLeast"/>
          <w:jc w:val="center"/>
        </w:trPr>
        <w:tc>
          <w:tcPr>
            <w:tcW w:w="2143" w:type="dxa"/>
            <w:tcBorders>
              <w:top w:val="single" w:color="7F7F7F" w:sz="8" w:space="0"/>
              <w:left w:val="single" w:color="7F7F7F" w:sz="8" w:space="0"/>
              <w:bottom w:val="single" w:color="7F7F7F" w:sz="8" w:space="0"/>
              <w:right w:val="single" w:color="7F7F7F" w:sz="8" w:space="0"/>
            </w:tcBorders>
            <w:noWrap w:val="0"/>
            <w:tcMar>
              <w:top w:w="10" w:type="dxa"/>
              <w:left w:w="10" w:type="dxa"/>
              <w:bottom w:w="72" w:type="dxa"/>
              <w:right w:w="10" w:type="dxa"/>
            </w:tcMar>
            <w:vAlign w:val="center"/>
          </w:tcPr>
          <w:p>
            <w:pPr>
              <w:pStyle w:val="246"/>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系统名称</w:t>
            </w:r>
          </w:p>
        </w:tc>
        <w:tc>
          <w:tcPr>
            <w:tcW w:w="1320" w:type="dxa"/>
            <w:tcBorders>
              <w:top w:val="single" w:color="7F7F7F" w:sz="8" w:space="0"/>
              <w:left w:val="single" w:color="7F7F7F" w:sz="8" w:space="0"/>
              <w:bottom w:val="single" w:color="7F7F7F" w:sz="8" w:space="0"/>
              <w:right w:val="single" w:color="7F7F7F" w:sz="8" w:space="0"/>
            </w:tcBorders>
            <w:noWrap w:val="0"/>
            <w:tcMar>
              <w:top w:w="10" w:type="dxa"/>
              <w:left w:w="10" w:type="dxa"/>
              <w:bottom w:w="72" w:type="dxa"/>
              <w:right w:w="10" w:type="dxa"/>
            </w:tcMar>
            <w:vAlign w:val="center"/>
          </w:tcPr>
          <w:p>
            <w:pPr>
              <w:pStyle w:val="246"/>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网络环境</w:t>
            </w:r>
          </w:p>
        </w:tc>
        <w:tc>
          <w:tcPr>
            <w:tcW w:w="1680" w:type="dxa"/>
            <w:tcBorders>
              <w:top w:val="single" w:color="7F7F7F" w:sz="8" w:space="0"/>
              <w:left w:val="single" w:color="7F7F7F" w:sz="8" w:space="0"/>
              <w:bottom w:val="single" w:color="7F7F7F" w:sz="8" w:space="0"/>
              <w:right w:val="single" w:color="7F7F7F" w:sz="8" w:space="0"/>
            </w:tcBorders>
            <w:noWrap w:val="0"/>
            <w:tcMar>
              <w:top w:w="10" w:type="dxa"/>
              <w:left w:w="10" w:type="dxa"/>
              <w:bottom w:w="72" w:type="dxa"/>
              <w:right w:w="10" w:type="dxa"/>
            </w:tcMar>
            <w:vAlign w:val="center"/>
          </w:tcPr>
          <w:p>
            <w:pPr>
              <w:pStyle w:val="246"/>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部署方式</w:t>
            </w:r>
          </w:p>
        </w:tc>
        <w:tc>
          <w:tcPr>
            <w:tcW w:w="1149" w:type="dxa"/>
            <w:tcBorders>
              <w:top w:val="single" w:color="7F7F7F" w:sz="8" w:space="0"/>
              <w:left w:val="single" w:color="7F7F7F" w:sz="8" w:space="0"/>
              <w:bottom w:val="single" w:color="7F7F7F" w:sz="8" w:space="0"/>
              <w:right w:val="single" w:color="7F7F7F" w:sz="8" w:space="0"/>
            </w:tcBorders>
            <w:noWrap w:val="0"/>
            <w:tcMar>
              <w:top w:w="10" w:type="dxa"/>
              <w:left w:w="10" w:type="dxa"/>
              <w:bottom w:w="72" w:type="dxa"/>
              <w:right w:w="10" w:type="dxa"/>
            </w:tcMar>
            <w:vAlign w:val="center"/>
          </w:tcPr>
          <w:p>
            <w:pPr>
              <w:pStyle w:val="246"/>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数据量</w:t>
            </w:r>
          </w:p>
        </w:tc>
        <w:tc>
          <w:tcPr>
            <w:tcW w:w="3296" w:type="dxa"/>
            <w:tcBorders>
              <w:top w:val="single" w:color="7F7F7F" w:sz="8" w:space="0"/>
              <w:left w:val="single" w:color="7F7F7F" w:sz="8" w:space="0"/>
              <w:bottom w:val="single" w:color="7F7F7F" w:sz="8" w:space="0"/>
              <w:right w:val="single" w:color="7F7F7F" w:sz="8" w:space="0"/>
            </w:tcBorders>
            <w:noWrap w:val="0"/>
            <w:tcMar>
              <w:top w:w="10" w:type="dxa"/>
              <w:left w:w="10" w:type="dxa"/>
              <w:bottom w:w="72" w:type="dxa"/>
              <w:right w:w="10" w:type="dxa"/>
            </w:tcMar>
            <w:vAlign w:val="center"/>
          </w:tcPr>
          <w:p>
            <w:pPr>
              <w:pStyle w:val="246"/>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备份策略</w:t>
            </w:r>
          </w:p>
        </w:tc>
      </w:tr>
      <w:tr>
        <w:tblPrEx>
          <w:tblLayout w:type="fixed"/>
          <w:tblCellMar>
            <w:top w:w="0" w:type="dxa"/>
            <w:left w:w="0" w:type="dxa"/>
            <w:bottom w:w="0" w:type="dxa"/>
            <w:right w:w="0" w:type="dxa"/>
          </w:tblCellMar>
        </w:tblPrEx>
        <w:trPr>
          <w:jc w:val="center"/>
        </w:trPr>
        <w:tc>
          <w:tcPr>
            <w:tcW w:w="2143" w:type="dxa"/>
            <w:tcBorders>
              <w:top w:val="single" w:color="7F7F7F" w:sz="8" w:space="0"/>
              <w:left w:val="single" w:color="7F7F7F" w:sz="8" w:space="0"/>
              <w:bottom w:val="single" w:color="7F7F7F" w:sz="8" w:space="0"/>
              <w:right w:val="single" w:color="7F7F7F" w:sz="8" w:space="0"/>
            </w:tcBorders>
            <w:noWrap w:val="0"/>
            <w:tcMar>
              <w:top w:w="10" w:type="dxa"/>
              <w:left w:w="10" w:type="dxa"/>
              <w:bottom w:w="72" w:type="dxa"/>
              <w:right w:w="10" w:type="dxa"/>
            </w:tcMar>
            <w:vAlign w:val="center"/>
          </w:tcPr>
          <w:p>
            <w:pPr>
              <w:pStyle w:val="246"/>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预算管理一体化系统</w:t>
            </w:r>
          </w:p>
        </w:tc>
        <w:tc>
          <w:tcPr>
            <w:tcW w:w="1320" w:type="dxa"/>
            <w:tcBorders>
              <w:top w:val="single" w:color="7F7F7F" w:sz="8" w:space="0"/>
              <w:left w:val="single" w:color="7F7F7F" w:sz="8" w:space="0"/>
              <w:bottom w:val="single" w:color="7F7F7F" w:sz="8" w:space="0"/>
              <w:right w:val="single" w:color="7F7F7F" w:sz="8" w:space="0"/>
            </w:tcBorders>
            <w:noWrap w:val="0"/>
            <w:tcMar>
              <w:top w:w="10" w:type="dxa"/>
              <w:left w:w="10" w:type="dxa"/>
              <w:bottom w:w="72" w:type="dxa"/>
              <w:right w:w="10" w:type="dxa"/>
            </w:tcMar>
            <w:vAlign w:val="center"/>
          </w:tcPr>
          <w:p>
            <w:pPr>
              <w:pStyle w:val="246"/>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政务外网</w:t>
            </w:r>
          </w:p>
        </w:tc>
        <w:tc>
          <w:tcPr>
            <w:tcW w:w="1680" w:type="dxa"/>
            <w:tcBorders>
              <w:top w:val="single" w:color="7F7F7F" w:sz="8" w:space="0"/>
              <w:left w:val="single" w:color="7F7F7F" w:sz="8" w:space="0"/>
              <w:bottom w:val="single" w:color="7F7F7F" w:sz="8" w:space="0"/>
              <w:right w:val="single" w:color="7F7F7F" w:sz="8" w:space="0"/>
            </w:tcBorders>
            <w:noWrap w:val="0"/>
            <w:tcMar>
              <w:top w:w="10" w:type="dxa"/>
              <w:left w:w="10" w:type="dxa"/>
              <w:bottom w:w="72" w:type="dxa"/>
              <w:right w:w="10" w:type="dxa"/>
            </w:tcMar>
            <w:vAlign w:val="center"/>
          </w:tcPr>
          <w:p>
            <w:pPr>
              <w:pStyle w:val="246"/>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ORACLE RAC</w:t>
            </w:r>
          </w:p>
        </w:tc>
        <w:tc>
          <w:tcPr>
            <w:tcW w:w="1149" w:type="dxa"/>
            <w:tcBorders>
              <w:top w:val="single" w:color="7F7F7F" w:sz="8" w:space="0"/>
              <w:left w:val="single" w:color="7F7F7F" w:sz="8" w:space="0"/>
              <w:bottom w:val="single" w:color="7F7F7F" w:sz="8" w:space="0"/>
              <w:right w:val="single" w:color="7F7F7F" w:sz="8" w:space="0"/>
            </w:tcBorders>
            <w:noWrap w:val="0"/>
            <w:tcMar>
              <w:top w:w="10" w:type="dxa"/>
              <w:left w:w="10" w:type="dxa"/>
              <w:bottom w:w="72" w:type="dxa"/>
              <w:right w:w="10" w:type="dxa"/>
            </w:tcMar>
            <w:vAlign w:val="center"/>
          </w:tcPr>
          <w:p>
            <w:pPr>
              <w:pStyle w:val="246"/>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9,000 GB</w:t>
            </w:r>
          </w:p>
        </w:tc>
        <w:tc>
          <w:tcPr>
            <w:tcW w:w="3296" w:type="dxa"/>
            <w:tcBorders>
              <w:top w:val="single" w:color="7F7F7F" w:sz="8" w:space="0"/>
              <w:left w:val="single" w:color="7F7F7F" w:sz="8" w:space="0"/>
              <w:bottom w:val="single" w:color="7F7F7F" w:sz="8" w:space="0"/>
              <w:right w:val="single" w:color="7F7F7F" w:sz="8" w:space="0"/>
            </w:tcBorders>
            <w:noWrap w:val="0"/>
            <w:tcMar>
              <w:top w:w="10" w:type="dxa"/>
              <w:left w:w="10" w:type="dxa"/>
              <w:bottom w:w="72" w:type="dxa"/>
              <w:right w:w="10" w:type="dxa"/>
            </w:tcMar>
            <w:vAlign w:val="center"/>
          </w:tcPr>
          <w:p>
            <w:pPr>
              <w:pStyle w:val="246"/>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每周六整备，每日增备，备份保留6个副本（22:00执行）</w:t>
            </w:r>
          </w:p>
        </w:tc>
      </w:tr>
      <w:tr>
        <w:tblPrEx>
          <w:tblLayout w:type="fixed"/>
          <w:tblCellMar>
            <w:top w:w="0" w:type="dxa"/>
            <w:left w:w="0" w:type="dxa"/>
            <w:bottom w:w="0" w:type="dxa"/>
            <w:right w:w="0" w:type="dxa"/>
          </w:tblCellMar>
        </w:tblPrEx>
        <w:trPr>
          <w:jc w:val="center"/>
        </w:trPr>
        <w:tc>
          <w:tcPr>
            <w:tcW w:w="2143" w:type="dxa"/>
            <w:tcBorders>
              <w:top w:val="single" w:color="7F7F7F" w:sz="8" w:space="0"/>
              <w:left w:val="single" w:color="7F7F7F" w:sz="8" w:space="0"/>
              <w:bottom w:val="single" w:color="7F7F7F" w:sz="8" w:space="0"/>
              <w:right w:val="single" w:color="7F7F7F" w:sz="8" w:space="0"/>
            </w:tcBorders>
            <w:noWrap w:val="0"/>
            <w:tcMar>
              <w:top w:w="10" w:type="dxa"/>
              <w:left w:w="10" w:type="dxa"/>
              <w:bottom w:w="72" w:type="dxa"/>
              <w:right w:w="10" w:type="dxa"/>
            </w:tcMar>
            <w:vAlign w:val="center"/>
          </w:tcPr>
          <w:p>
            <w:pPr>
              <w:pStyle w:val="246"/>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预算管理一体化/预算执行动态监控</w:t>
            </w:r>
          </w:p>
        </w:tc>
        <w:tc>
          <w:tcPr>
            <w:tcW w:w="1320" w:type="dxa"/>
            <w:tcBorders>
              <w:top w:val="single" w:color="7F7F7F" w:sz="8" w:space="0"/>
              <w:left w:val="single" w:color="7F7F7F" w:sz="8" w:space="0"/>
              <w:bottom w:val="single" w:color="7F7F7F" w:sz="8" w:space="0"/>
              <w:right w:val="single" w:color="7F7F7F" w:sz="8" w:space="0"/>
            </w:tcBorders>
            <w:noWrap w:val="0"/>
            <w:tcMar>
              <w:top w:w="10" w:type="dxa"/>
              <w:left w:w="10" w:type="dxa"/>
              <w:bottom w:w="72" w:type="dxa"/>
              <w:right w:w="10" w:type="dxa"/>
            </w:tcMar>
            <w:vAlign w:val="center"/>
          </w:tcPr>
          <w:p>
            <w:pPr>
              <w:pStyle w:val="246"/>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政务外网</w:t>
            </w:r>
          </w:p>
        </w:tc>
        <w:tc>
          <w:tcPr>
            <w:tcW w:w="1680" w:type="dxa"/>
            <w:tcBorders>
              <w:top w:val="single" w:color="7F7F7F" w:sz="8" w:space="0"/>
              <w:left w:val="single" w:color="7F7F7F" w:sz="8" w:space="0"/>
              <w:bottom w:val="single" w:color="7F7F7F" w:sz="8" w:space="0"/>
              <w:right w:val="single" w:color="7F7F7F" w:sz="8" w:space="0"/>
            </w:tcBorders>
            <w:noWrap w:val="0"/>
            <w:tcMar>
              <w:top w:w="10" w:type="dxa"/>
              <w:left w:w="10" w:type="dxa"/>
              <w:bottom w:w="72" w:type="dxa"/>
              <w:right w:w="10" w:type="dxa"/>
            </w:tcMar>
            <w:vAlign w:val="center"/>
          </w:tcPr>
          <w:p>
            <w:pPr>
              <w:pStyle w:val="246"/>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单机</w:t>
            </w:r>
          </w:p>
        </w:tc>
        <w:tc>
          <w:tcPr>
            <w:tcW w:w="1149" w:type="dxa"/>
            <w:tcBorders>
              <w:top w:val="single" w:color="7F7F7F" w:sz="8" w:space="0"/>
              <w:left w:val="single" w:color="7F7F7F" w:sz="8" w:space="0"/>
              <w:bottom w:val="single" w:color="7F7F7F" w:sz="8" w:space="0"/>
              <w:right w:val="single" w:color="7F7F7F" w:sz="8" w:space="0"/>
            </w:tcBorders>
            <w:noWrap w:val="0"/>
            <w:tcMar>
              <w:top w:w="10" w:type="dxa"/>
              <w:left w:w="10" w:type="dxa"/>
              <w:bottom w:w="72" w:type="dxa"/>
              <w:right w:w="10" w:type="dxa"/>
            </w:tcMar>
            <w:vAlign w:val="center"/>
          </w:tcPr>
          <w:p>
            <w:pPr>
              <w:pStyle w:val="246"/>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1,730 GB</w:t>
            </w:r>
          </w:p>
        </w:tc>
        <w:tc>
          <w:tcPr>
            <w:tcW w:w="3296" w:type="dxa"/>
            <w:tcBorders>
              <w:top w:val="single" w:color="7F7F7F" w:sz="8" w:space="0"/>
              <w:left w:val="single" w:color="7F7F7F" w:sz="8" w:space="0"/>
              <w:bottom w:val="single" w:color="7F7F7F" w:sz="8" w:space="0"/>
              <w:right w:val="single" w:color="7F7F7F" w:sz="8" w:space="0"/>
            </w:tcBorders>
            <w:noWrap w:val="0"/>
            <w:tcMar>
              <w:top w:w="10" w:type="dxa"/>
              <w:left w:w="10" w:type="dxa"/>
              <w:bottom w:w="72" w:type="dxa"/>
              <w:right w:w="10" w:type="dxa"/>
            </w:tcMar>
            <w:vAlign w:val="center"/>
          </w:tcPr>
          <w:p>
            <w:pPr>
              <w:pStyle w:val="246"/>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每周六整备，每日增备，备份保留6个副本（03:10执行）</w:t>
            </w:r>
          </w:p>
        </w:tc>
      </w:tr>
      <w:tr>
        <w:tblPrEx>
          <w:tblLayout w:type="fixed"/>
          <w:tblCellMar>
            <w:top w:w="0" w:type="dxa"/>
            <w:left w:w="0" w:type="dxa"/>
            <w:bottom w:w="0" w:type="dxa"/>
            <w:right w:w="0" w:type="dxa"/>
          </w:tblCellMar>
        </w:tblPrEx>
        <w:trPr>
          <w:trHeight w:val="282" w:hRule="atLeast"/>
          <w:jc w:val="center"/>
        </w:trPr>
        <w:tc>
          <w:tcPr>
            <w:tcW w:w="2143" w:type="dxa"/>
            <w:tcBorders>
              <w:top w:val="single" w:color="7F7F7F" w:sz="8" w:space="0"/>
              <w:left w:val="single" w:color="7F7F7F" w:sz="8" w:space="0"/>
              <w:bottom w:val="single" w:color="7F7F7F" w:sz="8" w:space="0"/>
              <w:right w:val="single" w:color="7F7F7F" w:sz="8" w:space="0"/>
            </w:tcBorders>
            <w:noWrap w:val="0"/>
            <w:tcMar>
              <w:top w:w="10" w:type="dxa"/>
              <w:left w:w="10" w:type="dxa"/>
              <w:bottom w:w="72" w:type="dxa"/>
              <w:right w:w="10" w:type="dxa"/>
            </w:tcMar>
            <w:vAlign w:val="center"/>
          </w:tcPr>
          <w:p>
            <w:pPr>
              <w:pStyle w:val="246"/>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预算管理一体化系统-财政直达资金监控系统</w:t>
            </w:r>
          </w:p>
        </w:tc>
        <w:tc>
          <w:tcPr>
            <w:tcW w:w="1320" w:type="dxa"/>
            <w:tcBorders>
              <w:top w:val="single" w:color="7F7F7F" w:sz="8" w:space="0"/>
              <w:left w:val="single" w:color="7F7F7F" w:sz="8" w:space="0"/>
              <w:bottom w:val="single" w:color="7F7F7F" w:sz="8" w:space="0"/>
              <w:right w:val="single" w:color="7F7F7F" w:sz="8" w:space="0"/>
            </w:tcBorders>
            <w:noWrap w:val="0"/>
            <w:tcMar>
              <w:top w:w="10" w:type="dxa"/>
              <w:left w:w="10" w:type="dxa"/>
              <w:bottom w:w="72" w:type="dxa"/>
              <w:right w:w="10" w:type="dxa"/>
            </w:tcMar>
            <w:vAlign w:val="center"/>
          </w:tcPr>
          <w:p>
            <w:pPr>
              <w:pStyle w:val="246"/>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政务外网</w:t>
            </w:r>
          </w:p>
        </w:tc>
        <w:tc>
          <w:tcPr>
            <w:tcW w:w="1680" w:type="dxa"/>
            <w:tcBorders>
              <w:top w:val="single" w:color="7F7F7F" w:sz="8" w:space="0"/>
              <w:left w:val="single" w:color="7F7F7F" w:sz="8" w:space="0"/>
              <w:bottom w:val="single" w:color="7F7F7F" w:sz="8" w:space="0"/>
              <w:right w:val="single" w:color="7F7F7F" w:sz="8" w:space="0"/>
            </w:tcBorders>
            <w:noWrap w:val="0"/>
            <w:tcMar>
              <w:top w:w="10" w:type="dxa"/>
              <w:left w:w="10" w:type="dxa"/>
              <w:bottom w:w="72" w:type="dxa"/>
              <w:right w:w="10" w:type="dxa"/>
            </w:tcMar>
            <w:vAlign w:val="center"/>
          </w:tcPr>
          <w:p>
            <w:pPr>
              <w:pStyle w:val="246"/>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单机</w:t>
            </w:r>
          </w:p>
        </w:tc>
        <w:tc>
          <w:tcPr>
            <w:tcW w:w="1149" w:type="dxa"/>
            <w:tcBorders>
              <w:top w:val="single" w:color="7F7F7F" w:sz="8" w:space="0"/>
              <w:left w:val="single" w:color="7F7F7F" w:sz="8" w:space="0"/>
              <w:bottom w:val="single" w:color="7F7F7F" w:sz="8" w:space="0"/>
              <w:right w:val="single" w:color="7F7F7F" w:sz="8" w:space="0"/>
            </w:tcBorders>
            <w:noWrap w:val="0"/>
            <w:tcMar>
              <w:top w:w="10" w:type="dxa"/>
              <w:left w:w="10" w:type="dxa"/>
              <w:bottom w:w="72" w:type="dxa"/>
              <w:right w:w="10" w:type="dxa"/>
            </w:tcMar>
            <w:vAlign w:val="center"/>
          </w:tcPr>
          <w:p>
            <w:pPr>
              <w:pStyle w:val="246"/>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680 GB</w:t>
            </w:r>
          </w:p>
        </w:tc>
        <w:tc>
          <w:tcPr>
            <w:tcW w:w="3296" w:type="dxa"/>
            <w:tcBorders>
              <w:top w:val="single" w:color="7F7F7F" w:sz="8" w:space="0"/>
              <w:left w:val="single" w:color="7F7F7F" w:sz="8" w:space="0"/>
              <w:bottom w:val="single" w:color="7F7F7F" w:sz="8" w:space="0"/>
              <w:right w:val="single" w:color="7F7F7F" w:sz="8" w:space="0"/>
            </w:tcBorders>
            <w:noWrap w:val="0"/>
            <w:tcMar>
              <w:top w:w="10" w:type="dxa"/>
              <w:left w:w="10" w:type="dxa"/>
              <w:bottom w:w="72" w:type="dxa"/>
              <w:right w:w="10" w:type="dxa"/>
            </w:tcMar>
            <w:vAlign w:val="center"/>
          </w:tcPr>
          <w:p>
            <w:pPr>
              <w:pStyle w:val="246"/>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每周六整备，每日增备，备份保留6个副本（02:50执行）</w:t>
            </w:r>
          </w:p>
        </w:tc>
      </w:tr>
    </w:tbl>
    <w:p>
      <w:pPr>
        <w:spacing w:line="360" w:lineRule="auto"/>
        <w:ind w:firstLine="482"/>
        <w:rPr>
          <w:rFonts w:hint="eastAsia" w:ascii="宋体" w:hAnsi="宋体" w:eastAsia="宋体" w:cs="宋体"/>
          <w:sz w:val="24"/>
          <w:szCs w:val="24"/>
          <w:highlight w:val="none"/>
        </w:rPr>
      </w:pPr>
    </w:p>
    <w:p>
      <w:pPr>
        <w:pStyle w:val="3"/>
        <w:numPr>
          <w:ilvl w:val="0"/>
          <w:numId w:val="9"/>
        </w:numPr>
        <w:ind w:firstLine="316" w:firstLineChars="131"/>
        <w:jc w:val="left"/>
        <w:rPr>
          <w:rFonts w:hint="eastAsia" w:ascii="宋体" w:hAnsi="宋体" w:eastAsia="宋体" w:cs="宋体"/>
          <w:sz w:val="24"/>
          <w:szCs w:val="24"/>
          <w:highlight w:val="none"/>
          <w:lang w:val="en-US" w:eastAsia="zh-CN"/>
        </w:rPr>
      </w:pPr>
      <w:bookmarkStart w:id="7" w:name="_Toc30994"/>
      <w:r>
        <w:rPr>
          <w:rFonts w:hint="eastAsia" w:ascii="宋体" w:hAnsi="宋体" w:eastAsia="宋体" w:cs="宋体"/>
          <w:sz w:val="24"/>
          <w:szCs w:val="24"/>
          <w:highlight w:val="none"/>
          <w:lang w:val="en-US" w:eastAsia="zh-CN"/>
        </w:rPr>
        <w:t>商务要求</w:t>
      </w:r>
      <w:bookmarkEnd w:id="7"/>
    </w:p>
    <w:p>
      <w:pPr>
        <w:pStyle w:val="2"/>
        <w:numPr>
          <w:ilvl w:val="2"/>
          <w:numId w:val="9"/>
        </w:numPr>
        <w:ind w:firstLine="335" w:firstLineChars="139"/>
        <w:contextualSpacing/>
        <w:jc w:val="left"/>
        <w:rPr>
          <w:rFonts w:hint="eastAsia" w:ascii="宋体" w:hAnsi="宋体" w:eastAsia="宋体" w:cs="宋体"/>
          <w:i w:val="0"/>
          <w:sz w:val="24"/>
          <w:szCs w:val="24"/>
          <w:highlight w:val="none"/>
        </w:rPr>
      </w:pPr>
      <w:r>
        <w:rPr>
          <w:rFonts w:hint="eastAsia" w:ascii="宋体" w:hAnsi="宋体" w:eastAsia="宋体" w:cs="宋体"/>
          <w:sz w:val="24"/>
          <w:szCs w:val="24"/>
          <w:highlight w:val="none"/>
        </w:rPr>
        <w:t>交付（实施）的时间（期限）和地点（范围）</w:t>
      </w:r>
    </w:p>
    <w:p>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 交付（实施）的时间（期限）：自合同生效之日起24个月；</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color w:val="000000"/>
          <w:sz w:val="24"/>
          <w:szCs w:val="24"/>
          <w:highlight w:val="none"/>
        </w:rPr>
        <w:t>1.2 交付（实施）的地点（范围）：北京</w:t>
      </w:r>
      <w:r>
        <w:rPr>
          <w:rFonts w:hint="eastAsia" w:ascii="宋体" w:hAnsi="宋体" w:eastAsia="宋体" w:cs="宋体"/>
          <w:sz w:val="24"/>
          <w:szCs w:val="24"/>
          <w:highlight w:val="none"/>
          <w:lang w:val="en-US" w:eastAsia="zh-CN"/>
        </w:rPr>
        <w:t>。</w:t>
      </w:r>
    </w:p>
    <w:p>
      <w:pPr>
        <w:pStyle w:val="2"/>
        <w:numPr>
          <w:ilvl w:val="2"/>
          <w:numId w:val="9"/>
        </w:numPr>
        <w:ind w:firstLine="335" w:firstLineChars="139"/>
        <w:contextualSpacing/>
        <w:jc w:val="left"/>
        <w:rPr>
          <w:rFonts w:hint="eastAsia" w:ascii="宋体" w:hAnsi="宋体" w:eastAsia="宋体" w:cs="宋体"/>
          <w:i w:val="0"/>
          <w:sz w:val="24"/>
          <w:szCs w:val="24"/>
          <w:highlight w:val="none"/>
        </w:rPr>
      </w:pPr>
      <w:r>
        <w:rPr>
          <w:rFonts w:hint="eastAsia" w:ascii="宋体" w:hAnsi="宋体" w:eastAsia="宋体" w:cs="宋体"/>
          <w:i w:val="0"/>
          <w:sz w:val="24"/>
          <w:szCs w:val="24"/>
          <w:highlight w:val="none"/>
          <w:lang w:val="en-US" w:eastAsia="zh-CN"/>
        </w:rPr>
        <w:t>付款条件</w:t>
      </w:r>
    </w:p>
    <w:p>
      <w:pPr>
        <w:spacing w:line="360" w:lineRule="auto"/>
        <w:ind w:firstLine="42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本合同的付款方式为:分三次付款，待本合同签署完毕20个工作日内支付第一笔款项，预计30%；项目执行中期支付第二笔款项，预计60%；项目执行完毕且验收合格后，采购人向中标人支付剩余尾款。</w:t>
      </w:r>
    </w:p>
    <w:p>
      <w:pPr>
        <w:pStyle w:val="2"/>
        <w:numPr>
          <w:ilvl w:val="2"/>
          <w:numId w:val="9"/>
        </w:numPr>
        <w:ind w:firstLine="335" w:firstLineChars="139"/>
        <w:contextualSpacing/>
        <w:jc w:val="left"/>
        <w:rPr>
          <w:rFonts w:hint="eastAsia" w:ascii="宋体" w:hAnsi="宋体" w:eastAsia="宋体" w:cs="宋体"/>
          <w:i w:val="0"/>
          <w:sz w:val="24"/>
          <w:szCs w:val="24"/>
          <w:highlight w:val="none"/>
        </w:rPr>
      </w:pPr>
      <w:r>
        <w:rPr>
          <w:rFonts w:hint="eastAsia" w:ascii="宋体" w:hAnsi="宋体" w:eastAsia="宋体" w:cs="宋体"/>
          <w:i w:val="0"/>
          <w:sz w:val="24"/>
          <w:szCs w:val="24"/>
          <w:highlight w:val="none"/>
          <w:lang w:val="en-US" w:eastAsia="zh-CN"/>
        </w:rPr>
        <w:t>包装和运输</w:t>
      </w:r>
    </w:p>
    <w:p>
      <w:pPr>
        <w:spacing w:line="360" w:lineRule="auto"/>
        <w:ind w:firstLine="480" w:firstLineChars="200"/>
        <w:contextualSpacing/>
        <w:rPr>
          <w:rFonts w:hint="eastAsia"/>
          <w:highlight w:val="none"/>
          <w:lang w:val="en-US" w:eastAsia="zh-CN"/>
        </w:rPr>
      </w:pPr>
      <w:r>
        <w:rPr>
          <w:rFonts w:hint="eastAsia" w:ascii="宋体" w:hAnsi="宋体" w:eastAsia="宋体" w:cs="宋体"/>
          <w:color w:val="auto"/>
          <w:sz w:val="24"/>
          <w:highlight w:val="none"/>
        </w:rPr>
        <w:t>按照《关于印发《商品包装政府采购需求标准（试行）》、《快递包装政府采购需求标准（试行）》的通知》（财办库〔2020〕123号）文件要求执行。</w:t>
      </w:r>
    </w:p>
    <w:p>
      <w:pPr>
        <w:pStyle w:val="2"/>
        <w:numPr>
          <w:ilvl w:val="2"/>
          <w:numId w:val="9"/>
        </w:numPr>
        <w:ind w:firstLine="335" w:firstLineChars="139"/>
        <w:contextualSpacing/>
        <w:jc w:val="left"/>
        <w:rPr>
          <w:rFonts w:hint="eastAsia" w:ascii="宋体" w:hAnsi="宋体" w:eastAsia="宋体" w:cs="宋体"/>
          <w:i w:val="0"/>
          <w:sz w:val="24"/>
          <w:szCs w:val="24"/>
          <w:highlight w:val="none"/>
        </w:rPr>
      </w:pPr>
      <w:r>
        <w:rPr>
          <w:rFonts w:hint="eastAsia" w:ascii="宋体" w:hAnsi="宋体" w:eastAsia="宋体" w:cs="宋体"/>
          <w:i w:val="0"/>
          <w:sz w:val="24"/>
          <w:szCs w:val="24"/>
          <w:highlight w:val="none"/>
          <w:lang w:val="en-US" w:eastAsia="zh-CN"/>
        </w:rPr>
        <w:t>售后服务</w:t>
      </w:r>
    </w:p>
    <w:p>
      <w:pPr>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本次采购的软硬件产品提供三年原厂保修服务。在质保期内，所有服务不再另行支付任何费用。</w:t>
      </w:r>
    </w:p>
    <w:p>
      <w:pPr>
        <w:pStyle w:val="3"/>
        <w:numPr>
          <w:ilvl w:val="0"/>
          <w:numId w:val="9"/>
        </w:numPr>
        <w:ind w:firstLine="316" w:firstLineChars="131"/>
        <w:jc w:val="left"/>
        <w:rPr>
          <w:rFonts w:hint="eastAsia" w:ascii="宋体" w:hAnsi="宋体" w:eastAsia="宋体" w:cs="宋体"/>
          <w:sz w:val="24"/>
          <w:szCs w:val="24"/>
          <w:highlight w:val="none"/>
          <w:lang w:val="en-US" w:eastAsia="zh-CN"/>
        </w:rPr>
      </w:pPr>
      <w:bookmarkStart w:id="8" w:name="_Toc3806"/>
      <w:r>
        <w:rPr>
          <w:rFonts w:hint="eastAsia" w:ascii="宋体" w:hAnsi="宋体" w:eastAsia="宋体" w:cs="宋体"/>
          <w:sz w:val="24"/>
          <w:szCs w:val="24"/>
          <w:highlight w:val="none"/>
          <w:lang w:val="en-US" w:eastAsia="zh-CN"/>
        </w:rPr>
        <w:t>技术要求</w:t>
      </w:r>
      <w:bookmarkEnd w:id="8"/>
    </w:p>
    <w:p>
      <w:pPr>
        <w:pStyle w:val="2"/>
        <w:numPr>
          <w:ilvl w:val="2"/>
          <w:numId w:val="9"/>
        </w:numPr>
        <w:ind w:firstLine="335" w:firstLineChars="139"/>
        <w:contextualSpacing/>
        <w:jc w:val="left"/>
        <w:rPr>
          <w:rFonts w:hint="eastAsia" w:ascii="宋体" w:hAnsi="宋体" w:eastAsia="宋体" w:cs="宋体"/>
          <w:i w:val="0"/>
          <w:sz w:val="24"/>
          <w:szCs w:val="24"/>
          <w:highlight w:val="none"/>
        </w:rPr>
      </w:pPr>
      <w:r>
        <w:rPr>
          <w:rFonts w:hint="eastAsia" w:ascii="宋体" w:hAnsi="宋体" w:eastAsia="宋体" w:cs="宋体"/>
          <w:i w:val="0"/>
          <w:sz w:val="24"/>
          <w:szCs w:val="24"/>
          <w:highlight w:val="none"/>
          <w:lang w:val="en-US" w:eastAsia="zh-CN"/>
        </w:rPr>
        <w:t>基本要求</w:t>
      </w:r>
    </w:p>
    <w:p>
      <w:pPr>
        <w:pStyle w:val="2"/>
        <w:numPr>
          <w:ilvl w:val="3"/>
          <w:numId w:val="9"/>
        </w:numPr>
        <w:ind w:firstLine="335" w:firstLineChars="139"/>
        <w:contextualSpacing/>
        <w:jc w:val="left"/>
        <w:rPr>
          <w:rFonts w:hint="eastAsia" w:ascii="宋体" w:hAnsi="宋体" w:eastAsia="宋体" w:cs="宋体"/>
          <w:i w:val="0"/>
          <w:sz w:val="24"/>
          <w:szCs w:val="24"/>
          <w:highlight w:val="none"/>
        </w:rPr>
      </w:pPr>
      <w:r>
        <w:rPr>
          <w:rFonts w:hint="eastAsia" w:ascii="宋体" w:hAnsi="宋体" w:eastAsia="宋体" w:cs="宋体"/>
          <w:i w:val="0"/>
          <w:sz w:val="24"/>
          <w:szCs w:val="24"/>
          <w:highlight w:val="none"/>
          <w:lang w:val="en-US" w:eastAsia="zh-CN"/>
        </w:rPr>
        <w:t>采购标的需实现的功能或目标</w:t>
      </w:r>
    </w:p>
    <w:p>
      <w:pPr>
        <w:spacing w:line="360" w:lineRule="auto"/>
        <w:ind w:firstLine="42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为北京市财政业务应急保障中心建设项目提供预算管理一体化应用级应急保障所需的操作系统、集中式数据库、数据库集群组件、消息中间件、缓存中间件等运行环境。</w:t>
      </w:r>
    </w:p>
    <w:p>
      <w:pPr>
        <w:pStyle w:val="13"/>
        <w:rPr>
          <w:rFonts w:hint="eastAsia" w:ascii="宋体" w:hAnsi="宋体" w:eastAsia="宋体" w:cs="宋体"/>
          <w:sz w:val="24"/>
          <w:szCs w:val="24"/>
          <w:highlight w:val="none"/>
          <w:lang w:val="en-US" w:eastAsia="zh-CN"/>
        </w:rPr>
      </w:pPr>
    </w:p>
    <w:p>
      <w:pPr>
        <w:pStyle w:val="2"/>
        <w:numPr>
          <w:ilvl w:val="3"/>
          <w:numId w:val="9"/>
        </w:numPr>
        <w:ind w:firstLine="335" w:firstLineChars="139"/>
        <w:contextualSpacing/>
        <w:jc w:val="left"/>
        <w:rPr>
          <w:rFonts w:hint="eastAsia" w:ascii="宋体" w:hAnsi="宋体" w:eastAsia="宋体" w:cs="宋体"/>
          <w:i w:val="0"/>
          <w:sz w:val="24"/>
          <w:szCs w:val="24"/>
          <w:highlight w:val="none"/>
        </w:rPr>
      </w:pPr>
      <w:r>
        <w:rPr>
          <w:rFonts w:hint="eastAsia" w:ascii="宋体" w:hAnsi="宋体" w:eastAsia="宋体" w:cs="宋体"/>
          <w:sz w:val="24"/>
          <w:szCs w:val="24"/>
          <w:highlight w:val="none"/>
        </w:rPr>
        <w:t>需执行的国家相关标准、行业标准、地方标准或者其他标准、规范</w:t>
      </w:r>
    </w:p>
    <w:p>
      <w:pPr>
        <w:numPr>
          <w:ilvl w:val="0"/>
          <w:numId w:val="10"/>
        </w:numPr>
        <w:adjustRightInd w:val="0"/>
        <w:spacing w:line="360" w:lineRule="auto"/>
        <w:ind w:left="0" w:firstLine="480" w:firstLineChars="200"/>
        <w:jc w:val="left"/>
        <w:textAlignment w:val="baseline"/>
        <w:rPr>
          <w:rFonts w:hint="eastAsia" w:ascii="宋体" w:hAnsi="宋体" w:eastAsia="宋体" w:cs="宋体"/>
          <w:bCs/>
          <w:sz w:val="24"/>
          <w:szCs w:val="24"/>
          <w:highlight w:val="none"/>
        </w:rPr>
      </w:pPr>
      <w:r>
        <w:rPr>
          <w:rFonts w:hint="eastAsia" w:ascii="宋体" w:hAnsi="宋体" w:eastAsia="宋体" w:cs="宋体"/>
          <w:bCs/>
          <w:sz w:val="24"/>
          <w:szCs w:val="24"/>
          <w:highlight w:val="none"/>
        </w:rPr>
        <w:t>《信息安全技术网络安全等级保护定级指南》（GB/T 22240-2020）</w:t>
      </w:r>
    </w:p>
    <w:p>
      <w:pPr>
        <w:numPr>
          <w:ilvl w:val="0"/>
          <w:numId w:val="10"/>
        </w:numPr>
        <w:adjustRightInd w:val="0"/>
        <w:spacing w:line="360" w:lineRule="auto"/>
        <w:ind w:left="0" w:firstLine="480" w:firstLineChars="200"/>
        <w:jc w:val="left"/>
        <w:textAlignment w:val="baseline"/>
        <w:rPr>
          <w:rFonts w:hint="eastAsia" w:ascii="宋体" w:hAnsi="宋体" w:eastAsia="宋体" w:cs="宋体"/>
          <w:bCs/>
          <w:sz w:val="24"/>
          <w:szCs w:val="24"/>
          <w:highlight w:val="none"/>
        </w:rPr>
      </w:pPr>
      <w:r>
        <w:rPr>
          <w:rFonts w:hint="eastAsia" w:ascii="宋体" w:hAnsi="宋体" w:eastAsia="宋体" w:cs="宋体"/>
          <w:bCs/>
          <w:sz w:val="24"/>
          <w:szCs w:val="24"/>
          <w:highlight w:val="none"/>
        </w:rPr>
        <w:t>《信息安全技术网络安全等级保护基本要求》（GB/T 22239-2019）</w:t>
      </w:r>
    </w:p>
    <w:p>
      <w:pPr>
        <w:numPr>
          <w:ilvl w:val="0"/>
          <w:numId w:val="10"/>
        </w:numPr>
        <w:adjustRightInd w:val="0"/>
        <w:spacing w:line="360" w:lineRule="auto"/>
        <w:ind w:left="0" w:firstLine="480" w:firstLineChars="200"/>
        <w:jc w:val="left"/>
        <w:textAlignment w:val="baseline"/>
        <w:rPr>
          <w:rFonts w:hint="eastAsia" w:ascii="宋体" w:hAnsi="宋体" w:eastAsia="宋体" w:cs="宋体"/>
          <w:bCs/>
          <w:sz w:val="24"/>
          <w:szCs w:val="24"/>
          <w:highlight w:val="none"/>
        </w:rPr>
      </w:pPr>
      <w:r>
        <w:rPr>
          <w:rFonts w:hint="eastAsia" w:ascii="宋体" w:hAnsi="宋体" w:eastAsia="宋体" w:cs="宋体"/>
          <w:bCs/>
          <w:sz w:val="24"/>
          <w:szCs w:val="24"/>
          <w:highlight w:val="none"/>
        </w:rPr>
        <w:t>《计算机软件可靠性和可维护性管理》（GB/T14394-2008）</w:t>
      </w:r>
    </w:p>
    <w:p>
      <w:pPr>
        <w:numPr>
          <w:ilvl w:val="0"/>
          <w:numId w:val="10"/>
        </w:numPr>
        <w:adjustRightInd w:val="0"/>
        <w:spacing w:line="360" w:lineRule="auto"/>
        <w:ind w:left="0" w:firstLine="480" w:firstLineChars="200"/>
        <w:jc w:val="left"/>
        <w:textAlignment w:val="baseline"/>
        <w:rPr>
          <w:rFonts w:hint="eastAsia" w:ascii="宋体" w:hAnsi="宋体" w:eastAsia="宋体" w:cs="宋体"/>
          <w:bCs/>
          <w:sz w:val="24"/>
          <w:szCs w:val="24"/>
          <w:highlight w:val="none"/>
        </w:rPr>
      </w:pPr>
      <w:r>
        <w:rPr>
          <w:rFonts w:hint="eastAsia" w:ascii="宋体" w:hAnsi="宋体" w:eastAsia="宋体" w:cs="宋体"/>
          <w:bCs/>
          <w:sz w:val="24"/>
          <w:szCs w:val="24"/>
          <w:highlight w:val="none"/>
        </w:rPr>
        <w:t>《信息安全技术信息系统安全工程管理要求》（GB/T 20282-2006）</w:t>
      </w:r>
    </w:p>
    <w:p>
      <w:pPr>
        <w:numPr>
          <w:ilvl w:val="0"/>
          <w:numId w:val="10"/>
        </w:numPr>
        <w:adjustRightInd w:val="0"/>
        <w:spacing w:line="360" w:lineRule="auto"/>
        <w:ind w:left="0" w:firstLine="480" w:firstLineChars="200"/>
        <w:jc w:val="left"/>
        <w:textAlignment w:val="baseline"/>
        <w:rPr>
          <w:rFonts w:hint="eastAsia" w:ascii="宋体" w:hAnsi="宋体" w:eastAsia="宋体" w:cs="宋体"/>
          <w:bCs/>
          <w:sz w:val="24"/>
          <w:szCs w:val="24"/>
          <w:highlight w:val="none"/>
        </w:rPr>
      </w:pPr>
      <w:r>
        <w:rPr>
          <w:rFonts w:hint="eastAsia" w:ascii="宋体" w:hAnsi="宋体" w:eastAsia="宋体" w:cs="宋体"/>
          <w:bCs/>
          <w:sz w:val="24"/>
          <w:szCs w:val="24"/>
          <w:highlight w:val="none"/>
        </w:rPr>
        <w:t>《信息技术软件工程术语》（GB/T11457-2006）</w:t>
      </w:r>
    </w:p>
    <w:p>
      <w:pPr>
        <w:pStyle w:val="2"/>
        <w:numPr>
          <w:ilvl w:val="2"/>
          <w:numId w:val="9"/>
        </w:numPr>
        <w:ind w:firstLine="335" w:firstLineChars="139"/>
        <w:contextualSpacing/>
        <w:jc w:val="left"/>
        <w:rPr>
          <w:rFonts w:hint="eastAsia" w:ascii="宋体" w:hAnsi="宋体" w:eastAsia="宋体" w:cs="宋体"/>
          <w:i w:val="0"/>
          <w:sz w:val="24"/>
          <w:szCs w:val="24"/>
          <w:highlight w:val="none"/>
        </w:rPr>
      </w:pPr>
      <w:r>
        <w:rPr>
          <w:rFonts w:hint="eastAsia" w:ascii="宋体" w:hAnsi="宋体" w:eastAsia="宋体" w:cs="宋体"/>
          <w:i w:val="0"/>
          <w:sz w:val="24"/>
          <w:szCs w:val="24"/>
          <w:highlight w:val="none"/>
          <w:lang w:val="en-US" w:eastAsia="zh-CN"/>
        </w:rPr>
        <w:t>服务内容及要求/货物技术要求</w:t>
      </w:r>
    </w:p>
    <w:p>
      <w:pPr>
        <w:pStyle w:val="2"/>
        <w:numPr>
          <w:ilvl w:val="3"/>
          <w:numId w:val="9"/>
        </w:numPr>
        <w:ind w:firstLine="335" w:firstLineChars="139"/>
        <w:contextualSpacing/>
        <w:jc w:val="left"/>
        <w:rPr>
          <w:rFonts w:hint="eastAsia" w:ascii="宋体" w:hAnsi="宋体" w:eastAsia="宋体" w:cs="宋体"/>
          <w:i w:val="0"/>
          <w:sz w:val="24"/>
          <w:szCs w:val="24"/>
          <w:highlight w:val="none"/>
        </w:rPr>
      </w:pPr>
      <w:r>
        <w:rPr>
          <w:rFonts w:hint="eastAsia" w:ascii="宋体" w:hAnsi="宋体" w:eastAsia="宋体" w:cs="宋体"/>
          <w:sz w:val="24"/>
          <w:szCs w:val="24"/>
          <w:highlight w:val="none"/>
        </w:rPr>
        <w:t>采购标的需满足的性能、材料、结构、外观、质量、安全、技术规格、物理特性等要求</w:t>
      </w:r>
    </w:p>
    <w:p>
      <w:pPr>
        <w:spacing w:line="360" w:lineRule="auto"/>
        <w:ind w:firstLine="420" w:firstLineChars="0"/>
        <w:rPr>
          <w:rFonts w:hint="eastAsia" w:ascii="宋体" w:hAnsi="宋体" w:eastAsia="宋体" w:cs="宋体"/>
          <w:sz w:val="24"/>
          <w:szCs w:val="24"/>
          <w:highlight w:val="none"/>
        </w:rPr>
      </w:pPr>
    </w:p>
    <w:p>
      <w:pPr>
        <w:pStyle w:val="4"/>
        <w:numPr>
          <w:ilvl w:val="4"/>
          <w:numId w:val="9"/>
        </w:numPr>
        <w:ind w:firstLine="335" w:firstLineChars="139"/>
        <w:contextualSpacing/>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val="en-US" w:eastAsia="zh-CN" w:bidi="ar"/>
        </w:rPr>
        <w:t>操作系统</w:t>
      </w:r>
    </w:p>
    <w:tbl>
      <w:tblPr>
        <w:tblStyle w:val="269"/>
        <w:tblpPr w:leftFromText="180" w:rightFromText="180" w:vertAnchor="text" w:horzAnchor="page" w:tblpX="1811" w:tblpY="295"/>
        <w:tblOverlap w:val="never"/>
        <w:tblW w:w="830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5"/>
        <w:gridCol w:w="1080"/>
        <w:gridCol w:w="1216"/>
        <w:gridCol w:w="1019"/>
        <w:gridCol w:w="45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blHeader/>
        </w:trPr>
        <w:tc>
          <w:tcPr>
            <w:tcW w:w="485" w:type="dxa"/>
            <w:noWrap w:val="0"/>
            <w:vAlign w:val="center"/>
          </w:tcPr>
          <w:p>
            <w:pPr>
              <w:pStyle w:val="504"/>
              <w:numPr>
                <w:ilvl w:val="0"/>
                <w:numId w:val="0"/>
              </w:numPr>
              <w:autoSpaceDE w:val="0"/>
              <w:autoSpaceDN w:val="0"/>
              <w:bidi w:val="0"/>
              <w:spacing w:line="240" w:lineRule="auto"/>
              <w:ind w:left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080" w:type="dxa"/>
            <w:tcBorders>
              <w:bottom w:val="single" w:color="auto" w:sz="4" w:space="0"/>
            </w:tcBorders>
            <w:noWrap w:val="0"/>
            <w:vAlign w:val="center"/>
          </w:tcPr>
          <w:p>
            <w:pPr>
              <w:autoSpaceDE w:val="0"/>
              <w:autoSpaceDN w:val="0"/>
              <w:bidi w:val="0"/>
              <w:spacing w:line="24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指标分类</w:t>
            </w:r>
          </w:p>
        </w:tc>
        <w:tc>
          <w:tcPr>
            <w:tcW w:w="1216" w:type="dxa"/>
            <w:tcBorders>
              <w:bottom w:val="single" w:color="auto" w:sz="4" w:space="0"/>
            </w:tcBorders>
            <w:noWrap w:val="0"/>
            <w:vAlign w:val="center"/>
          </w:tcPr>
          <w:p>
            <w:pPr>
              <w:autoSpaceDE w:val="0"/>
              <w:autoSpaceDN w:val="0"/>
              <w:bidi w:val="0"/>
              <w:spacing w:line="24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一级指标</w:t>
            </w:r>
          </w:p>
        </w:tc>
        <w:tc>
          <w:tcPr>
            <w:tcW w:w="1019" w:type="dxa"/>
            <w:tcBorders>
              <w:bottom w:val="single" w:color="auto" w:sz="4" w:space="0"/>
            </w:tcBorders>
            <w:noWrap w:val="0"/>
            <w:vAlign w:val="center"/>
          </w:tcPr>
          <w:p>
            <w:pPr>
              <w:autoSpaceDE w:val="0"/>
              <w:autoSpaceDN w:val="0"/>
              <w:bidi w:val="0"/>
              <w:spacing w:line="240" w:lineRule="auto"/>
              <w:jc w:val="center"/>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rPr>
              <w:t>二级指标</w:t>
            </w:r>
          </w:p>
        </w:tc>
        <w:tc>
          <w:tcPr>
            <w:tcW w:w="4507" w:type="dxa"/>
            <w:tcBorders>
              <w:bottom w:val="single" w:color="auto" w:sz="4" w:space="0"/>
            </w:tcBorders>
            <w:noWrap w:val="0"/>
            <w:vAlign w:val="center"/>
          </w:tcPr>
          <w:p>
            <w:pPr>
              <w:autoSpaceDE w:val="0"/>
              <w:autoSpaceDN w:val="0"/>
              <w:bidi w:val="0"/>
              <w:spacing w:line="24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指标要求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tcBorders>
              <w:right w:val="single" w:color="auto" w:sz="4" w:space="0"/>
            </w:tcBorders>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操作系统支持多CPU架构</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★同源兼容多CPU平台架构</w:t>
            </w:r>
          </w:p>
        </w:tc>
        <w:tc>
          <w:tcPr>
            <w:tcW w:w="450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操作系统支持同源兼容ARM、LoongArch、MIPS、SW64、x86架构的CPU</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tcBorders>
              <w:right w:val="single" w:color="auto" w:sz="4" w:space="0"/>
            </w:tcBorders>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功能要求</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操作系统支持多CPU品牌</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支持多CPU品牌</w:t>
            </w:r>
          </w:p>
        </w:tc>
        <w:tc>
          <w:tcPr>
            <w:tcW w:w="450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支持龙芯、兆芯、飞腾、鲲鹏、海光等主流CPU品牌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tcBorders>
              <w:right w:val="single" w:color="auto" w:sz="4" w:space="0"/>
            </w:tcBorders>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操作系统支持CPU内置功能</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★多核支持</w:t>
            </w:r>
          </w:p>
        </w:tc>
        <w:tc>
          <w:tcPr>
            <w:tcW w:w="450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操作系统支持双核及多核处理器，包括核间负载均衡、线程绑定等，并提供接口，通过访问接口获取运行状态和控制多核调度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top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tcBorders>
              <w:top w:val="single" w:color="auto" w:sz="4" w:space="0"/>
              <w:bottom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tcBorders>
              <w:top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★CPU虚拟化支持</w:t>
            </w:r>
          </w:p>
        </w:tc>
        <w:tc>
          <w:tcPr>
            <w:tcW w:w="4507" w:type="dxa"/>
            <w:tcBorders>
              <w:top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操作系统支持CPU虚拟化技术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tcBorders>
              <w:top w:val="nil"/>
              <w:bottom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★动态调节CPU运行频率</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操作系统根据负载情况，自动调节CPU的运行频率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tcBorders>
              <w:top w:val="nil"/>
              <w:bottom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★支持多CPU</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支持跨路内存访问，支持CPU间负载均衡，支持并优化NUMA体系架构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tcBorders>
              <w:top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★支持CPU内置安全功能</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操作系统支持CPU硬件密码运算与随机数生成等功能；提供编程接口供应用程序调用；支持通过硬件指令判别临界区冲突；支持调用CPU指令，实现自旋锁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restart"/>
            <w:tcBorders>
              <w:bottom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安装部署</w:t>
            </w: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★安装方式</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操作系统支持光盘安装、USB闪存盘安装、网络安装和无人值守安装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tcBorders>
              <w:top w:val="nil"/>
              <w:bottom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★安装模式</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操作系统支持图形或文本安装模式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tcBorders>
              <w:top w:val="nil"/>
              <w:bottom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★安装过程配置</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安装界面文种设置、逻辑分区配置（如LVM）、自定义分区设置、安装组件设置、时区设置、键盘布局设置、初始用户设置、计算机名设置和网络设置，支持通过USB闪存盘等方式加载硬件驱动、支持设置加密文件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tcBorders>
              <w:top w:val="nil"/>
              <w:bottom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★系统引导</w:t>
            </w:r>
          </w:p>
        </w:tc>
        <w:tc>
          <w:tcPr>
            <w:tcW w:w="4507" w:type="dxa"/>
            <w:noWrap w:val="0"/>
            <w:vAlign w:val="center"/>
          </w:tcPr>
          <w:p>
            <w:pPr>
              <w:numPr>
                <w:ilvl w:val="0"/>
                <w:numId w:val="12"/>
              </w:num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操作系统应支持UEFI2.0及以上规范固件引导，当计算机以UEFI模式启动安装时，安装程序应分配ESP，并在ESP中放置启动引导文件，使系统能以UEFI模式引导；</w:t>
            </w:r>
          </w:p>
          <w:p>
            <w:pPr>
              <w:numPr>
                <w:ilvl w:val="0"/>
                <w:numId w:val="12"/>
              </w:num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支持bootloader引导，支持MBR及GPT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tcBorders>
              <w:top w:val="nil"/>
              <w:bottom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★引导修复</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操作系统安装媒体提供系统引导修复功能，当已安装的系统引导被破坏时，可重建系统引导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tcBorders>
              <w:top w:val="nil"/>
              <w:bottom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★引导参数编辑</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操作系统支持用户编辑引导参数，支持GRUB口令保护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tcBorders>
              <w:top w:val="nil"/>
              <w:bottom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★数据保护</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安装程序在安装执行前明确提示用户可能会删除已有数据，并提供退出/取消功能，当用户取消安装时，不改变硬盘上已有数据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tcBorders>
              <w:top w:val="nil"/>
              <w:bottom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★分辨率自适应</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操作系统安装完成后应自动适配显示器最佳分辨率(文本模式除外)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tcBorders>
              <w:top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★安装配置正确性校验</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操作系统安装和配置过程中，如用户自定义的某些配置可能会影响系统启动或正常使用，予以明确提示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系统内核</w:t>
            </w: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★内核要求</w:t>
            </w:r>
          </w:p>
        </w:tc>
        <w:tc>
          <w:tcPr>
            <w:tcW w:w="4507" w:type="dxa"/>
            <w:noWrap w:val="0"/>
            <w:vAlign w:val="center"/>
          </w:tcPr>
          <w:p>
            <w:pPr>
              <w:numPr>
                <w:ilvl w:val="0"/>
                <w:numId w:val="13"/>
              </w:num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若操作系统是基于Linux内核的服务器操作系统应兼容4.19版内核</w:t>
            </w:r>
          </w:p>
          <w:p>
            <w:pPr>
              <w:numPr>
                <w:ilvl w:val="0"/>
                <w:numId w:val="13"/>
              </w:numPr>
              <w:autoSpaceDE w:val="0"/>
              <w:autoSpaceDN w:val="0"/>
              <w:bidi w:val="0"/>
              <w:spacing w:line="24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若操作系统属于其他类型内核不做要求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restart"/>
            <w:tcBorders>
              <w:bottom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进程、线程调度</w:t>
            </w: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★NUMA</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操作系统支持基于NUMA的亲和调度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tcBorders>
              <w:top w:val="nil"/>
              <w:bottom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★多核轮询</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操作系统支持CPU多核轮询调度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tcBorders>
              <w:top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★进程调度</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操作系统具备进程优先级动态调整能力，允许在进程运行时对优先级进行调整；区分实时进程与非实时进程，分别进行调度；支持进程运行状态检查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restart"/>
            <w:tcBorders>
              <w:bottom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内存管理</w:t>
            </w: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★内存容量</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操作系统支持最大内存不小于4TB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tcBorders>
              <w:top w:val="nil"/>
              <w:bottom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★内存大页管理</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操作系统允许应用申请内存大页降低页表转换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tcBorders>
              <w:top w:val="nil"/>
              <w:bottom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★NUMA</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操作系统支持NUMA近节点优化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right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restart"/>
            <w:tcBorders>
              <w:top w:val="single" w:color="auto" w:sz="4" w:space="0"/>
              <w:left w:val="single" w:color="auto" w:sz="4" w:space="0"/>
              <w:bottom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存储管理</w:t>
            </w:r>
          </w:p>
        </w:tc>
        <w:tc>
          <w:tcPr>
            <w:tcW w:w="1019" w:type="dxa"/>
            <w:tcBorders>
              <w:top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★RAID支持</w:t>
            </w:r>
          </w:p>
        </w:tc>
        <w:tc>
          <w:tcPr>
            <w:tcW w:w="4507" w:type="dxa"/>
            <w:tcBorders>
              <w:lef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操作系统支持硬RAID和软RAID，支持软RAID级别0、1、5、6、10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right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tcBorders>
              <w:top w:val="nil"/>
              <w:left w:val="single" w:color="auto" w:sz="4" w:space="0"/>
              <w:bottom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tcBorders>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★虚拟文件系统</w:t>
            </w:r>
          </w:p>
        </w:tc>
        <w:tc>
          <w:tcPr>
            <w:tcW w:w="4507" w:type="dxa"/>
            <w:tcBorders>
              <w:lef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操作系统支持将不同功能的外部设备抽象为统一的文件操作接口，包括存储、输入输出设备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right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tcBorders>
              <w:top w:val="nil"/>
              <w:left w:val="single" w:color="auto" w:sz="4" w:space="0"/>
              <w:bottom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tcBorders>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★文件管理</w:t>
            </w:r>
          </w:p>
        </w:tc>
        <w:tc>
          <w:tcPr>
            <w:tcW w:w="4507" w:type="dxa"/>
            <w:tcBorders>
              <w:lef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操作系统支持文件存储、检索和共享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right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tcBorders>
              <w:top w:val="nil"/>
              <w:left w:val="single" w:color="auto" w:sz="4" w:space="0"/>
              <w:bottom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tcBorders>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★可移动存储</w:t>
            </w:r>
          </w:p>
        </w:tc>
        <w:tc>
          <w:tcPr>
            <w:tcW w:w="4507" w:type="dxa"/>
            <w:tcBorders>
              <w:lef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操作系统支持对可移动外部存储的管理，包括启停、禁用、恢复等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right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tcBorders>
              <w:top w:val="nil"/>
              <w:left w:val="single" w:color="auto" w:sz="4" w:space="0"/>
              <w:bottom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tcBorders>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★外部独立存储</w:t>
            </w:r>
          </w:p>
        </w:tc>
        <w:tc>
          <w:tcPr>
            <w:tcW w:w="4507" w:type="dxa"/>
            <w:tcBorders>
              <w:lef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操作系统支持使用外部独立存储设备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right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tcBorders>
              <w:top w:val="nil"/>
              <w:left w:val="single" w:color="auto" w:sz="4" w:space="0"/>
              <w:bottom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tcBorders>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★多路径聚合</w:t>
            </w:r>
          </w:p>
        </w:tc>
        <w:tc>
          <w:tcPr>
            <w:tcW w:w="4507" w:type="dxa"/>
            <w:tcBorders>
              <w:lef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操作系统支持存储多路径聚合及I/O动态负载均衡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right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tcBorders>
              <w:top w:val="nil"/>
              <w:left w:val="single" w:color="auto" w:sz="4" w:space="0"/>
              <w:bottom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tcBorders>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故障检测</w:t>
            </w:r>
          </w:p>
        </w:tc>
        <w:tc>
          <w:tcPr>
            <w:tcW w:w="4507" w:type="dxa"/>
            <w:tcBorders>
              <w:lef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操作系统支持硬盘损坏或老化检测及信息收集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right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tcBorders>
              <w:top w:val="nil"/>
              <w:left w:val="single" w:color="auto" w:sz="4" w:space="0"/>
              <w:bottom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tcBorders>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★虚拟内存</w:t>
            </w:r>
          </w:p>
        </w:tc>
        <w:tc>
          <w:tcPr>
            <w:tcW w:w="4507" w:type="dxa"/>
            <w:tcBorders>
              <w:lef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操作系统支持将硬盘的特定分区或文件作为虚拟扩展内存用于存放内存数据，支持虚拟内存压缩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right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tcBorders>
              <w:top w:val="nil"/>
              <w:left w:val="single" w:color="auto" w:sz="4" w:space="0"/>
              <w:bottom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tcBorders>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★网络块设备挂载</w:t>
            </w:r>
          </w:p>
        </w:tc>
        <w:tc>
          <w:tcPr>
            <w:tcW w:w="4507" w:type="dxa"/>
            <w:tcBorders>
              <w:lef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操作系统支持FCoE、iSCSI，支持将Ceph块设备视为常规存储设备挂载到某个目录并作为标准文件系统使用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restart"/>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网络管理</w:t>
            </w: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★网络链路检测</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操作系统支持网络链路故障检测、链路事件通知和链路状态查询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★TCP卸载引擎</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操作系统支持运行TCP协议卸载引擎的网卡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★网络协议</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操作系统支持IPv4、IPv6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bottom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tcBorders>
              <w:bottom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tcBorders>
              <w:bottom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★多网卡绑定</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操作系统支持多网卡绑定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tcBorders>
              <w:right w:val="single" w:color="auto" w:sz="4" w:space="0"/>
            </w:tcBorders>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文件系统</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★文件系统支持</w:t>
            </w:r>
          </w:p>
        </w:tc>
        <w:tc>
          <w:tcPr>
            <w:tcW w:w="4507" w:type="dxa"/>
            <w:tcBorders>
              <w:lef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操作系统支持XFS、EXT3、EXT4、NTFS、FAT32等文件系统，支持相应格式分区创建、删除、格式化等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top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tcBorders>
              <w:top w:val="single" w:color="auto" w:sz="4" w:space="0"/>
              <w:bottom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tcBorders>
              <w:top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★日志式文件系统</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操作系统支持日志式文件系统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tcBorders>
              <w:top w:val="nil"/>
              <w:bottom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★文件处理能力</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操作系统支持最大文件不小于4TB，最大分区与文件系统不小于10PB，最大文件名长度不小于255字节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tcBorders>
              <w:top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★分区大小调整</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操作系统支持动态调整分区大小，对系统分区容量进行改变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tcBorders>
              <w:right w:val="single" w:color="auto" w:sz="4" w:space="0"/>
            </w:tcBorders>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top w:val="single" w:color="auto" w:sz="4" w:space="0"/>
              <w:left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restart"/>
            <w:tcBorders>
              <w:top w:val="single" w:color="auto" w:sz="4" w:space="0"/>
              <w:bottom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应用开发运行环境</w:t>
            </w:r>
          </w:p>
        </w:tc>
        <w:tc>
          <w:tcPr>
            <w:tcW w:w="1019" w:type="dxa"/>
            <w:tcBorders>
              <w:top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★集成开发环境/开发框架</w:t>
            </w:r>
          </w:p>
        </w:tc>
        <w:tc>
          <w:tcPr>
            <w:tcW w:w="4507" w:type="dxa"/>
            <w:tcBorders>
              <w:top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操作系统通过内置、软件仓库或附加光盘等方式提供开发环境，包括Qt、Eclipse、VSCode等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tcBorders>
              <w:right w:val="single" w:color="auto" w:sz="4" w:space="0"/>
            </w:tcBorders>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left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tcBorders>
              <w:top w:val="nil"/>
              <w:bottom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★开发工具库</w:t>
            </w:r>
          </w:p>
        </w:tc>
        <w:tc>
          <w:tcPr>
            <w:tcW w:w="4507" w:type="dxa"/>
            <w:tcBorders>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操作系统通过内置、软件仓库或附加光盘等方式提供开发库，包括GNUC、GNUC++、Java、Qt、Gtk+、Cairo、OpenGL、Perl、Python、Ruby、Rust、Golang、JS等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tcBorders>
              <w:right w:val="single" w:color="auto" w:sz="4" w:space="0"/>
            </w:tcBorders>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left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tcBorders>
              <w:top w:val="nil"/>
              <w:bottom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★编译器开发工具</w:t>
            </w:r>
          </w:p>
        </w:tc>
        <w:tc>
          <w:tcPr>
            <w:tcW w:w="4507" w:type="dxa"/>
            <w:tcBorders>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操作系统通过内置、软件仓库或附加光盘等方式提供编译开发工具，包括GCC、G++、Binutils、GDB、Make、CMake等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485" w:type="dxa"/>
            <w:tcBorders>
              <w:right w:val="single" w:color="auto" w:sz="4" w:space="0"/>
            </w:tcBorders>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left w:val="single" w:color="auto" w:sz="4" w:space="0"/>
              <w:bottom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tcBorders>
              <w:top w:val="nil"/>
              <w:bottom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tcBorders>
              <w:bottom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★文本编辑工具</w:t>
            </w:r>
          </w:p>
        </w:tc>
        <w:tc>
          <w:tcPr>
            <w:tcW w:w="4507" w:type="dxa"/>
            <w:tcBorders>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操作系统通过内置、软件仓库或附加光盘等方式提供文本编辑工具，包括Emacs、Vim等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tcBorders>
              <w:right w:val="single" w:color="auto" w:sz="4" w:space="0"/>
            </w:tcBorders>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top w:val="single" w:color="auto" w:sz="4" w:space="0"/>
              <w:left w:val="single" w:color="auto" w:sz="4" w:space="0"/>
              <w:bottom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tcBorders>
              <w:top w:val="single" w:color="auto" w:sz="4" w:space="0"/>
              <w:bottom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tcBorders>
              <w:top w:val="single" w:color="auto" w:sz="4" w:space="0"/>
              <w:bottom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★软件包管理</w:t>
            </w:r>
          </w:p>
        </w:tc>
        <w:tc>
          <w:tcPr>
            <w:tcW w:w="4507" w:type="dxa"/>
            <w:tcBorders>
              <w:top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操作系统支持查询软件包描述和包含文件，以及软件包依赖；</w:t>
            </w:r>
          </w:p>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支持在安装时自动提示并下载安装缺失的依赖软件包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top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tcBorders>
              <w:top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tcBorders>
              <w:top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★开发文档</w:t>
            </w:r>
          </w:p>
        </w:tc>
        <w:tc>
          <w:tcPr>
            <w:tcW w:w="4507" w:type="dxa"/>
            <w:tcBorders>
              <w:top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供应商应提供软件开发参考文档、驱动开发参考文档、应用移植开发文档、API文档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restart"/>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服务支持</w:t>
            </w: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★网络服务</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操作系统支持TCP/UDP</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★网络共享</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操作系统支持基于NFS、SMB、FTP、CIFS等协议的数据网络共享服务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★WEB服务</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操作系统支持基于HTTP、HTTPS、FastCGI等协议WEB服务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★加密传输服务</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操作系统支持基于IPSec和SSL协议的隧道加密传输服务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★数字证书服务</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操作系统支持基于PKI体系的数字证书服务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★访问控制服务</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操作系统支持基于RBAC(基于角色的访问控制)机制的访问控制服务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★网络管理服务</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操作系统支持基于SNMP、NETCONF、RESTCONF等协议的网络管理服务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★时间同步服务</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操作系统支持基于NTP协议网络时间同步服务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★远程连接服务</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操作系统支持RPC、rsync、SSH等远程服务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★邮件服务</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操作系统支持基于SMTP、POP3、IMAP等的邮件服务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★身份鉴别服务</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操作系统支持基于轻量级目录访问协议的统一身份鉴别服务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vMerge w:val="restart"/>
            <w:tcBorders>
              <w:bottom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★数据存储和查询服务</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操作系统支持结构化和非结构化格式数据的存储和查询服务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vMerge w:val="continue"/>
            <w:tcBorders>
              <w:top w:val="nil"/>
              <w:bottom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操作系统支持块、文件、对象等类型的数据存储服务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vMerge w:val="continue"/>
            <w:tcBorders>
              <w:top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操作系统支持SQL、NoSQL、键值等类型的数据库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★存储服务</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操作系统支持多种传输速率和存储协议的SAN和NAS存储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vMerge w:val="restart"/>
            <w:tcBorders>
              <w:bottom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★集群支持</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操作系统支持服务基于主备机制的分布式集群、高可用集群的部署模式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vMerge w:val="continue"/>
            <w:tcBorders>
              <w:top w:val="nil"/>
              <w:bottom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操作系统支持服务基于分布式通信协议的分布式集群、高可用集群的部署模式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vMerge w:val="continue"/>
            <w:tcBorders>
              <w:top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操作系统支持基于虚拟路由器冗余协议的高可用集群部署模式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★分布式服务</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操作系统支持基于同步、异步请求处理机制的分布式服务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vMerge w:val="restart"/>
            <w:tcBorders>
              <w:bottom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★负载均衡模式</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操作系统支持基于OSI模型的4/7层和链路层的负载均衡模式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vMerge w:val="continue"/>
            <w:tcBorders>
              <w:top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操作系统支持基于不同调度算法的负载均衡模式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★高可用服务</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操作系统提供对HA的支持，支持多种集群配置模式，包括主主模式、主备模式、N+1模式和N+M模式，支持资源及节点故障检测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tcBorders>
              <w:right w:val="single" w:color="auto" w:sz="4" w:space="0"/>
            </w:tcBorders>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虚拟化</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★虚拟化部署</w:t>
            </w:r>
          </w:p>
        </w:tc>
        <w:tc>
          <w:tcPr>
            <w:tcW w:w="4507" w:type="dxa"/>
            <w:tcBorders>
              <w:lef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操作系统支持在KVM、Xen、Hyper-V虚拟机上安装部署操作系统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tcBorders>
              <w:right w:val="single" w:color="auto" w:sz="4" w:space="0"/>
            </w:tcBorders>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★内核虚拟化(KVM)</w:t>
            </w:r>
          </w:p>
        </w:tc>
        <w:tc>
          <w:tcPr>
            <w:tcW w:w="4507" w:type="dxa"/>
            <w:tcBorders>
              <w:lef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操作系统支持KVM虚拟化：</w:t>
            </w:r>
          </w:p>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对虚拟机进行启、停等管理操作；对虚拟机硬盘做快照并从快照恢复；兼容qemu、libvirt标准接口；支持UEFI或legacyBIOS方式启动；</w:t>
            </w:r>
          </w:p>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支持虚拟时钟arch-timer；支持虚拟鼠标、键盘、触控板、声卡、显卡、硬盘、CDROM、串口pty/pipe/file等设备；支持Virtio协议下的虚拟设备，包括串口、blk驱动硬盘、SCSI驱动硬盘、不同后端控制器类型的Virtio网卡(包括内核态、用户态、qemu)、GPU、vsock设备等；支持硬盘和网卡选择类型VFIO设备；支持虚拟机CPU、内存、网卡、硬盘等离线调整；支持虚拟机网卡、硬盘、USB设备热插拔；支持PCI/PCIE设备直通；支持虚拟机热迁移和加密传输；支持虚拟机远程访问；支持虚拟机CPU和I/O线程绑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top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tcBorders>
              <w:top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tcBorders>
              <w:top w:val="single" w:color="auto" w:sz="4" w:space="0"/>
            </w:tcBorders>
            <w:noWrap w:val="0"/>
            <w:vAlign w:val="center"/>
          </w:tcPr>
          <w:p>
            <w:pPr>
              <w:keepNext w:val="0"/>
              <w:keepLines w:val="0"/>
              <w:pageBreakBefore w:val="0"/>
              <w:widowControl w:val="0"/>
              <w:kinsoku w:val="0"/>
              <w:wordWrap w:val="0"/>
              <w:overflowPunct/>
              <w:topLinePunct w:val="0"/>
              <w:autoSpaceDE/>
              <w:autoSpaceDN/>
              <w:bidi w:val="0"/>
              <w:adjustRightInd/>
              <w:snapToGrid/>
              <w:spacing w:line="24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★KVM虚拟机管理</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虚拟机对主机的访问控制；虚拟机可以拥有独立的物理资源，且各个虚拟机之间严格隔离；支持大页内存运行虚拟机；支持三种CPU型号模拟模式，包括直通、宿主模型、自定义；支持虚拟机资源调配控制，包括Numa、CPU、内存、I/O、网卡；支持CPU拓扑模拟和透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restart"/>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容器</w:t>
            </w: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★容器虚拟化</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OCI；支持进程命名空间隔离技术包括不限于mnt、pid、ipc、uts、user、network等；支持在同CPU指令架构下的不同规格硬件上无缝分发，保障运行兼容性；支持沙箱扩展；支持面向容器的独立逻辑文件管理，具备在容器创建时指定专用根文件夹，容器内进程文件访问重定向等功能；支持日志查询功能；支持通过控制终端对容器内主进程的标准输入输出对接交互；支持通过控制终端对容器内新建进程的标准输入输出对接交互；支持容器存储卷管理（新增、删除、卷容量配置、自动回收）、卷共享；支持面向容器的网络设备资源分配和使用；支持CNI；支持容器获取物理节点资源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★容器镜像和存储管理</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操作系统支持容器镜像导入、导出；支持容器镜像分层保存、导入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★容器资源隔离和调配</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容器资源在线调整，包括CPU资源、内存资源、I/O资源等；支持文件配额分配、存储带宽资源使用量监控等机制，实现容器级I/O控制能力；支持面向容器的网络带宽调度策略，实现容器级网络带宽分配、使用量监控等机制；支持面向容器的存储空间使用监控、分配机制；支持容器CPU核独占；支持面向容器的CPU时间片资源按需划分机制；支持面向容器的内存分配和回收机制，实现内存使用量跟踪和管理；支持同一集群在线、离线业务混合部署；支持对容器的编排、负载均衡、调度等能力；支持根据容器在线与离线混合部署状态进行资源优先调度，提高计算机资源利用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bottom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易用性要求</w:t>
            </w:r>
          </w:p>
        </w:tc>
        <w:tc>
          <w:tcPr>
            <w:tcW w:w="1216" w:type="dxa"/>
            <w:vMerge w:val="restart"/>
            <w:tcBorders>
              <w:bottom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中文支持</w:t>
            </w:r>
          </w:p>
        </w:tc>
        <w:tc>
          <w:tcPr>
            <w:tcW w:w="1019" w:type="dxa"/>
            <w:tcBorders>
              <w:bottom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★字符编码集</w:t>
            </w:r>
          </w:p>
        </w:tc>
        <w:tc>
          <w:tcPr>
            <w:tcW w:w="4507" w:type="dxa"/>
            <w:tcBorders>
              <w:bottom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操作系统应符合GB18030的要求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tcBorders>
              <w:right w:val="single" w:color="auto" w:sz="4" w:space="0"/>
            </w:tcBorders>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易用性要求</w:t>
            </w:r>
          </w:p>
        </w:tc>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★中文帮助文档</w:t>
            </w:r>
          </w:p>
        </w:tc>
        <w:tc>
          <w:tcPr>
            <w:tcW w:w="450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操作系统内置中文帮助文档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tcBorders>
              <w:right w:val="single" w:color="auto" w:sz="4" w:space="0"/>
            </w:tcBorders>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易用性要求</w:t>
            </w:r>
          </w:p>
        </w:tc>
        <w:tc>
          <w:tcPr>
            <w:tcW w:w="1216"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管理工具</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★系统信息查看工具</w:t>
            </w:r>
          </w:p>
        </w:tc>
        <w:tc>
          <w:tcPr>
            <w:tcW w:w="450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操作系统支持查看系统版本、内核版本、内存容量、CPU型号等信息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top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易用性要求</w:t>
            </w:r>
          </w:p>
        </w:tc>
        <w:tc>
          <w:tcPr>
            <w:tcW w:w="1216" w:type="dxa"/>
            <w:vMerge w:val="continue"/>
            <w:tcBorders>
              <w:top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tcBorders>
              <w:top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★网络管理工具</w:t>
            </w:r>
          </w:p>
        </w:tc>
        <w:tc>
          <w:tcPr>
            <w:tcW w:w="4507" w:type="dxa"/>
            <w:tcBorders>
              <w:top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操作系统支持多网口自动连接、网络地址（常被称为“IP地址”）设置、DNS设置、路由设置；支持多网卡链路聚合，模式类型包括但不仅限于轮询、主备、802.3AD动态链路聚合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易用性要求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★日期和时间管理工具</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操作系统可设置时间同步服务器地址，支持局域网和广域网的同步设置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易用性要求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★日志服务管理工具</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操作系统支持收集系统日志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易用性要求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★帐户管理工具</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操作系统支持帐户添加、删除、属性修改等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易用性要求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★用户操作审计工具</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操作系统支持用户操作痕迹查询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易用性要求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★存储管理工具</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操作系统支持EXT、XFS、NTFS、FAT、SWAP等多种格式的分区管理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易用性要求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★SNMP协议工具包</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操作系统支持SNMP设备和操作信息检索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易用性要求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★文本终端连接工具</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操作系统支持多终端协同管理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易用性要求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★服务管理工具集</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操作系统支持服务启动与停止，查看服务状态及日志，查询服务启动顺序及依赖关系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易用性要求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★配置管理工具</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操作系统提供配置管理工具，可以简化任务配置及服务管理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易用性要求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★监控管理工具</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操作系统支持监控系统资源使用情况，包含CPU、内存、存储I/O、网络I/O等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易用性要求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★守护进程</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操作系统支持按需启动守护进程，用户可自定义设定需求守护的进程，如遇异常可重新加载，实现应用持续运行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兼容性要求</w:t>
            </w:r>
          </w:p>
        </w:tc>
        <w:tc>
          <w:tcPr>
            <w:tcW w:w="1216" w:type="dxa"/>
            <w:vMerge w:val="restart"/>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基础组件兼容</w:t>
            </w: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★版本兼容</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操作系统基础运行库或开发环境向后（向下）兼容，即系统版本升级后，能兼容上一版本所运行的软件与设备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兼容性要求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★兼容周期</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操作系统主版本兼容维护时间自发布之日起不低于5年，包括但不限于安全修复、功能升级、新硬件支持等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兼容性要求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数据库兼容性</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支持达梦、人大金仓、神舟通用等国内数据库品牌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兼容性要求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中间件兼容性</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支持金蝶、中创、东方通、宝兰德等国内中间件品牌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兼容性要求</w:t>
            </w:r>
          </w:p>
        </w:tc>
        <w:tc>
          <w:tcPr>
            <w:tcW w:w="1216" w:type="dxa"/>
            <w:vMerge w:val="restart"/>
            <w:tcBorders>
              <w:bottom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运行环境</w:t>
            </w: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★文件系统层次结构</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供应商应给出长期兼容支持的文件系统层次结构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兼容性要求</w:t>
            </w:r>
          </w:p>
        </w:tc>
        <w:tc>
          <w:tcPr>
            <w:tcW w:w="1216" w:type="dxa"/>
            <w:vMerge w:val="continue"/>
            <w:tcBorders>
              <w:top w:val="nil"/>
              <w:bottom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★运行库</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供应商应给出长期兼容支持的运行库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兼容性要求</w:t>
            </w:r>
          </w:p>
        </w:tc>
        <w:tc>
          <w:tcPr>
            <w:tcW w:w="1216" w:type="dxa"/>
            <w:vMerge w:val="continue"/>
            <w:tcBorders>
              <w:top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★命令</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供应商应给出长期兼容支持的常用命令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兼容性要求</w:t>
            </w:r>
          </w:p>
        </w:tc>
        <w:tc>
          <w:tcPr>
            <w:tcW w:w="1216" w:type="dxa"/>
            <w:vMerge w:val="restart"/>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软件兼容</w:t>
            </w: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★集群软件</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供应商提供兼容的集群软件清单，且至少兼容一款产品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兼容性要求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★虚拟化云平台</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供应商提供兼容的虚拟化平台软件清单，且至少兼容三款产品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兼容性要求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★容器云</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供应商提供兼容的容器云软件清单，且至少兼容三款产品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兼容性要求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★存储软件</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供应商提供兼容的存储软件清单，且至少兼容一款产品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兼容性要求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★数据库管理系统</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供应商提供兼容的数据库软件清单，且至少兼容三款产品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兼容性要求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★中间件</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供应商提供兼容的中间件软件清单，且至少兼容三款产品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兼容性要求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★运维平台</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供应商提供兼容的运维平台软件清单，且至少兼容一款产品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兼容性要求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★备份软件</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供应商提供兼容的备份恢复软件清单，且至少兼容一款产品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兼容性要求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★大数据平台</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供应商提供兼容的大数据平台软件清单，且至少兼容一款产品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兼容性要求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★终端防护及杀毒</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供应商提供兼容的终端防护及杀毒软件清单，且至少兼容一款产品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兼容性要求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★网络防护</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供应商提供兼容的网络防护软件清单，且至少兼容一款产品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兼容性要求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★身份认证</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供应商提供兼容的身份认证软件清单，且至少兼容一款产品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兼容性要求</w:t>
            </w:r>
          </w:p>
        </w:tc>
        <w:tc>
          <w:tcPr>
            <w:tcW w:w="1216" w:type="dxa"/>
            <w:vMerge w:val="restart"/>
            <w:tcBorders>
              <w:bottom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硬件兼容</w:t>
            </w: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★服务器整机</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供应商提供兼容的服务器整机品牌及型号清单，且至少兼容一款产品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兼容性要求</w:t>
            </w:r>
          </w:p>
        </w:tc>
        <w:tc>
          <w:tcPr>
            <w:tcW w:w="1216" w:type="dxa"/>
            <w:vMerge w:val="continue"/>
            <w:tcBorders>
              <w:top w:val="nil"/>
              <w:bottom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★AI服务器</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供应商提供兼容的AI服务器整机品牌及型号清单，且至少兼容一款产品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兼容性要求</w:t>
            </w:r>
          </w:p>
        </w:tc>
        <w:tc>
          <w:tcPr>
            <w:tcW w:w="1216" w:type="dxa"/>
            <w:vMerge w:val="continue"/>
            <w:tcBorders>
              <w:top w:val="nil"/>
              <w:bottom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★存储</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供应商提供兼容的存储服务器整机品牌及型号清单，且至少兼容一款产品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兼容性要求</w:t>
            </w:r>
          </w:p>
        </w:tc>
        <w:tc>
          <w:tcPr>
            <w:tcW w:w="1216" w:type="dxa"/>
            <w:vMerge w:val="continue"/>
            <w:tcBorders>
              <w:top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★部件兼容</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供应商提供兼容的系统总线、HBA卡、RAID卡、网卡、光纤卡、AI加速卡、GPU、NPU等品牌及型号清单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可靠性要求</w:t>
            </w:r>
          </w:p>
        </w:tc>
        <w:tc>
          <w:tcPr>
            <w:tcW w:w="1216"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稳定性</w:t>
            </w: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★操作系统连续运行168小时</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操作系统高负载下连续常态运行168小时无故障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bottom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可靠性要求</w:t>
            </w:r>
          </w:p>
        </w:tc>
        <w:tc>
          <w:tcPr>
            <w:tcW w:w="1216" w:type="dxa"/>
            <w:tcBorders>
              <w:bottom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备份还原</w:t>
            </w:r>
          </w:p>
        </w:tc>
        <w:tc>
          <w:tcPr>
            <w:tcW w:w="1019" w:type="dxa"/>
            <w:tcBorders>
              <w:bottom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★备份还原</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操作系统提供备份还原功能，支持生成系统状态快照及恢复系统状态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tcBorders>
              <w:right w:val="single" w:color="auto" w:sz="4" w:space="0"/>
            </w:tcBorders>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可靠性要求</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内存纠错</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★内存纠错</w:t>
            </w:r>
          </w:p>
        </w:tc>
        <w:tc>
          <w:tcPr>
            <w:tcW w:w="4507" w:type="dxa"/>
            <w:tcBorders>
              <w:lef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操作系统支持DDR3、DDR4等内存上的ECC查错、纠错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tcBorders>
              <w:right w:val="single" w:color="auto" w:sz="4" w:space="0"/>
            </w:tcBorders>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可靠性要求</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热插拔</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★硬盘热插拔</w:t>
            </w:r>
          </w:p>
        </w:tc>
        <w:tc>
          <w:tcPr>
            <w:tcW w:w="4507" w:type="dxa"/>
            <w:tcBorders>
              <w:lef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硬件支持时，操作系统支持硬盘热插拔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top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可维护性要求</w:t>
            </w:r>
          </w:p>
        </w:tc>
        <w:tc>
          <w:tcPr>
            <w:tcW w:w="1216" w:type="dxa"/>
            <w:vMerge w:val="restart"/>
            <w:tcBorders>
              <w:top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维护工具</w:t>
            </w:r>
          </w:p>
        </w:tc>
        <w:tc>
          <w:tcPr>
            <w:tcW w:w="1019" w:type="dxa"/>
            <w:tcBorders>
              <w:top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★远程维护</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操作系统提供远程控制管理工具，支持RDP、SSH、SPICE、VNC等协议，方便用户进行文本或图形化形式的远程连接及维护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可维护性要求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★文件完整检查</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操作系统提供文件系统检查工具，对文件系统完整性进行检测和修复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tcBorders>
              <w:bottom w:val="single" w:color="auto" w:sz="4" w:space="0"/>
            </w:tcBorders>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bottom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可维护性要求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tcBorders>
              <w:bottom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★内核分析</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操作系统提供内核性能分析工具，提供性能分析框架，支持对内核函数层面进行分析；提供内核探测工具，支持对内核及用户态程序动态追踪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可维护性要求</w:t>
            </w:r>
          </w:p>
        </w:tc>
        <w:tc>
          <w:tcPr>
            <w:tcW w:w="1216" w:type="dxa"/>
            <w:vMerge w:val="restart"/>
            <w:tcBorders>
              <w:bottom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日志管理</w:t>
            </w: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★日志记录与存储</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对安全事件的日志记录，包括帐户增删改、成功登录、失败登录、敏感服务开启关闭、配置修改等，日志信息详实，包括所属用户、访问时间、访问地址等；支持内核异常日志信息的记录和存储；支持内核崩溃转储机制，系统崩溃时可收集整个内存信息；支持配置远程日志功能，可将指定日志内容归档到日志服务器；支持对日志功能进行访问控制，防止未经授权的访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可维护性要求</w:t>
            </w:r>
          </w:p>
        </w:tc>
        <w:tc>
          <w:tcPr>
            <w:tcW w:w="1216" w:type="dxa"/>
            <w:vMerge w:val="continue"/>
            <w:tcBorders>
              <w:top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★日志处理与分析</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操作系统提供系统错误问题回溯分析工具，对系统崩溃问题及错误问题进行回溯；支持日志切分、一键收集、转储、同步机制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可维护性要求</w:t>
            </w:r>
          </w:p>
        </w:tc>
        <w:tc>
          <w:tcPr>
            <w:tcW w:w="1216"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脆弱性管理</w:t>
            </w: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★脆弱性管理</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提供故障管理框架，内置故障分析专家系统，可与外部同类型系统互联；具备故障响应、故障警告功能，提供用户接口，支持故障响应、警告信息分发；支持故障管理守护进程，使用统一的传输信道或机制上报故障信息；具备硬件故障信息捕获、紧急处理功能，包括CPU、内存及PCIe设备等硬件的故障；支持诊断/响应组件动态加载机制；提供或支持第三方远程诊断框架及调测工具集，实现远程诊断及调试断点功能；支持物理机、虚拟机中操作系统的故障恢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可维护性要求</w:t>
            </w:r>
          </w:p>
        </w:tc>
        <w:tc>
          <w:tcPr>
            <w:tcW w:w="1216"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热补丁</w:t>
            </w: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★热补丁</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对内核热补丁进行编号，每个热补丁拥有独立编号；支持增量修复以及回滚机制；提供热补丁合法性和一致性校验功能；提供热补丁管理机制和工具，功能至少覆盖补丁查询、安装、移除；提供热补丁升级和回滚系统日志，便于查询或回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可维护性要求</w:t>
            </w:r>
          </w:p>
        </w:tc>
        <w:tc>
          <w:tcPr>
            <w:tcW w:w="1216" w:type="dxa"/>
            <w:vMerge w:val="restart"/>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系统升级</w:t>
            </w: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★升级内容</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操作系统支持系统增量升级功能，对系统部件、安全补丁等升级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可维护性要求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★升级方式</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操作系统支持在线升级和离线升级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可维护性要求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★数据保护</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操作系统升级不得修改破坏用户数据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可维护性要求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★兼容性</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操作系统升级不得影响原有软硬件兼容性，如有影响应显式的提示告知用户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可维护性要求</w:t>
            </w:r>
          </w:p>
        </w:tc>
        <w:tc>
          <w:tcPr>
            <w:tcW w:w="1216" w:type="dxa"/>
            <w:vMerge w:val="continue"/>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★回退</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操作系统提供升级回退机制，能卸载已升级的软件包，恢复系统原有状态，如升级为不可回退，则系统升级前以显式的提示告知用户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tcBorders>
              <w:bottom w:val="single" w:color="auto" w:sz="4" w:space="0"/>
            </w:tcBorders>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bottom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服务要求</w:t>
            </w:r>
          </w:p>
        </w:tc>
        <w:tc>
          <w:tcPr>
            <w:tcW w:w="1216" w:type="dxa"/>
            <w:tcBorders>
              <w:bottom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交付方式</w:t>
            </w: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★交付方式</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供应商提供光盘、USB闪存盘、镜像文件（下载）等交付方式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tcBorders>
              <w:top w:val="single" w:color="auto" w:sz="4" w:space="0"/>
              <w:left w:val="single" w:color="auto" w:sz="4" w:space="0"/>
              <w:bottom w:val="single" w:color="auto" w:sz="4" w:space="0"/>
              <w:right w:val="single" w:color="auto" w:sz="4" w:space="0"/>
            </w:tcBorders>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服务要求</w:t>
            </w:r>
          </w:p>
        </w:tc>
        <w:tc>
          <w:tcPr>
            <w:tcW w:w="1216"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服务周期</w:t>
            </w:r>
          </w:p>
        </w:tc>
        <w:tc>
          <w:tcPr>
            <w:tcW w:w="1019" w:type="dxa"/>
            <w:tcBorders>
              <w:lef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★产品维护周期</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产品自发布之日起至产品停止功能升级（包含不限于新特性、新硬件支持、问题修复、安全补丁等）之日止≥5年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tcBorders>
              <w:top w:val="single" w:color="auto" w:sz="4" w:space="0"/>
              <w:left w:val="single" w:color="auto" w:sz="4" w:space="0"/>
              <w:bottom w:val="single" w:color="auto" w:sz="4" w:space="0"/>
              <w:right w:val="single" w:color="auto" w:sz="4" w:space="0"/>
            </w:tcBorders>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服务要求</w:t>
            </w:r>
          </w:p>
        </w:tc>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tcBorders>
              <w:lef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★产品延伸服务周期</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产品停止功能升级之日起至产品停止功能维护（包括问题修复、安全补丁等）之日止≥5年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tcBorders>
              <w:top w:val="single" w:color="auto" w:sz="4" w:space="0"/>
              <w:left w:val="single" w:color="auto" w:sz="4" w:space="0"/>
              <w:bottom w:val="single" w:color="auto" w:sz="4" w:space="0"/>
              <w:right w:val="single" w:color="auto" w:sz="4" w:space="0"/>
            </w:tcBorders>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服务要求</w:t>
            </w:r>
          </w:p>
        </w:tc>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tcBorders>
              <w:lef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★产品延伸安全服务周期</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tcBorders>
              <w:top w:val="single" w:color="auto" w:sz="4" w:space="0"/>
            </w:tcBorders>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top w:val="single" w:color="auto" w:sz="4" w:space="0"/>
              <w:bottom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服务要求</w:t>
            </w:r>
          </w:p>
        </w:tc>
        <w:tc>
          <w:tcPr>
            <w:tcW w:w="1216" w:type="dxa"/>
            <w:vMerge w:val="continue"/>
            <w:tcBorders>
              <w:top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tcBorders>
              <w:lef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★售后服务最小保障期</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≥8年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tcBorders>
              <w:right w:val="single" w:color="auto" w:sz="4" w:space="0"/>
            </w:tcBorders>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服务要求</w:t>
            </w:r>
          </w:p>
        </w:tc>
        <w:tc>
          <w:tcPr>
            <w:tcW w:w="1216"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售后服务</w:t>
            </w:r>
          </w:p>
        </w:tc>
        <w:tc>
          <w:tcPr>
            <w:tcW w:w="1019" w:type="dxa"/>
            <w:tcBorders>
              <w:lef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★原厂服务</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服务由操作系统厂商的正式员工提供，不由代理商提供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tcBorders>
              <w:right w:val="single" w:color="auto" w:sz="4" w:space="0"/>
            </w:tcBorders>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服务要求</w:t>
            </w:r>
          </w:p>
        </w:tc>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tcBorders>
              <w:lef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★服务热线电话</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操作系统厂商为最终用户提供工作日每日不少于8h（覆盖一般工作时间，具体时间由企业标准给出）中文技术服务热线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tcBorders>
              <w:right w:val="single" w:color="auto" w:sz="4" w:space="0"/>
            </w:tcBorders>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服务要求</w:t>
            </w:r>
          </w:p>
        </w:tc>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tcBorders>
              <w:lef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★技术服务标准</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操作系统厂商提供工作日每日不少于8h技术支持服务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tcBorders>
              <w:right w:val="single" w:color="auto" w:sz="4" w:space="0"/>
            </w:tcBorders>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服务要求</w:t>
            </w:r>
          </w:p>
        </w:tc>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tcBorders>
              <w:lef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★技术服务时效</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操作系统厂商满足同城4h、异地12h响要求，两个工作日解决问题，对于未能解决的问题和故障提供可行的升级方案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top w:val="single" w:color="auto" w:sz="4" w:space="0"/>
              <w:bottom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服务要求</w:t>
            </w:r>
          </w:p>
        </w:tc>
        <w:tc>
          <w:tcPr>
            <w:tcW w:w="1216" w:type="dxa"/>
            <w:vMerge w:val="continue"/>
            <w:tcBorders>
              <w:top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tcBorders>
              <w:lef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★技术服务保障</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发生非人为因素故障，在七日内由操作系统厂商原厂人员免费对产品进行补充或更换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tcBorders>
              <w:right w:val="single" w:color="auto" w:sz="4" w:space="0"/>
            </w:tcBorders>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服务要求</w:t>
            </w:r>
          </w:p>
        </w:tc>
        <w:tc>
          <w:tcPr>
            <w:tcW w:w="1216"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现场交付与安装调试</w:t>
            </w:r>
          </w:p>
        </w:tc>
        <w:tc>
          <w:tcPr>
            <w:tcW w:w="1019" w:type="dxa"/>
            <w:tcBorders>
              <w:lef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★现场安装调试</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操作系统厂商提供产品安装与现场调试，并提供安装与调试所需的工具和设备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top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服务要求</w:t>
            </w:r>
          </w:p>
        </w:tc>
        <w:tc>
          <w:tcPr>
            <w:tcW w:w="1216" w:type="dxa"/>
            <w:vMerge w:val="continue"/>
            <w:tcBorders>
              <w:top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tcBorders>
              <w:lef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★配套资料</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交付产品时操作系统厂商提供配套的技术资料，包括但不限于系统说明文件、用户手册（用户安装、操作、维护、故障排除）等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服务要求</w:t>
            </w:r>
          </w:p>
        </w:tc>
        <w:tc>
          <w:tcPr>
            <w:tcW w:w="1216"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系统更换</w:t>
            </w: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★系统更换</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服务期内，操作系统厂商支持版本免费更换（注：更换后不延长服务期）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bottom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服务要求</w:t>
            </w:r>
          </w:p>
        </w:tc>
        <w:tc>
          <w:tcPr>
            <w:tcW w:w="1216" w:type="dxa"/>
            <w:tcBorders>
              <w:bottom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厂商能力要求</w:t>
            </w: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★服务团队</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操作系统厂商建立全国技术服务体系和服务团队，为客户提供专业的原厂中文服务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tcBorders>
              <w:right w:val="single" w:color="auto" w:sz="4" w:space="0"/>
            </w:tcBorders>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供应保障要求</w:t>
            </w:r>
          </w:p>
        </w:tc>
        <w:tc>
          <w:tcPr>
            <w:tcW w:w="1216"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数据安全保障</w:t>
            </w:r>
          </w:p>
        </w:tc>
        <w:tc>
          <w:tcPr>
            <w:tcW w:w="1019" w:type="dxa"/>
            <w:tcBorders>
              <w:lef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★数据收集安全保障</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除用户授权采集的信息外不采集其他数据，相关信息采集无安全风险，相关数据存储在大陆境内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tcBorders>
              <w:right w:val="single" w:color="auto" w:sz="4" w:space="0"/>
            </w:tcBorders>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供应保障要求</w:t>
            </w:r>
          </w:p>
        </w:tc>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tcBorders>
              <w:lef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★数据供给安全保障</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涉及数据下载的线上服务物理服务器不出境，包括代码仓库、系统补丁、安全补丁、服务网站等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top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供应保障要求</w:t>
            </w:r>
          </w:p>
        </w:tc>
        <w:tc>
          <w:tcPr>
            <w:tcW w:w="1216" w:type="dxa"/>
            <w:tcBorders>
              <w:top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代码无风险</w:t>
            </w: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★代码无风险</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操作系统厂商提供源代码，源代码可供第三方机构审查，开源许可合规，代码知识产权无风险，无恶意安全漏洞或后门，代码可追溯、可重构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安全要求</w:t>
            </w:r>
          </w:p>
        </w:tc>
        <w:tc>
          <w:tcPr>
            <w:tcW w:w="1216" w:type="dxa"/>
            <w:tcBorders>
              <w:bottom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基本要求</w:t>
            </w:r>
          </w:p>
        </w:tc>
        <w:tc>
          <w:tcPr>
            <w:tcW w:w="1019" w:type="dxa"/>
            <w:tcBorders>
              <w:bottom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★基本要求</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操作系统应当符合安全可靠测评要求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right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安全要求</w:t>
            </w:r>
          </w:p>
        </w:tc>
        <w:tc>
          <w:tcPr>
            <w:tcW w:w="1216"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密码算法支持</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★密码算法实现</w:t>
            </w:r>
          </w:p>
        </w:tc>
        <w:tc>
          <w:tcPr>
            <w:tcW w:w="4507" w:type="dxa"/>
            <w:tcBorders>
              <w:lef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操作系统支持GM/T0002、GM/T0003和GM/T0004规定的密码算法运算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right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安全要求</w:t>
            </w:r>
          </w:p>
        </w:tc>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★随机数生成</w:t>
            </w:r>
          </w:p>
        </w:tc>
        <w:tc>
          <w:tcPr>
            <w:tcW w:w="4507" w:type="dxa"/>
            <w:tcBorders>
              <w:lef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操作系统随机数质量符合GM/T0005《随机性检测规范》或GB/T32915《信息安全技术二元序列随机性检测方法》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right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安全要求</w:t>
            </w:r>
          </w:p>
        </w:tc>
        <w:tc>
          <w:tcPr>
            <w:tcW w:w="1216" w:type="dxa"/>
            <w:vMerge w:val="continue"/>
            <w:tcBorders>
              <w:top w:val="single" w:color="auto" w:sz="4" w:space="0"/>
              <w:left w:val="single" w:color="auto" w:sz="4" w:space="0"/>
              <w:bottom w:val="nil"/>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tcBorders>
              <w:top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★内置数字证书</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操作系统内置国家电子认证根CA的根证书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bottom w:val="single" w:color="auto" w:sz="4" w:space="0"/>
              <w:right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安全要求</w:t>
            </w:r>
          </w:p>
        </w:tc>
        <w:tc>
          <w:tcPr>
            <w:tcW w:w="1216" w:type="dxa"/>
            <w:vMerge w:val="continue"/>
            <w:tcBorders>
              <w:top w:val="nil"/>
              <w:left w:val="single" w:color="auto" w:sz="4" w:space="0"/>
              <w:bottom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tcBorders>
              <w:bottom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★密码协议实现</w:t>
            </w:r>
          </w:p>
        </w:tc>
        <w:tc>
          <w:tcPr>
            <w:tcW w:w="4507" w:type="dxa"/>
            <w:tcBorders>
              <w:bottom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操作系统支持符合GB/T38636—2020的TLCP</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tcBorders>
              <w:right w:val="single" w:color="auto" w:sz="4" w:space="0"/>
            </w:tcBorders>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安全要求</w:t>
            </w:r>
          </w:p>
        </w:tc>
        <w:tc>
          <w:tcPr>
            <w:tcW w:w="1216"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安全管理</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★防火墙</w:t>
            </w:r>
          </w:p>
        </w:tc>
        <w:tc>
          <w:tcPr>
            <w:tcW w:w="450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操作系统提供防火墙配置管理工具，支持基于协议、网络地址、端口的访问控制规则配置，规则修改后立即生效；支持关闭指定服务和端口，包括但不限于关闭远程访问、共享访问等；支持防止ARP欺骗攻击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tcBorders>
              <w:right w:val="single" w:color="auto" w:sz="4" w:space="0"/>
            </w:tcBorders>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安全要求</w:t>
            </w:r>
          </w:p>
        </w:tc>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★安全框架</w:t>
            </w:r>
          </w:p>
        </w:tc>
        <w:tc>
          <w:tcPr>
            <w:tcW w:w="450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操作系统提供统一访问控制安全框架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top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安全要求</w:t>
            </w:r>
          </w:p>
        </w:tc>
        <w:tc>
          <w:tcPr>
            <w:tcW w:w="1216" w:type="dxa"/>
            <w:tcBorders>
              <w:top w:val="single" w:color="auto" w:sz="4" w:space="0"/>
              <w:bottom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身份鉴别</w:t>
            </w:r>
          </w:p>
        </w:tc>
        <w:tc>
          <w:tcPr>
            <w:tcW w:w="1019" w:type="dxa"/>
            <w:tcBorders>
              <w:top w:val="single" w:color="auto" w:sz="4" w:space="0"/>
              <w:bottom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★身份鉴别服务</w:t>
            </w:r>
          </w:p>
        </w:tc>
        <w:tc>
          <w:tcPr>
            <w:tcW w:w="4507" w:type="dxa"/>
            <w:tcBorders>
              <w:top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用户标识使用帐户名和帐户ID，在操作系统的整个生存周期内用户标识具有唯一性；支持用户口令复杂度校验及强口令管理；支持用户口令有效期配置；支持口令鉴别失败控制；支持口令加密算法配置，用户口令进行加密后以不可逆的密文形式保存；支持禁止根帐户（root）远程登录设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right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安全要求</w:t>
            </w:r>
          </w:p>
        </w:tc>
        <w:tc>
          <w:tcPr>
            <w:tcW w:w="1216"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访问控制</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★自主访问控制</w:t>
            </w:r>
          </w:p>
        </w:tc>
        <w:tc>
          <w:tcPr>
            <w:tcW w:w="4507" w:type="dxa"/>
            <w:tcBorders>
              <w:lef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允许客体拥有者以普通帐户决定并控制对客体的访问，并阻止非授权用户对客体的访问；普通用户缺省拥有新建、读写和删除私有目录下文件的权限；支持细粒度的自主访问控制，将访问控制的粒度控制在单个用户，对系统中的每一个客体，实现由客体拥有者以指定用户方式确定其对该客体的访问权限，而其他同组用户或非同组的用户和用户组对该客体的访问权则由客体拥有者授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right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安全要求</w:t>
            </w:r>
          </w:p>
        </w:tc>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★强制访问控制</w:t>
            </w:r>
          </w:p>
        </w:tc>
        <w:tc>
          <w:tcPr>
            <w:tcW w:w="4507" w:type="dxa"/>
            <w:tcBorders>
              <w:lef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操作系统支持对应用程序的访问控制与资源限制，包括对文件、网络等客体的访问控制；支持应用安装控制、应用执行控制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tcBorders>
              <w:right w:val="single" w:color="auto" w:sz="4" w:space="0"/>
            </w:tcBorders>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安全要求</w:t>
            </w:r>
          </w:p>
        </w:tc>
        <w:tc>
          <w:tcPr>
            <w:tcW w:w="1216" w:type="dxa"/>
            <w:vMerge w:val="continue"/>
            <w:tcBorders>
              <w:top w:val="single" w:color="auto" w:sz="4" w:space="0"/>
              <w:left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p>
        </w:tc>
        <w:tc>
          <w:tcPr>
            <w:tcW w:w="1019" w:type="dxa"/>
            <w:tcBorders>
              <w:top w:val="single" w:color="auto" w:sz="4" w:space="0"/>
            </w:tcBorders>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★安全审计</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能对身份鉴别的使用、自主访问控制、标记和强制访问控制策略的修改等生成审计日志；审计记录包括：事件类型、事件发生的日期、触发事件的用户、事件成功或失败等字段；支持审计日志查询和导出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5" w:type="dxa"/>
            <w:noWrap w:val="0"/>
            <w:vAlign w:val="center"/>
          </w:tcPr>
          <w:p>
            <w:pPr>
              <w:pStyle w:val="504"/>
              <w:numPr>
                <w:ilvl w:val="0"/>
                <w:numId w:val="11"/>
              </w:numPr>
              <w:autoSpaceDE w:val="0"/>
              <w:autoSpaceDN w:val="0"/>
              <w:bidi w:val="0"/>
              <w:spacing w:line="240" w:lineRule="auto"/>
              <w:jc w:val="center"/>
              <w:rPr>
                <w:rFonts w:hint="eastAsia" w:ascii="宋体" w:hAnsi="宋体" w:eastAsia="宋体" w:cs="宋体"/>
                <w:sz w:val="24"/>
                <w:szCs w:val="24"/>
                <w:highlight w:val="none"/>
              </w:rPr>
            </w:pPr>
          </w:p>
        </w:tc>
        <w:tc>
          <w:tcPr>
            <w:tcW w:w="1080" w:type="dxa"/>
            <w:noWrap w:val="0"/>
            <w:vAlign w:val="center"/>
          </w:tcPr>
          <w:p>
            <w:pPr>
              <w:autoSpaceDE w:val="0"/>
              <w:autoSpaceDN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安全要求</w:t>
            </w:r>
          </w:p>
        </w:tc>
        <w:tc>
          <w:tcPr>
            <w:tcW w:w="1216"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漏洞管理</w:t>
            </w:r>
          </w:p>
        </w:tc>
        <w:tc>
          <w:tcPr>
            <w:tcW w:w="1019"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★漏洞管理</w:t>
            </w:r>
          </w:p>
        </w:tc>
        <w:tc>
          <w:tcPr>
            <w:tcW w:w="4507" w:type="dxa"/>
            <w:noWrap w:val="0"/>
            <w:vAlign w:val="center"/>
          </w:tcPr>
          <w:p>
            <w:pPr>
              <w:autoSpaceDE w:val="0"/>
              <w:autoSpaceDN w:val="0"/>
              <w:bidi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漏洞编号，每个漏洞独立编号，可直接使用NVDB、CNVD或CVE编号；漏洞提醒，发现或获悉漏洞信息时，通过系统推送、电子邮件或官方网站等方式通知用户；漏洞修复，对已发现的安全漏洞通过补丁等方式对系统漏洞进行修复；漏洞列表，提供每个版本已修复的漏洞列表，提供命令或网页等方式方便用户查询漏洞及其修复情况</w:t>
            </w:r>
          </w:p>
        </w:tc>
      </w:tr>
    </w:tbl>
    <w:p>
      <w:pPr>
        <w:rPr>
          <w:rFonts w:hint="eastAsia" w:ascii="宋体" w:hAnsi="宋体" w:eastAsia="宋体" w:cs="宋体"/>
          <w:sz w:val="24"/>
          <w:szCs w:val="24"/>
          <w:highlight w:val="none"/>
        </w:rPr>
      </w:pPr>
    </w:p>
    <w:p>
      <w:pPr>
        <w:pStyle w:val="4"/>
        <w:numPr>
          <w:ilvl w:val="4"/>
          <w:numId w:val="9"/>
        </w:numPr>
        <w:ind w:firstLine="335" w:firstLineChars="139"/>
        <w:contextualSpacing/>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集中式数据库</w:t>
      </w:r>
    </w:p>
    <w:tbl>
      <w:tblPr>
        <w:tblStyle w:val="269"/>
        <w:tblpPr w:leftFromText="180" w:rightFromText="180" w:vertAnchor="text" w:horzAnchor="page" w:tblpX="1811" w:tblpY="311"/>
        <w:tblOverlap w:val="never"/>
        <w:tblW w:w="830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6"/>
        <w:gridCol w:w="1099"/>
        <w:gridCol w:w="1176"/>
        <w:gridCol w:w="1059"/>
        <w:gridCol w:w="44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blHeader/>
        </w:trPr>
        <w:tc>
          <w:tcPr>
            <w:tcW w:w="486" w:type="dxa"/>
            <w:noWrap w:val="0"/>
            <w:vAlign w:val="center"/>
          </w:tcPr>
          <w:p>
            <w:pPr>
              <w:pStyle w:val="504"/>
              <w:numPr>
                <w:ilvl w:val="0"/>
                <w:numId w:val="0"/>
              </w:numPr>
              <w:autoSpaceDE w:val="0"/>
              <w:autoSpaceDN w:val="0"/>
              <w:bidi w:val="0"/>
              <w:ind w:left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099" w:type="dxa"/>
            <w:tcBorders>
              <w:bottom w:val="single" w:color="auto" w:sz="4" w:space="0"/>
            </w:tcBorders>
            <w:noWrap w:val="0"/>
            <w:vAlign w:val="center"/>
          </w:tcPr>
          <w:p>
            <w:pPr>
              <w:pStyle w:val="505"/>
              <w:autoSpaceDE w:val="0"/>
              <w:autoSpaceDN w:val="0"/>
              <w:bidi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指标分类</w:t>
            </w:r>
          </w:p>
        </w:tc>
        <w:tc>
          <w:tcPr>
            <w:tcW w:w="1176" w:type="dxa"/>
            <w:tcBorders>
              <w:bottom w:val="single" w:color="auto" w:sz="4" w:space="0"/>
            </w:tcBorders>
            <w:noWrap w:val="0"/>
            <w:vAlign w:val="center"/>
          </w:tcPr>
          <w:p>
            <w:pPr>
              <w:pStyle w:val="505"/>
              <w:autoSpaceDE w:val="0"/>
              <w:autoSpaceDN w:val="0"/>
              <w:bidi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一级指标</w:t>
            </w:r>
          </w:p>
        </w:tc>
        <w:tc>
          <w:tcPr>
            <w:tcW w:w="1059" w:type="dxa"/>
            <w:noWrap w:val="0"/>
            <w:vAlign w:val="center"/>
          </w:tcPr>
          <w:p>
            <w:pPr>
              <w:pStyle w:val="505"/>
              <w:autoSpaceDE w:val="0"/>
              <w:autoSpaceDN w:val="0"/>
              <w:bidi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二级指标</w:t>
            </w:r>
          </w:p>
        </w:tc>
        <w:tc>
          <w:tcPr>
            <w:tcW w:w="4489" w:type="dxa"/>
            <w:noWrap w:val="0"/>
            <w:vAlign w:val="center"/>
          </w:tcPr>
          <w:p>
            <w:pPr>
              <w:pStyle w:val="505"/>
              <w:autoSpaceDE w:val="0"/>
              <w:autoSpaceDN w:val="0"/>
              <w:bidi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指标要求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tcBorders>
              <w:right w:val="single" w:color="auto" w:sz="4" w:space="0"/>
            </w:tcBorders>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176" w:type="dxa"/>
            <w:vMerge w:val="restart"/>
            <w:tcBorders>
              <w:top w:val="single" w:color="auto" w:sz="4" w:space="0"/>
              <w:left w:val="single" w:color="auto" w:sz="4" w:space="0"/>
              <w:bottom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安装与升级</w:t>
            </w:r>
          </w:p>
        </w:tc>
        <w:tc>
          <w:tcPr>
            <w:tcW w:w="1059" w:type="dxa"/>
            <w:tcBorders>
              <w:left w:val="single" w:color="auto" w:sz="4" w:space="0"/>
            </w:tcBorders>
            <w:noWrap w:val="0"/>
            <w:vAlign w:val="center"/>
          </w:tcPr>
          <w:p>
            <w:pPr>
              <w:keepNext w:val="0"/>
              <w:keepLines w:val="0"/>
              <w:widowControl w:val="0"/>
              <w:suppressLineNumbers w:val="0"/>
              <w:autoSpaceDE w:val="0"/>
              <w:autoSpaceDN w:val="0"/>
              <w:spacing w:before="0" w:beforeAutospacing="0" w:after="0" w:afterAutospacing="0"/>
              <w:ind w:left="0" w:right="0"/>
              <w:jc w:val="both"/>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数据库安装</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a)支持命令行或图形化的安装</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b)支持命令行或图形化的可配置安装能力</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c)依据安装环境提供相应的初始化参数配置值</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d)提供图形化软件组件管理向导工具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tcBorders>
              <w:right w:val="single" w:color="auto" w:sz="4" w:space="0"/>
            </w:tcBorders>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p>
        </w:tc>
        <w:tc>
          <w:tcPr>
            <w:tcW w:w="1059" w:type="dxa"/>
            <w:tcBorders>
              <w:lef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数据库重启</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a)支持命令行或图形化的方式关闭和启动服务</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b)关闭服务后，再启动服务，服务正常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tcBorders>
              <w:right w:val="single" w:color="auto" w:sz="4" w:space="0"/>
            </w:tcBorders>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p>
        </w:tc>
        <w:tc>
          <w:tcPr>
            <w:tcW w:w="1059" w:type="dxa"/>
            <w:tcBorders>
              <w:lef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安装配置日志</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a)提供软件安装的日志记录功能</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b)记录的软件安装信息完整正确</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c)提供安装配置操作的日志记录功能</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d)记录的配置操作信息完整正确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tcBorders>
              <w:top w:val="single" w:color="auto" w:sz="4" w:space="0"/>
              <w:bottom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176" w:type="dxa"/>
            <w:vMerge w:val="continue"/>
            <w:tcBorders>
              <w:top w:val="single" w:color="auto" w:sz="4" w:space="0"/>
              <w:bottom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p>
        </w:tc>
        <w:tc>
          <w:tcPr>
            <w:tcW w:w="1059" w:type="dxa"/>
            <w:tcBorders>
              <w:lef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升级维护</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a)支持版本升级，保证版本间功能和数据的兼容性</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b)厂商提供当前版本与历史版本的差异说明文档，包含新版本对软件和硬件的支持情况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tcBorders>
              <w:right w:val="single" w:color="auto" w:sz="4" w:space="0"/>
            </w:tcBorders>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数据配置</w:t>
            </w:r>
          </w:p>
        </w:tc>
        <w:tc>
          <w:tcPr>
            <w:tcW w:w="1059" w:type="dxa"/>
            <w:tcBorders>
              <w:lef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参数配置</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a)依据工作负载和运行环境，提供配置参数修改的能力</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b)修改数据库配置参数后，配置参数立即生效或数据库重新启动生效，立即生效的配置参数和需要数据库重新启动方可生效的配置参数在相关文档中明确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176" w:type="dxa"/>
            <w:vMerge w:val="restart"/>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SQL功能</w:t>
            </w:r>
          </w:p>
        </w:tc>
        <w:tc>
          <w:tcPr>
            <w:tcW w:w="105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基础数据类型</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a)支持数值类型</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b)支持字符类型</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c)支持二进制类型</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d)支持日期和时间类型</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e)支持布尔类型</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f)支持（大）文本类型</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g)支持大对象类型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noWrap w:val="0"/>
            <w:vAlign w:val="center"/>
          </w:tcPr>
          <w:p>
            <w:pPr>
              <w:pStyle w:val="505"/>
              <w:autoSpaceDE w:val="0"/>
              <w:autoSpaceDN w:val="0"/>
              <w:bidi w:val="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功能要求</w:t>
            </w:r>
          </w:p>
        </w:tc>
        <w:tc>
          <w:tcPr>
            <w:tcW w:w="1176" w:type="dxa"/>
            <w:vMerge w:val="continue"/>
            <w:noWrap w:val="0"/>
            <w:vAlign w:val="center"/>
          </w:tcPr>
          <w:p>
            <w:pPr>
              <w:pStyle w:val="505"/>
              <w:autoSpaceDE w:val="0"/>
              <w:autoSpaceDN w:val="0"/>
              <w:bidi w:val="0"/>
              <w:jc w:val="left"/>
              <w:rPr>
                <w:rFonts w:hint="eastAsia" w:ascii="宋体" w:hAnsi="宋体" w:eastAsia="宋体" w:cs="宋体"/>
                <w:sz w:val="24"/>
                <w:szCs w:val="24"/>
                <w:highlight w:val="none"/>
              </w:rPr>
            </w:pPr>
          </w:p>
        </w:tc>
        <w:tc>
          <w:tcPr>
            <w:tcW w:w="1059" w:type="dxa"/>
            <w:noWrap w:val="0"/>
            <w:vAlign w:val="center"/>
          </w:tcPr>
          <w:p>
            <w:pPr>
              <w:pStyle w:val="505"/>
              <w:autoSpaceDE w:val="0"/>
              <w:autoSpaceDN w:val="0"/>
              <w:bidi w:val="0"/>
              <w:jc w:val="left"/>
              <w:rPr>
                <w:rFonts w:hint="eastAsia" w:ascii="宋体" w:hAnsi="宋体" w:eastAsia="宋体" w:cs="宋体"/>
                <w:spacing w:val="-1"/>
                <w:kern w:val="2"/>
                <w:sz w:val="24"/>
                <w:szCs w:val="24"/>
                <w:highlight w:val="none"/>
                <w:lang w:val="en-US" w:eastAsia="zh-CN" w:bidi="ar"/>
              </w:rPr>
            </w:pPr>
            <w:r>
              <w:rPr>
                <w:rFonts w:hint="eastAsia" w:ascii="宋体" w:hAnsi="宋体" w:eastAsia="宋体" w:cs="宋体"/>
                <w:spacing w:val="-1"/>
                <w:kern w:val="2"/>
                <w:sz w:val="24"/>
                <w:szCs w:val="24"/>
                <w:highlight w:val="none"/>
                <w:lang w:val="en-US" w:eastAsia="zh-CN" w:bidi="ar"/>
              </w:rPr>
              <w:t>其它基础数据类型</w:t>
            </w:r>
          </w:p>
        </w:tc>
        <w:tc>
          <w:tcPr>
            <w:tcW w:w="4489" w:type="dxa"/>
            <w:noWrap w:val="0"/>
            <w:vAlign w:val="center"/>
          </w:tcPr>
          <w:p>
            <w:pPr>
              <w:pStyle w:val="505"/>
              <w:numPr>
                <w:ilvl w:val="0"/>
                <w:numId w:val="0"/>
              </w:numPr>
              <w:autoSpaceDE w:val="0"/>
              <w:autoSpaceDN w:val="0"/>
              <w:bidi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支持</w:t>
            </w:r>
            <w:r>
              <w:rPr>
                <w:rFonts w:hint="eastAsia" w:ascii="宋体" w:hAnsi="宋体" w:eastAsia="宋体" w:cs="宋体"/>
                <w:sz w:val="24"/>
                <w:szCs w:val="24"/>
                <w:highlight w:val="none"/>
                <w:lang w:val="en-US" w:eastAsia="zh-CN"/>
              </w:rPr>
              <w:t>货币类型</w:t>
            </w:r>
          </w:p>
        </w:tc>
      </w:tr>
      <w:tr>
        <w:tblPrEx>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176" w:type="dxa"/>
            <w:vMerge w:val="continue"/>
            <w:noWrap w:val="0"/>
            <w:vAlign w:val="center"/>
          </w:tcPr>
          <w:p>
            <w:pPr>
              <w:pStyle w:val="505"/>
              <w:autoSpaceDE w:val="0"/>
              <w:autoSpaceDN w:val="0"/>
              <w:bidi w:val="0"/>
              <w:jc w:val="left"/>
              <w:rPr>
                <w:rFonts w:hint="eastAsia" w:ascii="宋体" w:hAnsi="宋体" w:eastAsia="宋体" w:cs="宋体"/>
                <w:sz w:val="24"/>
                <w:szCs w:val="24"/>
                <w:highlight w:val="none"/>
              </w:rPr>
            </w:pPr>
          </w:p>
        </w:tc>
        <w:tc>
          <w:tcPr>
            <w:tcW w:w="105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数据存储基础功能</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支持基础数据类型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176" w:type="dxa"/>
            <w:vMerge w:val="continue"/>
            <w:noWrap w:val="0"/>
            <w:vAlign w:val="center"/>
          </w:tcPr>
          <w:p>
            <w:pPr>
              <w:pStyle w:val="505"/>
              <w:autoSpaceDE w:val="0"/>
              <w:autoSpaceDN w:val="0"/>
              <w:bidi w:val="0"/>
              <w:jc w:val="left"/>
              <w:rPr>
                <w:rFonts w:hint="eastAsia" w:ascii="宋体" w:hAnsi="宋体" w:eastAsia="宋体" w:cs="宋体"/>
                <w:sz w:val="24"/>
                <w:szCs w:val="24"/>
                <w:highlight w:val="none"/>
              </w:rPr>
            </w:pPr>
          </w:p>
        </w:tc>
        <w:tc>
          <w:tcPr>
            <w:tcW w:w="105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数据检索基础功能</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支持基础数据类型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176" w:type="dxa"/>
            <w:vMerge w:val="continue"/>
            <w:noWrap w:val="0"/>
            <w:vAlign w:val="center"/>
          </w:tcPr>
          <w:p>
            <w:pPr>
              <w:pStyle w:val="505"/>
              <w:autoSpaceDE w:val="0"/>
              <w:autoSpaceDN w:val="0"/>
              <w:bidi w:val="0"/>
              <w:jc w:val="left"/>
              <w:rPr>
                <w:rFonts w:hint="eastAsia" w:ascii="宋体" w:hAnsi="宋体" w:eastAsia="宋体" w:cs="宋体"/>
                <w:sz w:val="24"/>
                <w:szCs w:val="24"/>
                <w:highlight w:val="none"/>
              </w:rPr>
            </w:pPr>
          </w:p>
        </w:tc>
        <w:tc>
          <w:tcPr>
            <w:tcW w:w="105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核心SQL能力</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a)支持左外连接</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b)支持右外连接</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c)支持内连接</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d)支持全连接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176" w:type="dxa"/>
            <w:vMerge w:val="continue"/>
            <w:noWrap w:val="0"/>
            <w:vAlign w:val="center"/>
          </w:tcPr>
          <w:p>
            <w:pPr>
              <w:pStyle w:val="505"/>
              <w:autoSpaceDE w:val="0"/>
              <w:autoSpaceDN w:val="0"/>
              <w:bidi w:val="0"/>
              <w:jc w:val="left"/>
              <w:rPr>
                <w:rFonts w:hint="eastAsia" w:ascii="宋体" w:hAnsi="宋体" w:eastAsia="宋体" w:cs="宋体"/>
                <w:sz w:val="24"/>
                <w:szCs w:val="24"/>
                <w:highlight w:val="none"/>
              </w:rPr>
            </w:pPr>
          </w:p>
        </w:tc>
        <w:tc>
          <w:tcPr>
            <w:tcW w:w="105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字符集</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中文字符集符合GB</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18030的要求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176" w:type="dxa"/>
            <w:vMerge w:val="continue"/>
            <w:noWrap w:val="0"/>
            <w:vAlign w:val="center"/>
          </w:tcPr>
          <w:p>
            <w:pPr>
              <w:pStyle w:val="505"/>
              <w:autoSpaceDE w:val="0"/>
              <w:autoSpaceDN w:val="0"/>
              <w:bidi w:val="0"/>
              <w:jc w:val="left"/>
              <w:rPr>
                <w:rFonts w:hint="eastAsia" w:ascii="宋体" w:hAnsi="宋体" w:eastAsia="宋体" w:cs="宋体"/>
                <w:sz w:val="24"/>
                <w:szCs w:val="24"/>
                <w:highlight w:val="none"/>
              </w:rPr>
            </w:pPr>
          </w:p>
        </w:tc>
        <w:tc>
          <w:tcPr>
            <w:tcW w:w="105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常用操作符</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a)支持逻辑操作符及相关运算</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b)支持比较操作符及相关运算</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c)支持算术运算符及相关运算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176" w:type="dxa"/>
            <w:vMerge w:val="continue"/>
            <w:noWrap w:val="0"/>
            <w:vAlign w:val="center"/>
          </w:tcPr>
          <w:p>
            <w:pPr>
              <w:pStyle w:val="505"/>
              <w:autoSpaceDE w:val="0"/>
              <w:autoSpaceDN w:val="0"/>
              <w:bidi w:val="0"/>
              <w:jc w:val="left"/>
              <w:rPr>
                <w:rFonts w:hint="eastAsia" w:ascii="宋体" w:hAnsi="宋体" w:eastAsia="宋体" w:cs="宋体"/>
                <w:sz w:val="24"/>
                <w:szCs w:val="24"/>
                <w:highlight w:val="none"/>
              </w:rPr>
            </w:pPr>
          </w:p>
        </w:tc>
        <w:tc>
          <w:tcPr>
            <w:tcW w:w="105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条件表达式</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a)支持对比条件表达式</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b)支持逻辑条件表达式</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c)支持空值条件表达式</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d)支持等于条件表达式</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e)支持模式匹配条件表达式</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f)支持区间条件表达式</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g)支持IN条件表达式</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h)支持存在条件表达式</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i)支持以上条件表达式的复合表达式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176" w:type="dxa"/>
            <w:vMerge w:val="continue"/>
            <w:noWrap w:val="0"/>
            <w:vAlign w:val="center"/>
          </w:tcPr>
          <w:p>
            <w:pPr>
              <w:pStyle w:val="505"/>
              <w:autoSpaceDE w:val="0"/>
              <w:autoSpaceDN w:val="0"/>
              <w:bidi w:val="0"/>
              <w:jc w:val="left"/>
              <w:rPr>
                <w:rFonts w:hint="eastAsia" w:ascii="宋体" w:hAnsi="宋体" w:eastAsia="宋体" w:cs="宋体"/>
                <w:sz w:val="24"/>
                <w:szCs w:val="24"/>
                <w:highlight w:val="none"/>
              </w:rPr>
            </w:pPr>
          </w:p>
        </w:tc>
        <w:tc>
          <w:tcPr>
            <w:tcW w:w="105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SQL执行计划</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支持SQL计划，使SQL按照指定的语句执行，并实现预期结果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176" w:type="dxa"/>
            <w:vMerge w:val="restart"/>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数据库对象</w:t>
            </w:r>
          </w:p>
        </w:tc>
        <w:tc>
          <w:tcPr>
            <w:tcW w:w="105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基础对象类型</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a)支持用户的创建、删除、修改</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b)支持角色的创建、删除、修改</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c)支持存储过程的创建、删除、修改</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d)支持表操作功能</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e)支持自增序列</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f)支持主键约束、外键约束、唯一性约束、检查约束和联合主键约束</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g)支持游标功能</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h)支持视图的创建、删除、修改</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i)支持数值计算函数、字符处理函数、日期时间值函数、间隔函数、类型转换函数、位运算函数、聚合函数、格式化、系统信息等常用函数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176" w:type="dxa"/>
            <w:vMerge w:val="continue"/>
            <w:noWrap w:val="0"/>
            <w:vAlign w:val="center"/>
          </w:tcPr>
          <w:p>
            <w:pPr>
              <w:pStyle w:val="505"/>
              <w:autoSpaceDE w:val="0"/>
              <w:autoSpaceDN w:val="0"/>
              <w:bidi w:val="0"/>
              <w:jc w:val="left"/>
              <w:rPr>
                <w:rFonts w:hint="eastAsia" w:ascii="宋体" w:hAnsi="宋体" w:eastAsia="宋体" w:cs="宋体"/>
                <w:sz w:val="24"/>
                <w:szCs w:val="24"/>
                <w:highlight w:val="none"/>
              </w:rPr>
            </w:pPr>
          </w:p>
        </w:tc>
        <w:tc>
          <w:tcPr>
            <w:tcW w:w="105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基础表分区管理</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a)哈希分区方式</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b)范围分区方式</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c)列表分区方式</w:t>
            </w:r>
          </w:p>
        </w:tc>
      </w:tr>
      <w:tr>
        <w:tblPrEx>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176" w:type="dxa"/>
            <w:vMerge w:val="continue"/>
            <w:noWrap w:val="0"/>
            <w:vAlign w:val="center"/>
          </w:tcPr>
          <w:p>
            <w:pPr>
              <w:pStyle w:val="505"/>
              <w:autoSpaceDE w:val="0"/>
              <w:autoSpaceDN w:val="0"/>
              <w:bidi w:val="0"/>
              <w:jc w:val="left"/>
              <w:rPr>
                <w:rFonts w:hint="eastAsia" w:ascii="宋体" w:hAnsi="宋体" w:eastAsia="宋体" w:cs="宋体"/>
                <w:sz w:val="24"/>
                <w:szCs w:val="24"/>
                <w:highlight w:val="none"/>
              </w:rPr>
            </w:pPr>
          </w:p>
        </w:tc>
        <w:tc>
          <w:tcPr>
            <w:tcW w:w="105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对象变更</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a)支持数据库的创建、删除、更新以及数据库属性的查询</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b)支持在线变更表结构、索引</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c)支持数据的增加、删除、修改和查询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tcBorders>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176" w:type="dxa"/>
            <w:vMerge w:val="restart"/>
            <w:tcBorders>
              <w:top w:val="single" w:color="auto" w:sz="4" w:space="0"/>
              <w:left w:val="single" w:color="auto" w:sz="4" w:space="0"/>
              <w:bottom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事务能力</w:t>
            </w:r>
          </w:p>
        </w:tc>
        <w:tc>
          <w:tcPr>
            <w:tcW w:w="1059" w:type="dxa"/>
            <w:tcBorders>
              <w:lef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事务基础特性</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支持事务的ACID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tcBorders>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p>
        </w:tc>
        <w:tc>
          <w:tcPr>
            <w:tcW w:w="1059" w:type="dxa"/>
            <w:tcBorders>
              <w:lef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死锁检测与处理</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a)在并发执行过程中，能检测到死锁</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b)提供解决全局死锁的机制</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c)具备死锁处理能力</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d)具备死锁超时回滚的能力</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e)具备死锁检测与处理记录功能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176" w:type="dxa"/>
            <w:vMerge w:val="restart"/>
            <w:tcBorders>
              <w:top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运维</w:t>
            </w:r>
          </w:p>
        </w:tc>
        <w:tc>
          <w:tcPr>
            <w:tcW w:w="105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运行时统计信息基础功能</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a）数据库慢SQL统计：1）支持统计SQL语句</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2）支持统计用户名</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3）支持统计数据库名</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4）支持统计执行时长</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b）数据库性能状态统计：1）支持统计每秒事务数和查询数</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2）支持统计SQL平均响应时间</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3）支持统计高频SQL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176" w:type="dxa"/>
            <w:vMerge w:val="continue"/>
            <w:noWrap w:val="0"/>
            <w:vAlign w:val="center"/>
          </w:tcPr>
          <w:p>
            <w:pPr>
              <w:pStyle w:val="505"/>
              <w:autoSpaceDE w:val="0"/>
              <w:autoSpaceDN w:val="0"/>
              <w:bidi w:val="0"/>
              <w:jc w:val="left"/>
              <w:rPr>
                <w:rFonts w:hint="eastAsia" w:ascii="宋体" w:hAnsi="宋体" w:eastAsia="宋体" w:cs="宋体"/>
                <w:sz w:val="24"/>
                <w:szCs w:val="24"/>
                <w:highlight w:val="none"/>
              </w:rPr>
            </w:pPr>
          </w:p>
        </w:tc>
        <w:tc>
          <w:tcPr>
            <w:tcW w:w="105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日志</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a)具备对各类事件进行日志记录的功能，可通过日志查看操作内容、执行过程和结果</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b)具备提示和警告功能，提示或警告数据库结构修改、数据库运行配置修改等重要操作</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c)日志完整正确，并且提供可读文本的形式</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d)支持中文日志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176" w:type="dxa"/>
            <w:vMerge w:val="continue"/>
            <w:noWrap w:val="0"/>
            <w:vAlign w:val="center"/>
          </w:tcPr>
          <w:p>
            <w:pPr>
              <w:pStyle w:val="505"/>
              <w:autoSpaceDE w:val="0"/>
              <w:autoSpaceDN w:val="0"/>
              <w:bidi w:val="0"/>
              <w:jc w:val="left"/>
              <w:rPr>
                <w:rFonts w:hint="eastAsia" w:ascii="宋体" w:hAnsi="宋体" w:eastAsia="宋体" w:cs="宋体"/>
                <w:sz w:val="24"/>
                <w:szCs w:val="24"/>
                <w:highlight w:val="none"/>
              </w:rPr>
            </w:pPr>
          </w:p>
        </w:tc>
        <w:tc>
          <w:tcPr>
            <w:tcW w:w="105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远程运维</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具备远程维护功能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176" w:type="dxa"/>
            <w:vMerge w:val="continue"/>
            <w:noWrap w:val="0"/>
            <w:vAlign w:val="center"/>
          </w:tcPr>
          <w:p>
            <w:pPr>
              <w:pStyle w:val="505"/>
              <w:autoSpaceDE w:val="0"/>
              <w:autoSpaceDN w:val="0"/>
              <w:bidi w:val="0"/>
              <w:jc w:val="left"/>
              <w:rPr>
                <w:rFonts w:hint="eastAsia" w:ascii="宋体" w:hAnsi="宋体" w:eastAsia="宋体" w:cs="宋体"/>
                <w:sz w:val="24"/>
                <w:szCs w:val="24"/>
                <w:highlight w:val="none"/>
              </w:rPr>
            </w:pPr>
          </w:p>
        </w:tc>
        <w:tc>
          <w:tcPr>
            <w:tcW w:w="105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报警</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a)厂商提供通知管理员的方法或工具</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b)支持设置报警基线，数据库运行中遇到重要事件、异常事件和状态、超过报警阈值等情况时，通知管理员</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c)提供报警API</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d)报警发生时，支持报警信息的实时展示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176" w:type="dxa"/>
            <w:vMerge w:val="restart"/>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迁移</w:t>
            </w:r>
          </w:p>
        </w:tc>
        <w:tc>
          <w:tcPr>
            <w:tcW w:w="105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数据迁移</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a)提供元数据、数据库、数据库对象、表数据快速迁移的功能</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b)支持数据迁移工具实现同构或异构数据库之间的数据迁移</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c)支持全量数据迁移、增量数据持续同步等迁移模式</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d)在数据迁移过程中具备应对传输异常的能力，保障数据迁移的稳定性、连续性和一致性</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e)支持存量数据的一次性迁移和增量数据库的持续同步</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f)支持多种不同类型的源数据库和目标数据库之间的数据迁移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176" w:type="dxa"/>
            <w:vMerge w:val="continue"/>
            <w:noWrap w:val="0"/>
            <w:vAlign w:val="center"/>
          </w:tcPr>
          <w:p>
            <w:pPr>
              <w:pStyle w:val="505"/>
              <w:autoSpaceDE w:val="0"/>
              <w:autoSpaceDN w:val="0"/>
              <w:bidi w:val="0"/>
              <w:jc w:val="left"/>
              <w:rPr>
                <w:rFonts w:hint="eastAsia" w:ascii="宋体" w:hAnsi="宋体" w:eastAsia="宋体" w:cs="宋体"/>
                <w:sz w:val="24"/>
                <w:szCs w:val="24"/>
                <w:highlight w:val="none"/>
              </w:rPr>
            </w:pPr>
          </w:p>
        </w:tc>
        <w:tc>
          <w:tcPr>
            <w:tcW w:w="105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数据比对基础功能</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对源数据库和目标数据库之间的数据进行比对，支持数据一致性，并提供一致性比对报告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noWrap w:val="0"/>
            <w:vAlign w:val="center"/>
          </w:tcPr>
          <w:p>
            <w:pPr>
              <w:pStyle w:val="505"/>
              <w:autoSpaceDE w:val="0"/>
              <w:autoSpaceDN w:val="0"/>
              <w:bidi w:val="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功能要求</w:t>
            </w:r>
          </w:p>
        </w:tc>
        <w:tc>
          <w:tcPr>
            <w:tcW w:w="1176" w:type="dxa"/>
            <w:vMerge w:val="continue"/>
            <w:noWrap w:val="0"/>
            <w:vAlign w:val="center"/>
          </w:tcPr>
          <w:p>
            <w:pPr>
              <w:pStyle w:val="505"/>
              <w:autoSpaceDE w:val="0"/>
              <w:autoSpaceDN w:val="0"/>
              <w:bidi w:val="0"/>
              <w:jc w:val="left"/>
              <w:rPr>
                <w:rFonts w:hint="eastAsia" w:ascii="宋体" w:hAnsi="宋体" w:eastAsia="宋体" w:cs="宋体"/>
                <w:sz w:val="24"/>
                <w:szCs w:val="24"/>
                <w:highlight w:val="none"/>
              </w:rPr>
            </w:pPr>
          </w:p>
        </w:tc>
        <w:tc>
          <w:tcPr>
            <w:tcW w:w="1059" w:type="dxa"/>
            <w:noWrap w:val="0"/>
            <w:vAlign w:val="center"/>
          </w:tcPr>
          <w:p>
            <w:pPr>
              <w:pStyle w:val="505"/>
              <w:autoSpaceDE w:val="0"/>
              <w:autoSpaceDN w:val="0"/>
              <w:bidi w:val="0"/>
              <w:jc w:val="left"/>
              <w:rPr>
                <w:rFonts w:hint="eastAsia" w:ascii="宋体" w:hAnsi="宋体" w:eastAsia="宋体" w:cs="宋体"/>
                <w:spacing w:val="-1"/>
                <w:kern w:val="2"/>
                <w:sz w:val="24"/>
                <w:szCs w:val="24"/>
                <w:highlight w:val="none"/>
                <w:lang w:val="en-US" w:eastAsia="zh-CN" w:bidi="ar"/>
              </w:rPr>
            </w:pPr>
            <w:r>
              <w:rPr>
                <w:rFonts w:hint="eastAsia" w:ascii="宋体" w:hAnsi="宋体" w:eastAsia="宋体" w:cs="宋体"/>
                <w:spacing w:val="-1"/>
                <w:kern w:val="2"/>
                <w:sz w:val="24"/>
                <w:szCs w:val="24"/>
                <w:highlight w:val="none"/>
                <w:lang w:val="en-US" w:eastAsia="zh-CN" w:bidi="ar"/>
              </w:rPr>
              <w:t>第三方数据迁移</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支持跨平台迁移，支持Oracle、MySQL等主流数据库的平滑迁移，并提供同品牌迁移工具。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176" w:type="dxa"/>
            <w:vMerge w:val="restart"/>
            <w:tcBorders>
              <w:bottom w:val="nil"/>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备份恢复</w:t>
            </w:r>
          </w:p>
        </w:tc>
        <w:tc>
          <w:tcPr>
            <w:tcW w:w="105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数据备份</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a)运行状态下支持对数据库进行全库备份</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b)运行状态下支持对数据库进行部分备份</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c)运行状态下支持对数据库进行增量备份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176" w:type="dxa"/>
            <w:vMerge w:val="continue"/>
            <w:tcBorders>
              <w:top w:val="nil"/>
              <w:bottom w:val="nil"/>
            </w:tcBorders>
            <w:noWrap w:val="0"/>
            <w:vAlign w:val="center"/>
          </w:tcPr>
          <w:p>
            <w:pPr>
              <w:pStyle w:val="505"/>
              <w:autoSpaceDE w:val="0"/>
              <w:autoSpaceDN w:val="0"/>
              <w:bidi w:val="0"/>
              <w:jc w:val="left"/>
              <w:rPr>
                <w:rFonts w:hint="eastAsia" w:ascii="宋体" w:hAnsi="宋体" w:eastAsia="宋体" w:cs="宋体"/>
                <w:sz w:val="24"/>
                <w:szCs w:val="24"/>
                <w:highlight w:val="none"/>
              </w:rPr>
            </w:pPr>
          </w:p>
        </w:tc>
        <w:tc>
          <w:tcPr>
            <w:tcW w:w="105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多种存储媒体备份、还原</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支持多种备份存储媒体，支持多种存储媒体的部分、完整数据库数据还原处理能力</w:t>
            </w:r>
          </w:p>
        </w:tc>
      </w:tr>
      <w:tr>
        <w:tblPrEx>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176" w:type="dxa"/>
            <w:vMerge w:val="continue"/>
            <w:tcBorders>
              <w:top w:val="nil"/>
            </w:tcBorders>
            <w:noWrap w:val="0"/>
            <w:vAlign w:val="center"/>
          </w:tcPr>
          <w:p>
            <w:pPr>
              <w:pStyle w:val="505"/>
              <w:autoSpaceDE w:val="0"/>
              <w:autoSpaceDN w:val="0"/>
              <w:bidi w:val="0"/>
              <w:jc w:val="left"/>
              <w:rPr>
                <w:rFonts w:hint="eastAsia" w:ascii="宋体" w:hAnsi="宋体" w:eastAsia="宋体" w:cs="宋体"/>
                <w:sz w:val="24"/>
                <w:szCs w:val="24"/>
                <w:highlight w:val="none"/>
              </w:rPr>
            </w:pPr>
          </w:p>
        </w:tc>
        <w:tc>
          <w:tcPr>
            <w:tcW w:w="105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备份还原的一致性校验</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提供数据库备份数据一致性校验的命令或工具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176" w:type="dxa"/>
            <w:vMerge w:val="restart"/>
            <w:tcBorders>
              <w:bottom w:val="nil"/>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集群管理</w:t>
            </w:r>
          </w:p>
        </w:tc>
        <w:tc>
          <w:tcPr>
            <w:tcW w:w="105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集群构建与管理</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a)支持集群的运行环境</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b)支持创建并配置数据库集群</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c)配置信息至少包括日常运维管理、容灾管理、日志管理、备份管理、监控等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noWrap w:val="0"/>
            <w:vAlign w:val="center"/>
          </w:tcPr>
          <w:p>
            <w:pPr>
              <w:pStyle w:val="505"/>
              <w:autoSpaceDE w:val="0"/>
              <w:autoSpaceDN w:val="0"/>
              <w:bidi w:val="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功能要求</w:t>
            </w:r>
          </w:p>
        </w:tc>
        <w:tc>
          <w:tcPr>
            <w:tcW w:w="1176" w:type="dxa"/>
            <w:vMerge w:val="continue"/>
            <w:noWrap w:val="0"/>
            <w:vAlign w:val="center"/>
          </w:tcPr>
          <w:p>
            <w:pPr>
              <w:pStyle w:val="505"/>
              <w:autoSpaceDE w:val="0"/>
              <w:autoSpaceDN w:val="0"/>
              <w:bidi w:val="0"/>
              <w:jc w:val="left"/>
              <w:rPr>
                <w:rFonts w:hint="eastAsia" w:ascii="宋体" w:hAnsi="宋体" w:eastAsia="宋体" w:cs="宋体"/>
                <w:sz w:val="24"/>
                <w:szCs w:val="24"/>
                <w:highlight w:val="none"/>
              </w:rPr>
            </w:pPr>
          </w:p>
        </w:tc>
        <w:tc>
          <w:tcPr>
            <w:tcW w:w="1059" w:type="dxa"/>
            <w:noWrap w:val="0"/>
            <w:vAlign w:val="center"/>
          </w:tcPr>
          <w:p>
            <w:pPr>
              <w:pStyle w:val="505"/>
              <w:autoSpaceDE w:val="0"/>
              <w:autoSpaceDN w:val="0"/>
              <w:bidi w:val="0"/>
              <w:jc w:val="left"/>
              <w:rPr>
                <w:rFonts w:hint="eastAsia" w:ascii="宋体" w:hAnsi="宋体" w:eastAsia="宋体" w:cs="宋体"/>
                <w:spacing w:val="-1"/>
                <w:kern w:val="2"/>
                <w:sz w:val="24"/>
                <w:szCs w:val="24"/>
                <w:highlight w:val="none"/>
                <w:lang w:val="en-US" w:eastAsia="zh-CN" w:bidi="ar"/>
              </w:rPr>
            </w:pPr>
            <w:r>
              <w:rPr>
                <w:rFonts w:hint="eastAsia" w:ascii="宋体" w:hAnsi="宋体" w:eastAsia="宋体" w:cs="宋体"/>
                <w:spacing w:val="-1"/>
                <w:kern w:val="2"/>
                <w:sz w:val="24"/>
                <w:szCs w:val="24"/>
                <w:highlight w:val="none"/>
                <w:lang w:val="en-US" w:eastAsia="zh-CN" w:bidi="ar"/>
              </w:rPr>
              <w:t>主备集群</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支持主备集群，支持数据零丢失，即主库故障，备库自动切换为主库，且数据与原主库数据一致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noWrap w:val="0"/>
            <w:vAlign w:val="center"/>
          </w:tcPr>
          <w:p>
            <w:pPr>
              <w:pStyle w:val="505"/>
              <w:autoSpaceDE w:val="0"/>
              <w:autoSpaceDN w:val="0"/>
              <w:bidi w:val="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功能要求</w:t>
            </w:r>
          </w:p>
        </w:tc>
        <w:tc>
          <w:tcPr>
            <w:tcW w:w="1176" w:type="dxa"/>
            <w:vMerge w:val="continue"/>
            <w:noWrap w:val="0"/>
            <w:vAlign w:val="center"/>
          </w:tcPr>
          <w:p>
            <w:pPr>
              <w:pStyle w:val="505"/>
              <w:autoSpaceDE w:val="0"/>
              <w:autoSpaceDN w:val="0"/>
              <w:bidi w:val="0"/>
              <w:jc w:val="left"/>
              <w:rPr>
                <w:rFonts w:hint="eastAsia" w:ascii="宋体" w:hAnsi="宋体" w:eastAsia="宋体" w:cs="宋体"/>
                <w:sz w:val="24"/>
                <w:szCs w:val="24"/>
                <w:highlight w:val="none"/>
              </w:rPr>
            </w:pPr>
          </w:p>
        </w:tc>
        <w:tc>
          <w:tcPr>
            <w:tcW w:w="1059" w:type="dxa"/>
            <w:noWrap w:val="0"/>
            <w:vAlign w:val="center"/>
          </w:tcPr>
          <w:p>
            <w:pPr>
              <w:pStyle w:val="505"/>
              <w:autoSpaceDE w:val="0"/>
              <w:autoSpaceDN w:val="0"/>
              <w:bidi w:val="0"/>
              <w:jc w:val="left"/>
              <w:rPr>
                <w:rFonts w:hint="eastAsia" w:ascii="宋体" w:hAnsi="宋体" w:eastAsia="宋体" w:cs="宋体"/>
                <w:spacing w:val="-1"/>
                <w:kern w:val="2"/>
                <w:sz w:val="24"/>
                <w:szCs w:val="24"/>
                <w:highlight w:val="none"/>
                <w:lang w:val="en-US" w:eastAsia="zh-CN" w:bidi="ar"/>
              </w:rPr>
            </w:pPr>
            <w:r>
              <w:rPr>
                <w:rFonts w:hint="eastAsia" w:ascii="宋体" w:hAnsi="宋体" w:eastAsia="宋体" w:cs="宋体"/>
                <w:spacing w:val="-1"/>
                <w:kern w:val="2"/>
                <w:sz w:val="24"/>
                <w:szCs w:val="24"/>
                <w:highlight w:val="none"/>
                <w:lang w:val="en-US" w:eastAsia="zh-CN" w:bidi="ar"/>
              </w:rPr>
              <w:t>数据同步</w:t>
            </w:r>
          </w:p>
        </w:tc>
        <w:tc>
          <w:tcPr>
            <w:tcW w:w="4489" w:type="dxa"/>
            <w:noWrap w:val="0"/>
            <w:vAlign w:val="center"/>
          </w:tcPr>
          <w:p>
            <w:pPr>
              <w:pStyle w:val="505"/>
              <w:autoSpaceDE w:val="0"/>
              <w:autoSpaceDN w:val="0"/>
              <w:bidi w:val="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支持对故障节点重新启动并自动加入集群，且历史数据自动同步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noWrap w:val="0"/>
            <w:vAlign w:val="center"/>
          </w:tcPr>
          <w:p>
            <w:pPr>
              <w:pStyle w:val="505"/>
              <w:autoSpaceDE w:val="0"/>
              <w:autoSpaceDN w:val="0"/>
              <w:bidi w:val="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功能要求</w:t>
            </w:r>
          </w:p>
        </w:tc>
        <w:tc>
          <w:tcPr>
            <w:tcW w:w="1176" w:type="dxa"/>
            <w:vMerge w:val="continue"/>
            <w:noWrap w:val="0"/>
            <w:vAlign w:val="center"/>
          </w:tcPr>
          <w:p>
            <w:pPr>
              <w:pStyle w:val="505"/>
              <w:autoSpaceDE w:val="0"/>
              <w:autoSpaceDN w:val="0"/>
              <w:bidi w:val="0"/>
              <w:jc w:val="left"/>
              <w:rPr>
                <w:rFonts w:hint="eastAsia" w:ascii="宋体" w:hAnsi="宋体" w:eastAsia="宋体" w:cs="宋体"/>
                <w:sz w:val="24"/>
                <w:szCs w:val="24"/>
                <w:highlight w:val="none"/>
              </w:rPr>
            </w:pPr>
          </w:p>
        </w:tc>
        <w:tc>
          <w:tcPr>
            <w:tcW w:w="1059" w:type="dxa"/>
            <w:noWrap w:val="0"/>
            <w:vAlign w:val="center"/>
          </w:tcPr>
          <w:p>
            <w:pPr>
              <w:pStyle w:val="505"/>
              <w:autoSpaceDE w:val="0"/>
              <w:autoSpaceDN w:val="0"/>
              <w:bidi w:val="0"/>
              <w:jc w:val="left"/>
              <w:rPr>
                <w:rFonts w:hint="eastAsia" w:ascii="宋体" w:hAnsi="宋体" w:eastAsia="宋体" w:cs="宋体"/>
                <w:spacing w:val="-1"/>
                <w:kern w:val="2"/>
                <w:sz w:val="24"/>
                <w:szCs w:val="24"/>
                <w:highlight w:val="none"/>
                <w:lang w:val="en-US" w:eastAsia="zh-CN" w:bidi="ar"/>
              </w:rPr>
            </w:pPr>
            <w:r>
              <w:rPr>
                <w:rFonts w:hint="eastAsia" w:ascii="宋体" w:hAnsi="宋体" w:eastAsia="宋体" w:cs="宋体"/>
                <w:spacing w:val="-1"/>
                <w:kern w:val="2"/>
                <w:sz w:val="24"/>
                <w:szCs w:val="24"/>
                <w:highlight w:val="none"/>
                <w:lang w:val="en-US" w:eastAsia="zh-CN" w:bidi="ar"/>
              </w:rPr>
              <w:t>共享存储</w:t>
            </w:r>
          </w:p>
        </w:tc>
        <w:tc>
          <w:tcPr>
            <w:tcW w:w="4489" w:type="dxa"/>
            <w:noWrap w:val="0"/>
            <w:vAlign w:val="center"/>
          </w:tcPr>
          <w:p>
            <w:pPr>
              <w:pStyle w:val="505"/>
              <w:autoSpaceDE w:val="0"/>
              <w:autoSpaceDN w:val="0"/>
              <w:bidi w:val="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支持数据共享存储集群，允许多个数据库实例同时访问、操作同一数据库。用户可以登录集群中的任意一个数据库实例，获得完整的数据库服务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176" w:type="dxa"/>
            <w:vMerge w:val="restart"/>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工具</w:t>
            </w:r>
          </w:p>
        </w:tc>
        <w:tc>
          <w:tcPr>
            <w:tcW w:w="105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数据库开发调试工具</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a)具备图形化功能，提高易用性</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b)具备导入、编辑、保存、执行SQL语句和SQL脚本功能</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c)具备复制、编辑现有数据库对象功能</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d)具备关键词显示标记、动态语法提示的SQL编辑器功能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176" w:type="dxa"/>
            <w:vMerge w:val="continue"/>
            <w:noWrap w:val="0"/>
            <w:vAlign w:val="center"/>
          </w:tcPr>
          <w:p>
            <w:pPr>
              <w:pStyle w:val="505"/>
              <w:autoSpaceDE w:val="0"/>
              <w:autoSpaceDN w:val="0"/>
              <w:bidi w:val="0"/>
              <w:jc w:val="left"/>
              <w:rPr>
                <w:rFonts w:hint="eastAsia" w:ascii="宋体" w:hAnsi="宋体" w:eastAsia="宋体" w:cs="宋体"/>
                <w:sz w:val="24"/>
                <w:szCs w:val="24"/>
                <w:highlight w:val="none"/>
              </w:rPr>
            </w:pPr>
          </w:p>
        </w:tc>
        <w:tc>
          <w:tcPr>
            <w:tcW w:w="105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用户、角色管理工具</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a)支持创建、修改、删除用户的功能</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b）提供定义用户的功能</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c)支持创建、修改、删除角色的功能，且提供用户自定义角色的功能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176" w:type="dxa"/>
            <w:vMerge w:val="continue"/>
            <w:noWrap w:val="0"/>
            <w:vAlign w:val="center"/>
          </w:tcPr>
          <w:p>
            <w:pPr>
              <w:pStyle w:val="505"/>
              <w:autoSpaceDE w:val="0"/>
              <w:autoSpaceDN w:val="0"/>
              <w:bidi w:val="0"/>
              <w:jc w:val="left"/>
              <w:rPr>
                <w:rFonts w:hint="eastAsia" w:ascii="宋体" w:hAnsi="宋体" w:eastAsia="宋体" w:cs="宋体"/>
                <w:sz w:val="24"/>
                <w:szCs w:val="24"/>
                <w:highlight w:val="none"/>
              </w:rPr>
            </w:pPr>
          </w:p>
        </w:tc>
        <w:tc>
          <w:tcPr>
            <w:tcW w:w="105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SQL执行计划查看工具</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a)提供与数据库管理系统进行SQL交互的工具，方便运维工作</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b)支持查看SQL语句查询执行计划与统计信息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176" w:type="dxa"/>
            <w:vMerge w:val="continue"/>
            <w:noWrap w:val="0"/>
            <w:vAlign w:val="center"/>
          </w:tcPr>
          <w:p>
            <w:pPr>
              <w:pStyle w:val="505"/>
              <w:autoSpaceDE w:val="0"/>
              <w:autoSpaceDN w:val="0"/>
              <w:bidi w:val="0"/>
              <w:jc w:val="left"/>
              <w:rPr>
                <w:rFonts w:hint="eastAsia" w:ascii="宋体" w:hAnsi="宋体" w:eastAsia="宋体" w:cs="宋体"/>
                <w:sz w:val="24"/>
                <w:szCs w:val="24"/>
                <w:highlight w:val="none"/>
              </w:rPr>
            </w:pPr>
          </w:p>
        </w:tc>
        <w:tc>
          <w:tcPr>
            <w:tcW w:w="105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数据库对象工具</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a)支持创建、修改、删除表的功能，支持定义表结构、约束、存储配置管理的功能</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b)支持创建、修改、删除索引的功能，支持定义索引结构、类型、存储配置管理的功能</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c)支持创建、修改、删除视图的功能，支持视图定义的功能</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d)支持创建、修改、删除约束的功能，支持约束定义的功能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176" w:type="dxa"/>
            <w:vMerge w:val="continue"/>
            <w:noWrap w:val="0"/>
            <w:vAlign w:val="center"/>
          </w:tcPr>
          <w:p>
            <w:pPr>
              <w:pStyle w:val="505"/>
              <w:autoSpaceDE w:val="0"/>
              <w:autoSpaceDN w:val="0"/>
              <w:bidi w:val="0"/>
              <w:jc w:val="left"/>
              <w:rPr>
                <w:rFonts w:hint="eastAsia" w:ascii="宋体" w:hAnsi="宋体" w:eastAsia="宋体" w:cs="宋体"/>
                <w:sz w:val="24"/>
                <w:szCs w:val="24"/>
                <w:highlight w:val="none"/>
              </w:rPr>
            </w:pPr>
          </w:p>
        </w:tc>
        <w:tc>
          <w:tcPr>
            <w:tcW w:w="105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导入导出工具</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a)支持导出不同格式，可以将不同格式数据导入到数据库中</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b)支持不同级别和不同数据库对象的导入/导出功能</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c)支持从文本文件或者其他上游数据源将数据导入</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d)支持SQL脚本进行导入导出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176" w:type="dxa"/>
            <w:vMerge w:val="continue"/>
            <w:tcBorders>
              <w:bottom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p>
        </w:tc>
        <w:tc>
          <w:tcPr>
            <w:tcW w:w="105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数据库运维工具</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a)支持数据库、数据库存储对象结构、数据、统计信息更新维护</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b)支持数据库创建、数据库修改、数据库删除、数据库模板维护</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c)支持数据库任务自动化调度作业管理</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d)支持图形化展示数据库管理的各种元数据界面，展示的内容具有层次性，包括模式、非模式数据字典信息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176" w:type="dxa"/>
            <w:vMerge w:val="restart"/>
            <w:tcBorders>
              <w:top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图形化管理</w:t>
            </w:r>
          </w:p>
        </w:tc>
        <w:tc>
          <w:tcPr>
            <w:tcW w:w="105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图形化的开发工具</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厂商提供图形化的开发工具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176" w:type="dxa"/>
            <w:vMerge w:val="continue"/>
            <w:tcBorders>
              <w:top w:val="single" w:color="auto" w:sz="4" w:space="0"/>
              <w:bottom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p>
        </w:tc>
        <w:tc>
          <w:tcPr>
            <w:tcW w:w="105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图形化运维工具</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厂商提供图形化的运维工具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可靠性要求</w:t>
            </w:r>
          </w:p>
        </w:tc>
        <w:tc>
          <w:tcPr>
            <w:tcW w:w="1176" w:type="dxa"/>
            <w:tcBorders>
              <w:top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稳定运行</w:t>
            </w:r>
          </w:p>
        </w:tc>
        <w:tc>
          <w:tcPr>
            <w:tcW w:w="105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稳定运行</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a)支持连续稳定运行</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b)支持数据库管理系统运行风险的报警能力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可靠性要求</w:t>
            </w:r>
          </w:p>
        </w:tc>
        <w:tc>
          <w:tcPr>
            <w:tcW w:w="1176" w:type="dxa"/>
            <w:vMerge w:val="restart"/>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故障切换</w:t>
            </w:r>
          </w:p>
        </w:tc>
        <w:tc>
          <w:tcPr>
            <w:tcW w:w="105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快速切换</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支持快速切换，在主数据库出现故障时，能够快速切换到备用数据库，保障业务正常运行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可靠性要求</w:t>
            </w:r>
          </w:p>
        </w:tc>
        <w:tc>
          <w:tcPr>
            <w:tcW w:w="1176" w:type="dxa"/>
            <w:vMerge w:val="continue"/>
            <w:tcBorders>
              <w:bottom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p>
        </w:tc>
        <w:tc>
          <w:tcPr>
            <w:tcW w:w="1059" w:type="dxa"/>
            <w:tcBorders>
              <w:bottom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恢复无断点</w:t>
            </w:r>
          </w:p>
        </w:tc>
        <w:tc>
          <w:tcPr>
            <w:tcW w:w="4489" w:type="dxa"/>
            <w:tcBorders>
              <w:bottom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支持无断点恢复能力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tcBorders>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可靠性要求</w:t>
            </w:r>
          </w:p>
        </w:tc>
        <w:tc>
          <w:tcPr>
            <w:tcW w:w="1176" w:type="dxa"/>
            <w:vMerge w:val="restart"/>
            <w:tcBorders>
              <w:top w:val="single" w:color="auto" w:sz="4" w:space="0"/>
              <w:left w:val="single" w:color="auto" w:sz="4" w:space="0"/>
              <w:bottom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容灾能力</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主备备份</w:t>
            </w:r>
          </w:p>
        </w:tc>
        <w:tc>
          <w:tcPr>
            <w:tcW w:w="4489" w:type="dxa"/>
            <w:tcBorders>
              <w:top w:val="single" w:color="auto" w:sz="4" w:space="0"/>
              <w:left w:val="single" w:color="auto" w:sz="4" w:space="0"/>
              <w:bottom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a)支持多副本，支持主副本与从副本之间的数据同步，最低时延由生产厂商提供</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b)提供基于主机的数据库复制技术，包括基于日志的备用数据库远程数据库备份技术，并具备数据副本间的复制能力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tcBorders>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可靠性要求</w:t>
            </w: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实例容灾</w:t>
            </w:r>
          </w:p>
        </w:tc>
        <w:tc>
          <w:tcPr>
            <w:tcW w:w="4489" w:type="dxa"/>
            <w:tcBorders>
              <w:top w:val="single" w:color="auto" w:sz="4" w:space="0"/>
              <w:left w:val="single" w:color="auto" w:sz="4" w:space="0"/>
              <w:bottom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a)在任意数据库实例出现故障时，集群内服务正常运行，数据不丢失，集群整体业务可用</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b)在实例故障、节点故障等单数据库实例故障时，RPO时间等于0，RTO时间小于30s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tcBorders>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可靠性要求</w:t>
            </w: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容灾部署</w:t>
            </w:r>
          </w:p>
        </w:tc>
        <w:tc>
          <w:tcPr>
            <w:tcW w:w="4489" w:type="dxa"/>
            <w:tcBorders>
              <w:top w:val="single" w:color="auto" w:sz="4" w:space="0"/>
              <w:left w:val="single" w:color="auto" w:sz="4" w:space="0"/>
              <w:bottom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a)提供远程容灾部署与管理功能</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b)提供生产中心与备份中心之间的容灾部署与管理功能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tcBorders>
              <w:bottom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可靠性要求</w:t>
            </w: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同城容灾</w:t>
            </w:r>
          </w:p>
        </w:tc>
        <w:tc>
          <w:tcPr>
            <w:tcW w:w="4489" w:type="dxa"/>
            <w:tcBorders>
              <w:top w:val="single" w:color="auto" w:sz="4" w:space="0"/>
              <w:left w:val="single" w:color="auto" w:sz="4" w:space="0"/>
              <w:bottom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a)支持同城双中心部署，当主中心故障时，业务切换到备中心</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b)由于网络、供电等原因造成的可用区级故障，触发集群计划外停机，在同城多可用区场景下，RPO时间等于0，RTO时间小于1分钟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tcBorders>
              <w:right w:val="single" w:color="auto" w:sz="4" w:space="0"/>
            </w:tcBorders>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可靠性要求</w:t>
            </w:r>
          </w:p>
        </w:tc>
        <w:tc>
          <w:tcPr>
            <w:tcW w:w="1176" w:type="dxa"/>
            <w:vMerge w:val="restart"/>
            <w:tcBorders>
              <w:top w:val="single" w:color="auto" w:sz="4" w:space="0"/>
              <w:left w:val="single" w:color="auto" w:sz="4" w:space="0"/>
              <w:bottom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容错性</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服务端编程稳定性</w:t>
            </w:r>
          </w:p>
        </w:tc>
        <w:tc>
          <w:tcPr>
            <w:tcW w:w="4489" w:type="dxa"/>
            <w:tcBorders>
              <w:top w:val="single" w:color="auto" w:sz="4" w:space="0"/>
              <w:left w:val="single" w:color="auto" w:sz="4" w:space="0"/>
              <w:bottom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支持当用户自定义的存储过程、函数运行异常时，数据库稳定运行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tcBorders>
              <w:right w:val="single" w:color="auto" w:sz="4" w:space="0"/>
            </w:tcBorders>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可靠性要求</w:t>
            </w: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网络容错</w:t>
            </w:r>
          </w:p>
        </w:tc>
        <w:tc>
          <w:tcPr>
            <w:tcW w:w="4489" w:type="dxa"/>
            <w:tcBorders>
              <w:top w:val="single" w:color="auto" w:sz="4" w:space="0"/>
              <w:left w:val="single" w:color="auto" w:sz="4" w:space="0"/>
              <w:bottom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支持网络中断时，保障事务一致性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tcBorders>
              <w:right w:val="single" w:color="auto" w:sz="4" w:space="0"/>
            </w:tcBorders>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可靠性要求</w:t>
            </w: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检测报警</w:t>
            </w:r>
          </w:p>
        </w:tc>
        <w:tc>
          <w:tcPr>
            <w:tcW w:w="4489" w:type="dxa"/>
            <w:tcBorders>
              <w:top w:val="single" w:color="auto" w:sz="4" w:space="0"/>
              <w:left w:val="single" w:color="auto" w:sz="4" w:space="0"/>
              <w:bottom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a)支持数据库实例启动时错误检测能力</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b)支持加载不同文件格式、不同大小数据出现错误时的故障检测和处理能力</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c)支持数据库备份执行过程中发生故障时报错或者报警能力</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d)支持数据库恢复发生故障时报错或者报警能力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tcBorders>
              <w:right w:val="single" w:color="auto" w:sz="4" w:space="0"/>
            </w:tcBorders>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可靠性要求</w:t>
            </w: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p>
        </w:tc>
        <w:tc>
          <w:tcPr>
            <w:tcW w:w="1059" w:type="dxa"/>
            <w:tcBorders>
              <w:top w:val="single" w:color="auto" w:sz="4" w:space="0"/>
              <w:lef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故障恢复</w:t>
            </w:r>
          </w:p>
        </w:tc>
        <w:tc>
          <w:tcPr>
            <w:tcW w:w="4489" w:type="dxa"/>
            <w:tcBorders>
              <w:top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a)系统故障重启后能正常运行且支持数据一致性</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b)支持完全媒体故障恢复的能力</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c)提供基于时间点故障恢复功能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tcBorders>
              <w:top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可靠性要求</w:t>
            </w:r>
          </w:p>
        </w:tc>
        <w:tc>
          <w:tcPr>
            <w:tcW w:w="1176" w:type="dxa"/>
            <w:vMerge w:val="continue"/>
            <w:tcBorders>
              <w:top w:val="single" w:color="auto" w:sz="4" w:space="0"/>
              <w:left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p>
        </w:tc>
        <w:tc>
          <w:tcPr>
            <w:tcW w:w="1059" w:type="dxa"/>
            <w:tcBorders>
              <w:lef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不同级别故障可恢复</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支持数据库事务故障、系统故障、存储媒体故障不同级别的可恢复能力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tcBorders>
              <w:bottom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兼容要求</w:t>
            </w:r>
          </w:p>
        </w:tc>
        <w:tc>
          <w:tcPr>
            <w:tcW w:w="1176" w:type="dxa"/>
            <w:vMerge w:val="restart"/>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软硬件</w:t>
            </w:r>
            <w:r>
              <w:rPr>
                <w:rFonts w:hint="eastAsia" w:ascii="宋体" w:hAnsi="宋体" w:eastAsia="宋体" w:cs="宋体"/>
                <w:sz w:val="24"/>
                <w:szCs w:val="24"/>
                <w:highlight w:val="none"/>
              </w:rPr>
              <w:t>兼容</w:t>
            </w:r>
          </w:p>
        </w:tc>
        <w:tc>
          <w:tcPr>
            <w:tcW w:w="105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硬件平台兼容</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a)同源支持以下至少三种CPU平台架构：1)ARM</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2)LoongArch</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3)MIPS</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4)SW64</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5)x86</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b)支持SMP和NUMA的运行环境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tcBorders>
              <w:top w:val="single" w:color="auto" w:sz="4" w:space="0"/>
              <w:bottom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兼容要求</w:t>
            </w:r>
          </w:p>
        </w:tc>
        <w:tc>
          <w:tcPr>
            <w:tcW w:w="1176" w:type="dxa"/>
            <w:vMerge w:val="continue"/>
            <w:noWrap w:val="0"/>
            <w:vAlign w:val="center"/>
          </w:tcPr>
          <w:p>
            <w:pPr>
              <w:pStyle w:val="505"/>
              <w:autoSpaceDE w:val="0"/>
              <w:autoSpaceDN w:val="0"/>
              <w:bidi w:val="0"/>
              <w:jc w:val="left"/>
              <w:rPr>
                <w:rFonts w:hint="eastAsia" w:ascii="宋体" w:hAnsi="宋体" w:eastAsia="宋体" w:cs="宋体"/>
                <w:sz w:val="24"/>
                <w:szCs w:val="24"/>
                <w:highlight w:val="none"/>
              </w:rPr>
            </w:pPr>
          </w:p>
        </w:tc>
        <w:tc>
          <w:tcPr>
            <w:tcW w:w="1059" w:type="dxa"/>
            <w:noWrap w:val="0"/>
            <w:vAlign w:val="center"/>
          </w:tcPr>
          <w:p>
            <w:pPr>
              <w:pStyle w:val="505"/>
              <w:autoSpaceDE w:val="0"/>
              <w:autoSpaceDN w:val="0"/>
              <w:bidi w:val="0"/>
              <w:jc w:val="left"/>
              <w:rPr>
                <w:rFonts w:hint="eastAsia" w:ascii="宋体" w:hAnsi="宋体" w:eastAsia="宋体" w:cs="宋体"/>
                <w:spacing w:val="-1"/>
                <w:kern w:val="2"/>
                <w:sz w:val="24"/>
                <w:szCs w:val="24"/>
                <w:highlight w:val="none"/>
                <w:lang w:val="en-US" w:eastAsia="zh-CN" w:bidi="ar"/>
              </w:rPr>
            </w:pPr>
            <w:r>
              <w:rPr>
                <w:rFonts w:hint="eastAsia" w:ascii="宋体" w:hAnsi="宋体" w:eastAsia="宋体" w:cs="宋体"/>
                <w:spacing w:val="-1"/>
                <w:kern w:val="2"/>
                <w:sz w:val="24"/>
                <w:szCs w:val="24"/>
                <w:highlight w:val="none"/>
                <w:lang w:val="en-US" w:eastAsia="zh-CN" w:bidi="ar"/>
              </w:rPr>
              <w:t>CPU兼容性</w:t>
            </w:r>
          </w:p>
        </w:tc>
        <w:tc>
          <w:tcPr>
            <w:tcW w:w="4489" w:type="dxa"/>
            <w:noWrap w:val="0"/>
            <w:vAlign w:val="center"/>
          </w:tcPr>
          <w:p>
            <w:pPr>
              <w:pStyle w:val="505"/>
              <w:autoSpaceDE w:val="0"/>
              <w:autoSpaceDN w:val="0"/>
              <w:bidi w:val="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支持主流硬件体系，支持飞腾系列、鲲鹏系列、海光系列等不同</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rPr>
              <w:t>CPU</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tcBorders>
              <w:top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兼容要求</w:t>
            </w:r>
          </w:p>
        </w:tc>
        <w:tc>
          <w:tcPr>
            <w:tcW w:w="1176" w:type="dxa"/>
            <w:vMerge w:val="continue"/>
            <w:noWrap w:val="0"/>
            <w:vAlign w:val="center"/>
          </w:tcPr>
          <w:p>
            <w:pPr>
              <w:pStyle w:val="505"/>
              <w:autoSpaceDE w:val="0"/>
              <w:autoSpaceDN w:val="0"/>
              <w:bidi w:val="0"/>
              <w:jc w:val="left"/>
              <w:rPr>
                <w:rFonts w:hint="eastAsia" w:ascii="宋体" w:hAnsi="宋体" w:eastAsia="宋体" w:cs="宋体"/>
                <w:sz w:val="24"/>
                <w:szCs w:val="24"/>
                <w:highlight w:val="none"/>
              </w:rPr>
            </w:pPr>
          </w:p>
        </w:tc>
        <w:tc>
          <w:tcPr>
            <w:tcW w:w="1059" w:type="dxa"/>
            <w:noWrap w:val="0"/>
            <w:vAlign w:val="center"/>
          </w:tcPr>
          <w:p>
            <w:pPr>
              <w:pStyle w:val="505"/>
              <w:autoSpaceDE w:val="0"/>
              <w:autoSpaceDN w:val="0"/>
              <w:bidi w:val="0"/>
              <w:jc w:val="left"/>
              <w:rPr>
                <w:rFonts w:hint="eastAsia" w:ascii="宋体" w:hAnsi="宋体" w:eastAsia="宋体" w:cs="宋体"/>
                <w:spacing w:val="-1"/>
                <w:kern w:val="2"/>
                <w:sz w:val="24"/>
                <w:szCs w:val="24"/>
                <w:highlight w:val="none"/>
                <w:lang w:val="en-US" w:eastAsia="zh-CN" w:bidi="ar"/>
              </w:rPr>
            </w:pPr>
            <w:r>
              <w:rPr>
                <w:rFonts w:hint="eastAsia" w:ascii="宋体" w:hAnsi="宋体" w:eastAsia="宋体" w:cs="宋体"/>
                <w:spacing w:val="-1"/>
                <w:kern w:val="2"/>
                <w:sz w:val="24"/>
                <w:szCs w:val="24"/>
                <w:highlight w:val="none"/>
                <w:lang w:val="en-US" w:eastAsia="zh-CN" w:bidi="ar"/>
              </w:rPr>
              <w:t>操作系统兼容</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支持麒麟、统信UOS等多种主流操作系统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兼容要求</w:t>
            </w:r>
          </w:p>
        </w:tc>
        <w:tc>
          <w:tcPr>
            <w:tcW w:w="1176" w:type="dxa"/>
            <w:vMerge w:val="restart"/>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标准兼容</w:t>
            </w:r>
          </w:p>
        </w:tc>
        <w:tc>
          <w:tcPr>
            <w:tcW w:w="105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ODBC</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支持ODBC</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兼容要求</w:t>
            </w:r>
          </w:p>
        </w:tc>
        <w:tc>
          <w:tcPr>
            <w:tcW w:w="1176" w:type="dxa"/>
            <w:vMerge w:val="continue"/>
            <w:noWrap w:val="0"/>
            <w:vAlign w:val="center"/>
          </w:tcPr>
          <w:p>
            <w:pPr>
              <w:pStyle w:val="505"/>
              <w:autoSpaceDE w:val="0"/>
              <w:autoSpaceDN w:val="0"/>
              <w:bidi w:val="0"/>
              <w:jc w:val="left"/>
              <w:rPr>
                <w:rFonts w:hint="eastAsia" w:ascii="宋体" w:hAnsi="宋体" w:eastAsia="宋体" w:cs="宋体"/>
                <w:sz w:val="24"/>
                <w:szCs w:val="24"/>
                <w:highlight w:val="none"/>
              </w:rPr>
            </w:pPr>
          </w:p>
        </w:tc>
        <w:tc>
          <w:tcPr>
            <w:tcW w:w="105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JDBC</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支持JDBC</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兼容要求</w:t>
            </w:r>
          </w:p>
        </w:tc>
        <w:tc>
          <w:tcPr>
            <w:tcW w:w="1176" w:type="dxa"/>
            <w:vMerge w:val="continue"/>
            <w:noWrap w:val="0"/>
            <w:vAlign w:val="center"/>
          </w:tcPr>
          <w:p>
            <w:pPr>
              <w:pStyle w:val="505"/>
              <w:autoSpaceDE w:val="0"/>
              <w:autoSpaceDN w:val="0"/>
              <w:bidi w:val="0"/>
              <w:jc w:val="left"/>
              <w:rPr>
                <w:rFonts w:hint="eastAsia" w:ascii="宋体" w:hAnsi="宋体" w:eastAsia="宋体" w:cs="宋体"/>
                <w:sz w:val="24"/>
                <w:szCs w:val="24"/>
                <w:highlight w:val="none"/>
              </w:rPr>
            </w:pPr>
          </w:p>
        </w:tc>
        <w:tc>
          <w:tcPr>
            <w:tcW w:w="1059" w:type="dxa"/>
            <w:noWrap w:val="0"/>
            <w:vAlign w:val="center"/>
          </w:tcPr>
          <w:p>
            <w:pPr>
              <w:pStyle w:val="505"/>
              <w:autoSpaceDE w:val="0"/>
              <w:autoSpaceDN w:val="0"/>
              <w:bidi w:val="0"/>
              <w:jc w:val="left"/>
              <w:rPr>
                <w:rFonts w:hint="eastAsia" w:ascii="宋体" w:hAnsi="宋体" w:eastAsia="宋体" w:cs="宋体"/>
                <w:spacing w:val="-1"/>
                <w:kern w:val="2"/>
                <w:sz w:val="24"/>
                <w:szCs w:val="24"/>
                <w:highlight w:val="none"/>
                <w:lang w:val="en-US" w:eastAsia="zh-CN" w:bidi="ar"/>
              </w:rPr>
            </w:pPr>
            <w:r>
              <w:rPr>
                <w:rFonts w:hint="eastAsia" w:ascii="宋体" w:hAnsi="宋体" w:eastAsia="宋体" w:cs="宋体"/>
                <w:spacing w:val="-1"/>
                <w:kern w:val="2"/>
                <w:sz w:val="24"/>
                <w:szCs w:val="24"/>
                <w:highlight w:val="none"/>
                <w:lang w:val="en-US" w:eastAsia="zh-CN" w:bidi="ar"/>
              </w:rPr>
              <w:t>第三方兼容</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兼容Oracle、Mysql、SQLServer、DB2、PostgreSQL的常用系统函数；实现对数据查询语言（DQL）、数据操纵语言（DML）和数据定义语言（DDL）的兼容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服务要求</w:t>
            </w:r>
          </w:p>
        </w:tc>
        <w:tc>
          <w:tcPr>
            <w:tcW w:w="1176"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交付方式</w:t>
            </w:r>
          </w:p>
        </w:tc>
        <w:tc>
          <w:tcPr>
            <w:tcW w:w="105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交付方式</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以光盘、便携式移动设备、镜像文件、在线下载等交付方式提供产品交付物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服务要求</w:t>
            </w:r>
          </w:p>
        </w:tc>
        <w:tc>
          <w:tcPr>
            <w:tcW w:w="1176" w:type="dxa"/>
            <w:vMerge w:val="restart"/>
            <w:tcBorders>
              <w:bottom w:val="nil"/>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服务周期</w:t>
            </w:r>
          </w:p>
        </w:tc>
        <w:tc>
          <w:tcPr>
            <w:tcW w:w="105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产品维护周期</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产品自发布之日起至产品停止功能升级（包含不限于新特性、新硬件支持、问题修复、安全补丁等）之日止≥5年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服务要求</w:t>
            </w:r>
          </w:p>
        </w:tc>
        <w:tc>
          <w:tcPr>
            <w:tcW w:w="1176" w:type="dxa"/>
            <w:vMerge w:val="continue"/>
            <w:tcBorders>
              <w:top w:val="nil"/>
              <w:bottom w:val="nil"/>
            </w:tcBorders>
            <w:noWrap w:val="0"/>
            <w:vAlign w:val="center"/>
          </w:tcPr>
          <w:p>
            <w:pPr>
              <w:pStyle w:val="505"/>
              <w:autoSpaceDE w:val="0"/>
              <w:autoSpaceDN w:val="0"/>
              <w:bidi w:val="0"/>
              <w:jc w:val="left"/>
              <w:rPr>
                <w:rFonts w:hint="eastAsia" w:ascii="宋体" w:hAnsi="宋体" w:eastAsia="宋体" w:cs="宋体"/>
                <w:sz w:val="24"/>
                <w:szCs w:val="24"/>
                <w:highlight w:val="none"/>
              </w:rPr>
            </w:pPr>
          </w:p>
        </w:tc>
        <w:tc>
          <w:tcPr>
            <w:tcW w:w="105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产品延伸服务周期</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产品停止功能升级之日起至产品停止功能维护（包括问题修复、安全补丁等）之日止≥4年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服务要求</w:t>
            </w:r>
          </w:p>
        </w:tc>
        <w:tc>
          <w:tcPr>
            <w:tcW w:w="1176" w:type="dxa"/>
            <w:vMerge w:val="continue"/>
            <w:tcBorders>
              <w:top w:val="nil"/>
              <w:bottom w:val="nil"/>
            </w:tcBorders>
            <w:noWrap w:val="0"/>
            <w:vAlign w:val="center"/>
          </w:tcPr>
          <w:p>
            <w:pPr>
              <w:pStyle w:val="505"/>
              <w:autoSpaceDE w:val="0"/>
              <w:autoSpaceDN w:val="0"/>
              <w:bidi w:val="0"/>
              <w:jc w:val="left"/>
              <w:rPr>
                <w:rFonts w:hint="eastAsia" w:ascii="宋体" w:hAnsi="宋体" w:eastAsia="宋体" w:cs="宋体"/>
                <w:sz w:val="24"/>
                <w:szCs w:val="24"/>
                <w:highlight w:val="none"/>
              </w:rPr>
            </w:pPr>
          </w:p>
        </w:tc>
        <w:tc>
          <w:tcPr>
            <w:tcW w:w="105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产品延伸安全服务周期</w:t>
            </w:r>
          </w:p>
        </w:tc>
        <w:tc>
          <w:tcPr>
            <w:tcW w:w="448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产品功能维护停止之日起至产品停止安全维护（包括中高风险漏洞修复）之日止≥2年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服务要求</w:t>
            </w:r>
          </w:p>
        </w:tc>
        <w:tc>
          <w:tcPr>
            <w:tcW w:w="1176" w:type="dxa"/>
            <w:vMerge w:val="continue"/>
            <w:tcBorders>
              <w:top w:val="nil"/>
              <w:bottom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p>
        </w:tc>
        <w:tc>
          <w:tcPr>
            <w:tcW w:w="1059" w:type="dxa"/>
            <w:tcBorders>
              <w:bottom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售后服务最小保障期</w:t>
            </w:r>
          </w:p>
        </w:tc>
        <w:tc>
          <w:tcPr>
            <w:tcW w:w="4489" w:type="dxa"/>
            <w:tcBorders>
              <w:bottom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自销售之日起，产品售后服务周期≥6年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tcBorders>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服务要求</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供应链与服务保障</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供应链与服务保障基础要求</w:t>
            </w:r>
          </w:p>
        </w:tc>
        <w:tc>
          <w:tcPr>
            <w:tcW w:w="4489" w:type="dxa"/>
            <w:tcBorders>
              <w:top w:val="single" w:color="auto" w:sz="4" w:space="0"/>
              <w:left w:val="single" w:color="auto" w:sz="4" w:space="0"/>
              <w:bottom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a)提供多种形式支持服务，包含电话、电子邮件、远程连接等</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b)提供技术支持服务，支持同城4h、异地12h响应要求，两个工作日解决问题，对于未能解决的问题和故障提供可行的升级方案</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c)提供培训材料、产品手册、培训视频等培训相关内容</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d)建立全国技术服务体系和服务团队，符合专业服务体系标准要求，提供原厂中文服务</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e)服务周期内支持版本免费升级</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f)开源产品对获得的社区源代码进行安全性和知识产权审查与管理</w:t>
            </w:r>
            <w:r>
              <w:rPr>
                <w:rFonts w:hint="eastAsia" w:ascii="宋体" w:hAnsi="宋体" w:eastAsia="宋体" w:cs="宋体"/>
                <w:sz w:val="24"/>
                <w:szCs w:val="24"/>
                <w:highlight w:val="none"/>
                <w:lang w:eastAsia="zh-CN"/>
              </w:rPr>
              <w:t>；</w:t>
            </w:r>
          </w:p>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g)提供数据库参数、慢SQL语句的性能优化指南，包含性能优化的具体措施、技巧、案例及建议等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tcBorders>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安全要求</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基本要求</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基本要求</w:t>
            </w:r>
          </w:p>
        </w:tc>
        <w:tc>
          <w:tcPr>
            <w:tcW w:w="4489" w:type="dxa"/>
            <w:tcBorders>
              <w:top w:val="single" w:color="auto" w:sz="4" w:space="0"/>
              <w:left w:val="single" w:color="auto" w:sz="4" w:space="0"/>
              <w:bottom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数据库应当符合安全可靠测评要求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tcBorders>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安全要求</w:t>
            </w:r>
          </w:p>
        </w:tc>
        <w:tc>
          <w:tcPr>
            <w:tcW w:w="1176" w:type="dxa"/>
            <w:vMerge w:val="restart"/>
            <w:tcBorders>
              <w:top w:val="single" w:color="auto" w:sz="4" w:space="0"/>
              <w:left w:val="single" w:color="auto" w:sz="4" w:space="0"/>
              <w:bottom w:val="single" w:color="auto" w:sz="4" w:space="0"/>
              <w:right w:val="single" w:color="auto" w:sz="4" w:space="0"/>
            </w:tcBorders>
            <w:noWrap w:val="0"/>
            <w:vAlign w:val="center"/>
          </w:tcPr>
          <w:p>
            <w:pPr>
              <w:pStyle w:val="505"/>
              <w:autoSpaceDE w:val="0"/>
              <w:autoSpaceDN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基础安全</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漏洞管理</w:t>
            </w:r>
          </w:p>
        </w:tc>
        <w:tc>
          <w:tcPr>
            <w:tcW w:w="4489" w:type="dxa"/>
            <w:tcBorders>
              <w:top w:val="single" w:color="auto" w:sz="4" w:space="0"/>
              <w:left w:val="single" w:color="auto" w:sz="4" w:space="0"/>
              <w:bottom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建立漏洞管理机制，及时通过邮件、网站等方式将安全漏洞告知用户，并提供安全补丁对漏洞进行修复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4"/>
              </w:numPr>
              <w:autoSpaceDE w:val="0"/>
              <w:autoSpaceDN w:val="0"/>
              <w:bidi w:val="0"/>
              <w:jc w:val="center"/>
              <w:rPr>
                <w:rFonts w:hint="eastAsia" w:ascii="宋体" w:hAnsi="宋体" w:eastAsia="宋体" w:cs="宋体"/>
                <w:sz w:val="24"/>
                <w:szCs w:val="24"/>
                <w:highlight w:val="none"/>
              </w:rPr>
            </w:pPr>
          </w:p>
        </w:tc>
        <w:tc>
          <w:tcPr>
            <w:tcW w:w="1099" w:type="dxa"/>
            <w:tcBorders>
              <w:bottom w:val="single" w:color="auto" w:sz="4" w:space="0"/>
              <w:right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安全要求</w:t>
            </w:r>
          </w:p>
        </w:tc>
        <w:tc>
          <w:tcPr>
            <w:tcW w:w="1176" w:type="dxa"/>
            <w:vMerge w:val="continue"/>
            <w:tcBorders>
              <w:top w:val="single" w:color="auto" w:sz="4" w:space="0"/>
              <w:left w:val="single" w:color="auto" w:sz="4" w:space="0"/>
              <w:bottom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p>
        </w:tc>
        <w:tc>
          <w:tcPr>
            <w:tcW w:w="1059" w:type="dxa"/>
            <w:tcBorders>
              <w:top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highlight w:val="none"/>
                <w:lang w:val="en-US" w:eastAsia="zh-CN" w:bidi="ar"/>
              </w:rPr>
              <w:t>★</w:t>
            </w:r>
            <w:r>
              <w:rPr>
                <w:rFonts w:hint="eastAsia" w:ascii="宋体" w:hAnsi="宋体" w:eastAsia="宋体" w:cs="宋体"/>
                <w:sz w:val="24"/>
                <w:szCs w:val="24"/>
                <w:highlight w:val="none"/>
              </w:rPr>
              <w:t>身份鉴别及访问控制</w:t>
            </w:r>
          </w:p>
        </w:tc>
        <w:tc>
          <w:tcPr>
            <w:tcW w:w="4489" w:type="dxa"/>
            <w:tcBorders>
              <w:top w:val="single" w:color="auto" w:sz="4" w:space="0"/>
            </w:tcBorders>
            <w:noWrap w:val="0"/>
            <w:vAlign w:val="center"/>
          </w:tcPr>
          <w:p>
            <w:pPr>
              <w:pStyle w:val="505"/>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提供身份鉴别及访问控制，加解密的密码要求符合GM/T0028的相关规定</w:t>
            </w:r>
          </w:p>
        </w:tc>
      </w:tr>
    </w:tbl>
    <w:p>
      <w:pPr>
        <w:rPr>
          <w:rFonts w:hint="eastAsia" w:ascii="宋体" w:hAnsi="宋体" w:eastAsia="宋体" w:cs="宋体"/>
          <w:sz w:val="24"/>
          <w:szCs w:val="24"/>
          <w:highlight w:val="none"/>
        </w:rPr>
      </w:pPr>
    </w:p>
    <w:p>
      <w:pPr>
        <w:pStyle w:val="4"/>
        <w:numPr>
          <w:ilvl w:val="4"/>
          <w:numId w:val="9"/>
        </w:numPr>
        <w:ind w:firstLine="335" w:firstLineChars="139"/>
        <w:contextualSpacing/>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数据库集群组件</w:t>
      </w:r>
    </w:p>
    <w:tbl>
      <w:tblPr>
        <w:tblStyle w:val="53"/>
        <w:tblpPr w:leftFromText="180" w:rightFromText="180" w:vertAnchor="text" w:horzAnchor="page" w:tblpX="1811" w:tblpY="311"/>
        <w:tblOverlap w:val="never"/>
        <w:tblW w:w="8309"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6"/>
        <w:gridCol w:w="1099"/>
        <w:gridCol w:w="1176"/>
        <w:gridCol w:w="1059"/>
        <w:gridCol w:w="44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blHeader/>
        </w:trPr>
        <w:tc>
          <w:tcPr>
            <w:tcW w:w="486" w:type="dxa"/>
            <w:noWrap w:val="0"/>
            <w:vAlign w:val="center"/>
          </w:tcPr>
          <w:p>
            <w:pPr>
              <w:pStyle w:val="504"/>
              <w:numPr>
                <w:ilvl w:val="0"/>
                <w:numId w:val="0"/>
              </w:num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099" w:type="dxa"/>
            <w:tcBorders>
              <w:bottom w:val="single" w:color="auto" w:sz="4" w:space="0"/>
            </w:tcBorders>
            <w:noWrap w:val="0"/>
            <w:vAlign w:val="center"/>
          </w:tcPr>
          <w:p>
            <w:pPr>
              <w:pStyle w:val="505"/>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指标分类</w:t>
            </w:r>
          </w:p>
        </w:tc>
        <w:tc>
          <w:tcPr>
            <w:tcW w:w="1176" w:type="dxa"/>
            <w:tcBorders>
              <w:bottom w:val="single" w:color="auto" w:sz="4" w:space="0"/>
            </w:tcBorders>
            <w:noWrap w:val="0"/>
            <w:vAlign w:val="center"/>
          </w:tcPr>
          <w:p>
            <w:pPr>
              <w:pStyle w:val="505"/>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一级指标</w:t>
            </w:r>
          </w:p>
        </w:tc>
        <w:tc>
          <w:tcPr>
            <w:tcW w:w="1059" w:type="dxa"/>
            <w:noWrap w:val="0"/>
            <w:vAlign w:val="center"/>
          </w:tcPr>
          <w:p>
            <w:pPr>
              <w:pStyle w:val="505"/>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二级指标</w:t>
            </w:r>
          </w:p>
        </w:tc>
        <w:tc>
          <w:tcPr>
            <w:tcW w:w="4489" w:type="dxa"/>
            <w:noWrap w:val="0"/>
            <w:vAlign w:val="center"/>
          </w:tcPr>
          <w:p>
            <w:pPr>
              <w:pStyle w:val="505"/>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指标要求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tcBorders>
              <w:right w:val="single" w:color="auto" w:sz="4" w:space="0"/>
            </w:tcBorders>
            <w:noWrap w:val="0"/>
            <w:vAlign w:val="center"/>
          </w:tcPr>
          <w:p>
            <w:pPr>
              <w:pStyle w:val="504"/>
              <w:numPr>
                <w:ilvl w:val="0"/>
                <w:numId w:val="15"/>
              </w:numPr>
              <w:rPr>
                <w:rFonts w:hint="eastAsia" w:ascii="宋体" w:hAnsi="宋体" w:eastAsia="宋体" w:cs="宋体"/>
                <w:sz w:val="24"/>
                <w:szCs w:val="24"/>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pPr>
              <w:pStyle w:val="50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176" w:type="dxa"/>
            <w:vMerge w:val="restart"/>
            <w:tcBorders>
              <w:top w:val="single" w:color="auto" w:sz="4" w:space="0"/>
              <w:left w:val="single" w:color="auto" w:sz="4" w:space="0"/>
              <w:bottom w:val="single" w:color="auto" w:sz="4" w:space="0"/>
              <w:right w:val="single" w:color="auto" w:sz="4" w:space="0"/>
            </w:tcBorders>
            <w:noWrap w:val="0"/>
            <w:vAlign w:val="center"/>
          </w:tcPr>
          <w:p>
            <w:pPr>
              <w:pStyle w:val="50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基础功能</w:t>
            </w:r>
          </w:p>
        </w:tc>
        <w:tc>
          <w:tcPr>
            <w:tcW w:w="1059" w:type="dxa"/>
            <w:tcBorders>
              <w:left w:val="single" w:color="auto" w:sz="4" w:space="0"/>
            </w:tcBorders>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基本功能</w:t>
            </w:r>
          </w:p>
        </w:tc>
        <w:tc>
          <w:tcPr>
            <w:tcW w:w="4489" w:type="dxa"/>
            <w:noWrap w:val="0"/>
            <w:vAlign w:val="center"/>
          </w:tcPr>
          <w:p>
            <w:pPr>
              <w:pStyle w:val="50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支持将多个数据库实例组成一个集群，以应对硬件故障等原因导致的风险。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tcBorders>
              <w:right w:val="single" w:color="auto" w:sz="4" w:space="0"/>
            </w:tcBorders>
            <w:noWrap w:val="0"/>
            <w:vAlign w:val="center"/>
          </w:tcPr>
          <w:p>
            <w:pPr>
              <w:pStyle w:val="504"/>
              <w:numPr>
                <w:ilvl w:val="0"/>
                <w:numId w:val="15"/>
              </w:numPr>
              <w:rPr>
                <w:rFonts w:hint="eastAsia" w:ascii="宋体" w:hAnsi="宋体" w:eastAsia="宋体" w:cs="宋体"/>
                <w:sz w:val="24"/>
                <w:szCs w:val="24"/>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pPr>
              <w:pStyle w:val="50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pPr>
              <w:pStyle w:val="505"/>
              <w:jc w:val="left"/>
              <w:rPr>
                <w:rFonts w:hint="eastAsia" w:ascii="宋体" w:hAnsi="宋体" w:eastAsia="宋体" w:cs="宋体"/>
                <w:sz w:val="24"/>
                <w:szCs w:val="24"/>
                <w:highlight w:val="none"/>
              </w:rPr>
            </w:pPr>
          </w:p>
        </w:tc>
        <w:tc>
          <w:tcPr>
            <w:tcW w:w="1059" w:type="dxa"/>
            <w:tcBorders>
              <w:left w:val="single" w:color="auto" w:sz="4" w:space="0"/>
            </w:tcBorders>
            <w:noWrap w:val="0"/>
            <w:vAlign w:val="center"/>
          </w:tcPr>
          <w:p>
            <w:pPr>
              <w:pStyle w:val="50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高可用性</w:t>
            </w:r>
          </w:p>
        </w:tc>
        <w:tc>
          <w:tcPr>
            <w:tcW w:w="4489" w:type="dxa"/>
            <w:noWrap w:val="0"/>
            <w:vAlign w:val="center"/>
          </w:tcPr>
          <w:p>
            <w:pPr>
              <w:pStyle w:val="50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产品兼具高可用性和高吞吐量，确保在至少一个活动节点存在时提供不间断的数据库服务。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tcBorders>
              <w:right w:val="single" w:color="auto" w:sz="4" w:space="0"/>
            </w:tcBorders>
            <w:noWrap w:val="0"/>
            <w:vAlign w:val="center"/>
          </w:tcPr>
          <w:p>
            <w:pPr>
              <w:pStyle w:val="504"/>
              <w:numPr>
                <w:ilvl w:val="0"/>
                <w:numId w:val="15"/>
              </w:numPr>
              <w:rPr>
                <w:rFonts w:hint="eastAsia" w:ascii="宋体" w:hAnsi="宋体" w:eastAsia="宋体" w:cs="宋体"/>
                <w:sz w:val="24"/>
                <w:szCs w:val="24"/>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pPr>
              <w:pStyle w:val="50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pPr>
              <w:pStyle w:val="505"/>
              <w:jc w:val="left"/>
              <w:rPr>
                <w:rFonts w:hint="eastAsia" w:ascii="宋体" w:hAnsi="宋体" w:eastAsia="宋体" w:cs="宋体"/>
                <w:sz w:val="24"/>
                <w:szCs w:val="24"/>
                <w:highlight w:val="none"/>
              </w:rPr>
            </w:pPr>
          </w:p>
        </w:tc>
        <w:tc>
          <w:tcPr>
            <w:tcW w:w="1059" w:type="dxa"/>
            <w:tcBorders>
              <w:left w:val="single" w:color="auto" w:sz="4" w:space="0"/>
            </w:tcBorders>
            <w:noWrap w:val="0"/>
            <w:vAlign w:val="center"/>
          </w:tcPr>
          <w:p>
            <w:pPr>
              <w:pStyle w:val="50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负载均衡</w:t>
            </w:r>
          </w:p>
        </w:tc>
        <w:tc>
          <w:tcPr>
            <w:tcW w:w="4489" w:type="dxa"/>
            <w:noWrap w:val="0"/>
            <w:vAlign w:val="center"/>
          </w:tcPr>
          <w:p>
            <w:pPr>
              <w:pStyle w:val="50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产品提供连接和数据的负载均衡能力。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5"/>
              </w:numPr>
              <w:rPr>
                <w:rFonts w:hint="eastAsia" w:ascii="宋体" w:hAnsi="宋体" w:eastAsia="宋体" w:cs="宋体"/>
                <w:sz w:val="24"/>
                <w:szCs w:val="24"/>
                <w:highlight w:val="none"/>
              </w:rPr>
            </w:pPr>
          </w:p>
        </w:tc>
        <w:tc>
          <w:tcPr>
            <w:tcW w:w="1099" w:type="dxa"/>
            <w:tcBorders>
              <w:top w:val="single" w:color="auto" w:sz="4" w:space="0"/>
              <w:bottom w:val="single" w:color="auto" w:sz="4" w:space="0"/>
            </w:tcBorders>
            <w:noWrap w:val="0"/>
            <w:vAlign w:val="center"/>
          </w:tcPr>
          <w:p>
            <w:pPr>
              <w:pStyle w:val="50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176" w:type="dxa"/>
            <w:vMerge w:val="continue"/>
            <w:tcBorders>
              <w:top w:val="single" w:color="auto" w:sz="4" w:space="0"/>
              <w:bottom w:val="single" w:color="auto" w:sz="4" w:space="0"/>
              <w:right w:val="single" w:color="auto" w:sz="4" w:space="0"/>
            </w:tcBorders>
            <w:noWrap w:val="0"/>
            <w:vAlign w:val="center"/>
          </w:tcPr>
          <w:p>
            <w:pPr>
              <w:pStyle w:val="505"/>
              <w:jc w:val="left"/>
              <w:rPr>
                <w:rFonts w:hint="eastAsia" w:ascii="宋体" w:hAnsi="宋体" w:eastAsia="宋体" w:cs="宋体"/>
                <w:sz w:val="24"/>
                <w:szCs w:val="24"/>
                <w:highlight w:val="none"/>
              </w:rPr>
            </w:pPr>
          </w:p>
        </w:tc>
        <w:tc>
          <w:tcPr>
            <w:tcW w:w="1059" w:type="dxa"/>
            <w:tcBorders>
              <w:left w:val="single" w:color="auto" w:sz="4" w:space="0"/>
            </w:tcBorders>
            <w:noWrap w:val="0"/>
            <w:vAlign w:val="center"/>
          </w:tcPr>
          <w:p>
            <w:pPr>
              <w:pStyle w:val="50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集群规模</w:t>
            </w:r>
          </w:p>
        </w:tc>
        <w:tc>
          <w:tcPr>
            <w:tcW w:w="4489" w:type="dxa"/>
            <w:noWrap w:val="0"/>
            <w:vAlign w:val="center"/>
          </w:tcPr>
          <w:p>
            <w:pPr>
              <w:pStyle w:val="50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集群规模可</w:t>
            </w:r>
            <w:r>
              <w:rPr>
                <w:rFonts w:hint="eastAsia" w:ascii="宋体" w:hAnsi="宋体" w:eastAsia="宋体" w:cs="宋体"/>
                <w:sz w:val="24"/>
                <w:szCs w:val="24"/>
                <w:highlight w:val="none"/>
                <w:lang w:val="en-US" w:eastAsia="zh-CN"/>
              </w:rPr>
              <w:t>调整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tcBorders>
              <w:right w:val="single" w:color="auto" w:sz="4" w:space="0"/>
            </w:tcBorders>
            <w:noWrap w:val="0"/>
            <w:vAlign w:val="center"/>
          </w:tcPr>
          <w:p>
            <w:pPr>
              <w:pStyle w:val="504"/>
              <w:numPr>
                <w:ilvl w:val="0"/>
                <w:numId w:val="15"/>
              </w:numPr>
              <w:rPr>
                <w:rFonts w:hint="eastAsia" w:ascii="宋体" w:hAnsi="宋体" w:eastAsia="宋体" w:cs="宋体"/>
                <w:sz w:val="24"/>
                <w:szCs w:val="24"/>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pPr>
              <w:pStyle w:val="50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176" w:type="dxa"/>
            <w:vMerge w:val="restart"/>
            <w:tcBorders>
              <w:top w:val="single" w:color="auto" w:sz="4" w:space="0"/>
              <w:left w:val="single" w:color="auto" w:sz="4" w:space="0"/>
              <w:right w:val="single" w:color="auto" w:sz="4" w:space="0"/>
            </w:tcBorders>
            <w:noWrap w:val="0"/>
            <w:vAlign w:val="center"/>
          </w:tcPr>
          <w:p>
            <w:pPr>
              <w:pStyle w:val="505"/>
              <w:rPr>
                <w:rFonts w:hint="eastAsia" w:ascii="宋体" w:hAnsi="宋体" w:eastAsia="宋体" w:cs="宋体"/>
                <w:sz w:val="24"/>
                <w:szCs w:val="24"/>
                <w:highlight w:val="none"/>
              </w:rPr>
            </w:pPr>
            <w:r>
              <w:rPr>
                <w:rFonts w:hint="eastAsia" w:ascii="宋体" w:hAnsi="宋体" w:eastAsia="宋体" w:cs="宋体"/>
                <w:sz w:val="24"/>
                <w:szCs w:val="24"/>
                <w:highlight w:val="none"/>
              </w:rPr>
              <w:t>扩展功能</w:t>
            </w:r>
          </w:p>
        </w:tc>
        <w:tc>
          <w:tcPr>
            <w:tcW w:w="1059" w:type="dxa"/>
            <w:tcBorders>
              <w:left w:val="single" w:color="auto" w:sz="4" w:space="0"/>
            </w:tcBorders>
            <w:noWrap w:val="0"/>
            <w:vAlign w:val="center"/>
          </w:tcPr>
          <w:p>
            <w:pPr>
              <w:pStyle w:val="505"/>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数据一致性</w:t>
            </w:r>
          </w:p>
        </w:tc>
        <w:tc>
          <w:tcPr>
            <w:tcW w:w="4489" w:type="dxa"/>
            <w:noWrap w:val="0"/>
            <w:vAlign w:val="center"/>
          </w:tcPr>
          <w:p>
            <w:pPr>
              <w:pStyle w:val="50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系统具备确保</w:t>
            </w:r>
            <w:r>
              <w:rPr>
                <w:rFonts w:hint="eastAsia" w:ascii="宋体" w:hAnsi="宋体" w:eastAsia="宋体" w:cs="宋体"/>
                <w:sz w:val="24"/>
                <w:szCs w:val="24"/>
                <w:highlight w:val="none"/>
                <w:lang w:val="en-US" w:eastAsia="zh-CN"/>
              </w:rPr>
              <w:t>同集群内</w:t>
            </w:r>
            <w:r>
              <w:rPr>
                <w:rFonts w:hint="eastAsia" w:ascii="宋体" w:hAnsi="宋体" w:eastAsia="宋体" w:cs="宋体"/>
                <w:sz w:val="24"/>
                <w:szCs w:val="24"/>
                <w:highlight w:val="none"/>
              </w:rPr>
              <w:t>数据库查询结果一致性的</w:t>
            </w:r>
            <w:r>
              <w:rPr>
                <w:rFonts w:hint="eastAsia" w:ascii="宋体" w:hAnsi="宋体" w:eastAsia="宋体" w:cs="宋体"/>
                <w:sz w:val="24"/>
                <w:szCs w:val="24"/>
                <w:highlight w:val="none"/>
                <w:lang w:val="en-US" w:eastAsia="zh-CN"/>
              </w:rPr>
              <w:t>保障</w:t>
            </w:r>
            <w:r>
              <w:rPr>
                <w:rFonts w:hint="eastAsia" w:ascii="宋体" w:hAnsi="宋体" w:eastAsia="宋体" w:cs="宋体"/>
                <w:sz w:val="24"/>
                <w:szCs w:val="24"/>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 w:hRule="atLeast"/>
        </w:trPr>
        <w:tc>
          <w:tcPr>
            <w:tcW w:w="486" w:type="dxa"/>
            <w:noWrap w:val="0"/>
            <w:vAlign w:val="center"/>
          </w:tcPr>
          <w:p>
            <w:pPr>
              <w:pStyle w:val="504"/>
              <w:numPr>
                <w:ilvl w:val="0"/>
                <w:numId w:val="15"/>
              </w:numPr>
              <w:rPr>
                <w:rFonts w:hint="eastAsia" w:ascii="宋体" w:hAnsi="宋体" w:eastAsia="宋体" w:cs="宋体"/>
                <w:sz w:val="24"/>
                <w:szCs w:val="24"/>
                <w:highlight w:val="none"/>
              </w:rPr>
            </w:pPr>
          </w:p>
        </w:tc>
        <w:tc>
          <w:tcPr>
            <w:tcW w:w="1099" w:type="dxa"/>
            <w:tcBorders>
              <w:right w:val="single" w:color="auto" w:sz="4" w:space="0"/>
            </w:tcBorders>
            <w:noWrap w:val="0"/>
            <w:vAlign w:val="center"/>
          </w:tcPr>
          <w:p>
            <w:pPr>
              <w:pStyle w:val="50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176" w:type="dxa"/>
            <w:vMerge w:val="continue"/>
            <w:tcBorders>
              <w:left w:val="single" w:color="auto" w:sz="4" w:space="0"/>
              <w:right w:val="single" w:color="auto" w:sz="4" w:space="0"/>
            </w:tcBorders>
            <w:noWrap w:val="0"/>
            <w:vAlign w:val="center"/>
          </w:tcPr>
          <w:p>
            <w:pPr>
              <w:pStyle w:val="505"/>
              <w:jc w:val="left"/>
              <w:rPr>
                <w:rFonts w:hint="eastAsia" w:ascii="宋体" w:hAnsi="宋体" w:eastAsia="宋体" w:cs="宋体"/>
                <w:sz w:val="24"/>
                <w:szCs w:val="24"/>
                <w:highlight w:val="none"/>
              </w:rPr>
            </w:pPr>
          </w:p>
        </w:tc>
        <w:tc>
          <w:tcPr>
            <w:tcW w:w="1059" w:type="dxa"/>
            <w:tcBorders>
              <w:left w:val="single" w:color="auto" w:sz="4" w:space="0"/>
            </w:tcBorders>
            <w:noWrap w:val="0"/>
            <w:vAlign w:val="center"/>
          </w:tcPr>
          <w:p>
            <w:pPr>
              <w:pStyle w:val="505"/>
              <w:jc w:val="left"/>
              <w:rPr>
                <w:rFonts w:hint="eastAsia" w:ascii="宋体" w:hAnsi="宋体" w:eastAsia="宋体" w:cs="宋体"/>
                <w:spacing w:val="-1"/>
                <w:sz w:val="24"/>
                <w:szCs w:val="24"/>
                <w:highlight w:val="none"/>
                <w:lang w:bidi="ar"/>
              </w:rPr>
            </w:pPr>
            <w:r>
              <w:rPr>
                <w:rFonts w:hint="eastAsia" w:ascii="宋体" w:hAnsi="宋体" w:eastAsia="宋体" w:cs="宋体"/>
                <w:spacing w:val="-1"/>
                <w:sz w:val="24"/>
                <w:szCs w:val="24"/>
                <w:highlight w:val="none"/>
                <w:lang w:val="en-US" w:eastAsia="zh-CN" w:bidi="ar"/>
              </w:rPr>
              <w:t>#</w:t>
            </w:r>
            <w:r>
              <w:rPr>
                <w:rFonts w:hint="eastAsia" w:ascii="宋体" w:hAnsi="宋体" w:eastAsia="宋体" w:cs="宋体"/>
                <w:spacing w:val="-1"/>
                <w:sz w:val="24"/>
                <w:szCs w:val="24"/>
                <w:highlight w:val="none"/>
                <w:lang w:bidi="ar"/>
              </w:rPr>
              <w:t>自动恢复</w:t>
            </w:r>
          </w:p>
        </w:tc>
        <w:tc>
          <w:tcPr>
            <w:tcW w:w="4489" w:type="dxa"/>
            <w:noWrap w:val="0"/>
            <w:vAlign w:val="center"/>
          </w:tcPr>
          <w:p>
            <w:pPr>
              <w:pStyle w:val="50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且支持故障</w:t>
            </w:r>
            <w:r>
              <w:rPr>
                <w:rFonts w:hint="eastAsia" w:ascii="宋体" w:hAnsi="宋体" w:eastAsia="宋体" w:cs="宋体"/>
                <w:sz w:val="24"/>
                <w:szCs w:val="24"/>
                <w:highlight w:val="none"/>
                <w:lang w:val="en-US" w:eastAsia="zh-CN"/>
              </w:rPr>
              <w:t>自动或手动切换</w:t>
            </w:r>
            <w:r>
              <w:rPr>
                <w:rFonts w:hint="eastAsia" w:ascii="宋体" w:hAnsi="宋体" w:eastAsia="宋体" w:cs="宋体"/>
                <w:sz w:val="24"/>
                <w:szCs w:val="24"/>
                <w:highlight w:val="none"/>
              </w:rPr>
              <w:t>。</w:t>
            </w:r>
          </w:p>
        </w:tc>
      </w:tr>
    </w:tbl>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pStyle w:val="4"/>
        <w:numPr>
          <w:ilvl w:val="4"/>
          <w:numId w:val="9"/>
        </w:numPr>
        <w:ind w:firstLine="335" w:firstLineChars="139"/>
        <w:contextualSpacing/>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val="en-US" w:eastAsia="zh-CN" w:bidi="ar"/>
        </w:rPr>
        <w:t>消息中间件</w:t>
      </w:r>
    </w:p>
    <w:tbl>
      <w:tblPr>
        <w:tblStyle w:val="53"/>
        <w:tblW w:w="8519" w:type="dxa"/>
        <w:tblInd w:w="0" w:type="dxa"/>
        <w:tblLayout w:type="fixed"/>
        <w:tblCellMar>
          <w:top w:w="0" w:type="dxa"/>
          <w:left w:w="108" w:type="dxa"/>
          <w:bottom w:w="0" w:type="dxa"/>
          <w:right w:w="108" w:type="dxa"/>
        </w:tblCellMar>
      </w:tblPr>
      <w:tblGrid>
        <w:gridCol w:w="698"/>
        <w:gridCol w:w="939"/>
        <w:gridCol w:w="5785"/>
        <w:gridCol w:w="1097"/>
      </w:tblGrid>
      <w:tr>
        <w:tblPrEx>
          <w:tblLayout w:type="fixed"/>
          <w:tblCellMar>
            <w:top w:w="0" w:type="dxa"/>
            <w:left w:w="108" w:type="dxa"/>
            <w:bottom w:w="0" w:type="dxa"/>
            <w:right w:w="108" w:type="dxa"/>
          </w:tblCellMar>
        </w:tblPrEx>
        <w:trPr>
          <w:trHeight w:val="46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序号</w:t>
            </w:r>
          </w:p>
        </w:tc>
        <w:tc>
          <w:tcPr>
            <w:tcW w:w="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重要性</w:t>
            </w:r>
          </w:p>
        </w:tc>
        <w:tc>
          <w:tcPr>
            <w:tcW w:w="5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参数要求</w:t>
            </w:r>
          </w:p>
        </w:tc>
        <w:tc>
          <w:tcPr>
            <w:tcW w:w="10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备注</w:t>
            </w:r>
          </w:p>
        </w:tc>
      </w:tr>
      <w:tr>
        <w:tblPrEx>
          <w:tblLayout w:type="fixed"/>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w:t>
            </w:r>
          </w:p>
        </w:tc>
        <w:tc>
          <w:tcPr>
            <w:tcW w:w="5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符合国家消息中间件标准规范，有软件著作权。</w:t>
            </w:r>
          </w:p>
        </w:tc>
        <w:tc>
          <w:tcPr>
            <w:tcW w:w="109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提供材料</w:t>
            </w:r>
          </w:p>
        </w:tc>
      </w:tr>
      <w:tr>
        <w:tblPrEx>
          <w:tblLayout w:type="fixed"/>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93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5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消息中间件必须是成熟、稳定、可靠的正式产品，有成熟的用户群，提供</w:t>
            </w:r>
            <w:r>
              <w:rPr>
                <w:rFonts w:hint="eastAsia" w:ascii="宋体" w:hAnsi="宋体" w:eastAsia="宋体" w:cs="宋体"/>
                <w:color w:val="000000"/>
                <w:sz w:val="24"/>
                <w:szCs w:val="24"/>
                <w:highlight w:val="none"/>
                <w:lang w:val="en-US" w:eastAsia="zh-CN"/>
              </w:rPr>
              <w:t>2022年11月1日至投标文件递交截止日完成的或正在实施的同类项目的合同或其他案例</w:t>
            </w:r>
            <w:r>
              <w:rPr>
                <w:rFonts w:hint="eastAsia" w:ascii="宋体" w:hAnsi="宋体" w:eastAsia="宋体" w:cs="宋体"/>
                <w:color w:val="000000"/>
                <w:sz w:val="24"/>
                <w:szCs w:val="24"/>
                <w:highlight w:val="none"/>
              </w:rPr>
              <w:t>证明。</w:t>
            </w:r>
          </w:p>
        </w:tc>
        <w:tc>
          <w:tcPr>
            <w:tcW w:w="109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提供材料</w:t>
            </w:r>
          </w:p>
        </w:tc>
      </w:tr>
      <w:tr>
        <w:tblPrEx>
          <w:tblLayout w:type="fixed"/>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highlight w:val="none"/>
              </w:rPr>
            </w:pPr>
          </w:p>
        </w:tc>
        <w:tc>
          <w:tcPr>
            <w:tcW w:w="5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支持</w:t>
            </w:r>
            <w:r>
              <w:rPr>
                <w:rFonts w:hint="eastAsia" w:ascii="宋体" w:hAnsi="宋体" w:eastAsia="宋体" w:cs="宋体"/>
                <w:color w:val="000000"/>
                <w:sz w:val="24"/>
                <w:szCs w:val="24"/>
                <w:highlight w:val="none"/>
                <w:lang w:val="en-US" w:eastAsia="zh-CN"/>
              </w:rPr>
              <w:t>国产</w:t>
            </w:r>
            <w:r>
              <w:rPr>
                <w:rFonts w:hint="eastAsia" w:ascii="宋体" w:hAnsi="宋体" w:eastAsia="宋体" w:cs="宋体"/>
                <w:color w:val="000000"/>
                <w:sz w:val="24"/>
                <w:szCs w:val="24"/>
                <w:highlight w:val="none"/>
              </w:rPr>
              <w:t>芯片，如飞腾、龙芯、申威、兆芯等。</w:t>
            </w:r>
          </w:p>
        </w:tc>
        <w:tc>
          <w:tcPr>
            <w:tcW w:w="109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highlight w:val="none"/>
              </w:rPr>
            </w:pPr>
          </w:p>
        </w:tc>
      </w:tr>
      <w:tr>
        <w:tblPrEx>
          <w:tblLayout w:type="fixed"/>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w:t>
            </w:r>
          </w:p>
        </w:tc>
        <w:tc>
          <w:tcPr>
            <w:tcW w:w="93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sz w:val="24"/>
                <w:szCs w:val="24"/>
                <w:highlight w:val="none"/>
                <w:u w:val="none"/>
                <w:lang w:val="en-US" w:eastAsia="zh-CN"/>
              </w:rPr>
              <w:t>#</w:t>
            </w:r>
          </w:p>
        </w:tc>
        <w:tc>
          <w:tcPr>
            <w:tcW w:w="5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提供多核心机制，能够充分利用机器提供的硬件资源，如多CPU、多核、多线程；能够充分利用系统硬件资源，提高传输效率。</w:t>
            </w:r>
          </w:p>
        </w:tc>
        <w:tc>
          <w:tcPr>
            <w:tcW w:w="109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highlight w:val="none"/>
              </w:rPr>
            </w:pPr>
          </w:p>
        </w:tc>
      </w:tr>
      <w:tr>
        <w:tblPrEx>
          <w:tblLayout w:type="fixed"/>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w:t>
            </w:r>
          </w:p>
        </w:tc>
        <w:tc>
          <w:tcPr>
            <w:tcW w:w="93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highlight w:val="none"/>
              </w:rPr>
            </w:pPr>
          </w:p>
        </w:tc>
        <w:tc>
          <w:tcPr>
            <w:tcW w:w="5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支持消息可靠传输、持久化存储以及断点续传。</w:t>
            </w:r>
          </w:p>
        </w:tc>
        <w:tc>
          <w:tcPr>
            <w:tcW w:w="109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highlight w:val="none"/>
              </w:rPr>
            </w:pPr>
          </w:p>
        </w:tc>
      </w:tr>
      <w:tr>
        <w:tblPrEx>
          <w:tblLayout w:type="fixed"/>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w:t>
            </w:r>
          </w:p>
        </w:tc>
        <w:tc>
          <w:tcPr>
            <w:tcW w:w="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highlight w:val="none"/>
              </w:rPr>
            </w:pPr>
          </w:p>
        </w:tc>
        <w:tc>
          <w:tcPr>
            <w:tcW w:w="5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支持消息生命周期管理。可以设定消息生命周期，及时清除失效消息，防止失效消息占用资源。</w:t>
            </w:r>
          </w:p>
        </w:tc>
        <w:tc>
          <w:tcPr>
            <w:tcW w:w="10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highlight w:val="none"/>
              </w:rPr>
            </w:pPr>
          </w:p>
        </w:tc>
      </w:tr>
    </w:tbl>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pStyle w:val="4"/>
        <w:numPr>
          <w:ilvl w:val="4"/>
          <w:numId w:val="9"/>
        </w:numPr>
        <w:ind w:firstLine="335" w:firstLineChars="139"/>
        <w:contextualSpacing/>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val="en-US" w:eastAsia="zh-CN" w:bidi="ar"/>
        </w:rPr>
        <w:t>缓存中间件（4G）</w:t>
      </w:r>
    </w:p>
    <w:tbl>
      <w:tblPr>
        <w:tblStyle w:val="53"/>
        <w:tblW w:w="8519" w:type="dxa"/>
        <w:tblInd w:w="0" w:type="dxa"/>
        <w:tblLayout w:type="fixed"/>
        <w:tblCellMar>
          <w:top w:w="0" w:type="dxa"/>
          <w:left w:w="108" w:type="dxa"/>
          <w:bottom w:w="0" w:type="dxa"/>
          <w:right w:w="108" w:type="dxa"/>
        </w:tblCellMar>
      </w:tblPr>
      <w:tblGrid>
        <w:gridCol w:w="698"/>
        <w:gridCol w:w="939"/>
        <w:gridCol w:w="5785"/>
        <w:gridCol w:w="1097"/>
      </w:tblGrid>
      <w:tr>
        <w:tblPrEx>
          <w:tblLayout w:type="fixed"/>
          <w:tblCellMar>
            <w:top w:w="0" w:type="dxa"/>
            <w:left w:w="108" w:type="dxa"/>
            <w:bottom w:w="0" w:type="dxa"/>
            <w:right w:w="108" w:type="dxa"/>
          </w:tblCellMar>
        </w:tblPrEx>
        <w:trPr>
          <w:trHeight w:val="46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序号</w:t>
            </w:r>
          </w:p>
        </w:tc>
        <w:tc>
          <w:tcPr>
            <w:tcW w:w="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重要性</w:t>
            </w:r>
          </w:p>
        </w:tc>
        <w:tc>
          <w:tcPr>
            <w:tcW w:w="5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参数要求</w:t>
            </w:r>
          </w:p>
        </w:tc>
        <w:tc>
          <w:tcPr>
            <w:tcW w:w="10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备注</w:t>
            </w:r>
          </w:p>
        </w:tc>
      </w:tr>
      <w:tr>
        <w:tblPrEx>
          <w:tblLayout w:type="fixed"/>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93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5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产品须具有自主知识产权产品，并提供软件著作权证明。</w:t>
            </w:r>
          </w:p>
        </w:tc>
        <w:tc>
          <w:tcPr>
            <w:tcW w:w="109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提供材料</w:t>
            </w:r>
          </w:p>
        </w:tc>
      </w:tr>
      <w:tr>
        <w:tblPrEx>
          <w:tblLayout w:type="fixed"/>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p>
        </w:tc>
        <w:tc>
          <w:tcPr>
            <w:tcW w:w="93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highlight w:val="none"/>
              </w:rPr>
            </w:pPr>
          </w:p>
        </w:tc>
        <w:tc>
          <w:tcPr>
            <w:tcW w:w="5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产品应具有良好的高可用性，当集群中所有主节点因故障宕机时，系统仍然具备数据服务能力</w:t>
            </w:r>
          </w:p>
        </w:tc>
        <w:tc>
          <w:tcPr>
            <w:tcW w:w="109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highlight w:val="none"/>
              </w:rPr>
            </w:pPr>
          </w:p>
        </w:tc>
      </w:tr>
      <w:tr>
        <w:tblPrEx>
          <w:tblLayout w:type="fixed"/>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p>
        </w:tc>
        <w:tc>
          <w:tcPr>
            <w:tcW w:w="93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highlight w:val="none"/>
              </w:rPr>
            </w:pPr>
          </w:p>
        </w:tc>
        <w:tc>
          <w:tcPr>
            <w:tcW w:w="5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考虑业务运行环境的多样性特点，产品应具备异构操作系统环境的兼容能力，无需针对不同设备及操作系统分别进行编译</w:t>
            </w:r>
          </w:p>
        </w:tc>
        <w:tc>
          <w:tcPr>
            <w:tcW w:w="109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highlight w:val="none"/>
              </w:rPr>
            </w:pPr>
          </w:p>
        </w:tc>
      </w:tr>
      <w:tr>
        <w:tblPrEx>
          <w:tblLayout w:type="fixed"/>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w:t>
            </w:r>
          </w:p>
        </w:tc>
        <w:tc>
          <w:tcPr>
            <w:tcW w:w="93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highlight w:val="none"/>
              </w:rPr>
            </w:pPr>
          </w:p>
        </w:tc>
        <w:tc>
          <w:tcPr>
            <w:tcW w:w="5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产品兼容</w:t>
            </w:r>
            <w:r>
              <w:rPr>
                <w:rFonts w:hint="eastAsia" w:ascii="宋体" w:hAnsi="宋体" w:eastAsia="宋体" w:cs="宋体"/>
                <w:sz w:val="24"/>
                <w:szCs w:val="24"/>
                <w:highlight w:val="none"/>
                <w:lang w:val="en-US" w:eastAsia="zh-CN"/>
              </w:rPr>
              <w:t>国产</w:t>
            </w:r>
            <w:r>
              <w:rPr>
                <w:rFonts w:hint="eastAsia" w:ascii="宋体" w:hAnsi="宋体" w:eastAsia="宋体" w:cs="宋体"/>
                <w:sz w:val="24"/>
                <w:szCs w:val="24"/>
                <w:highlight w:val="none"/>
              </w:rPr>
              <w:t>主流CPU，包括龙芯、飞腾、海光、鲲鹏、兆芯、申威等。</w:t>
            </w:r>
          </w:p>
        </w:tc>
        <w:tc>
          <w:tcPr>
            <w:tcW w:w="109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highlight w:val="none"/>
              </w:rPr>
            </w:pPr>
          </w:p>
        </w:tc>
      </w:tr>
      <w:tr>
        <w:tblPrEx>
          <w:tblLayout w:type="fixed"/>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w:t>
            </w:r>
          </w:p>
        </w:tc>
        <w:tc>
          <w:tcPr>
            <w:tcW w:w="93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highlight w:val="none"/>
              </w:rPr>
            </w:pPr>
          </w:p>
        </w:tc>
        <w:tc>
          <w:tcPr>
            <w:tcW w:w="5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产品具备动态配置管理能力，即支持通过可视化方式调整系统运行参数，参数调整后能够动态生效。</w:t>
            </w:r>
          </w:p>
        </w:tc>
        <w:tc>
          <w:tcPr>
            <w:tcW w:w="109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highlight w:val="none"/>
              </w:rPr>
            </w:pPr>
          </w:p>
        </w:tc>
      </w:tr>
      <w:tr>
        <w:tblPrEx>
          <w:tblLayout w:type="fixed"/>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w:t>
            </w:r>
          </w:p>
        </w:tc>
        <w:tc>
          <w:tcPr>
            <w:tcW w:w="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highlight w:val="none"/>
              </w:rPr>
            </w:pPr>
          </w:p>
        </w:tc>
        <w:tc>
          <w:tcPr>
            <w:tcW w:w="5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产品具备运行时可视化监控能力，可对数据节点的运行状态，如：资源占用情况和数据使用情况等信息进行监控管理。</w:t>
            </w:r>
          </w:p>
        </w:tc>
        <w:tc>
          <w:tcPr>
            <w:tcW w:w="10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highlight w:val="none"/>
              </w:rPr>
            </w:pPr>
          </w:p>
        </w:tc>
      </w:tr>
      <w:tr>
        <w:tblPrEx>
          <w:tblLayout w:type="fixed"/>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w:t>
            </w:r>
          </w:p>
        </w:tc>
        <w:tc>
          <w:tcPr>
            <w:tcW w:w="93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highlight w:val="none"/>
              </w:rPr>
            </w:pPr>
          </w:p>
        </w:tc>
        <w:tc>
          <w:tcPr>
            <w:tcW w:w="5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产品具备运行时可视化缓存数据维护能力，可通过可视化管理界面，完成缓存数据检索查询，并支持缓存数据的新增、修改、删除等操作。</w:t>
            </w:r>
          </w:p>
        </w:tc>
        <w:tc>
          <w:tcPr>
            <w:tcW w:w="109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highlight w:val="none"/>
              </w:rPr>
            </w:pPr>
          </w:p>
        </w:tc>
      </w:tr>
    </w:tbl>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pStyle w:val="2"/>
        <w:numPr>
          <w:ilvl w:val="3"/>
          <w:numId w:val="9"/>
        </w:numPr>
        <w:ind w:firstLine="335" w:firstLineChars="139"/>
        <w:contextualSpacing/>
        <w:jc w:val="left"/>
        <w:rPr>
          <w:rFonts w:hint="eastAsia" w:ascii="宋体" w:hAnsi="宋体" w:eastAsia="宋体" w:cs="宋体"/>
          <w:i w:val="0"/>
          <w:sz w:val="24"/>
          <w:szCs w:val="24"/>
          <w:highlight w:val="none"/>
        </w:rPr>
      </w:pPr>
      <w:r>
        <w:rPr>
          <w:rFonts w:hint="eastAsia" w:ascii="宋体" w:hAnsi="宋体" w:eastAsia="宋体" w:cs="宋体"/>
          <w:sz w:val="24"/>
          <w:szCs w:val="24"/>
          <w:highlight w:val="none"/>
        </w:rPr>
        <w:t>采购标的需满足的服务标准、期限、效率等要求</w:t>
      </w:r>
    </w:p>
    <w:p>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b w:val="0"/>
          <w:bCs w:val="0"/>
          <w:spacing w:val="0"/>
          <w:w w:val="100"/>
          <w:sz w:val="24"/>
          <w:szCs w:val="24"/>
          <w:highlight w:val="none"/>
          <w:lang w:eastAsia="zh-CN"/>
        </w:rPr>
        <w:t>★</w:t>
      </w:r>
      <w:r>
        <w:rPr>
          <w:rFonts w:hint="eastAsia" w:ascii="宋体" w:hAnsi="宋体" w:eastAsia="宋体" w:cs="宋体"/>
          <w:sz w:val="24"/>
          <w:szCs w:val="24"/>
          <w:highlight w:val="none"/>
        </w:rPr>
        <w:t>1.提供相关产品的正版软件采购，并包含为期三年的维护服务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提供承诺函并加盖投标人公章</w:t>
      </w:r>
      <w:r>
        <w:rPr>
          <w:rFonts w:hint="eastAsia" w:ascii="宋体" w:hAnsi="宋体" w:eastAsia="宋体" w:cs="宋体"/>
          <w:sz w:val="24"/>
          <w:szCs w:val="24"/>
          <w:highlight w:val="none"/>
        </w:rPr>
        <w:t>。</w:t>
      </w:r>
    </w:p>
    <w:p>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2.产品部署及使用指导。支持通过电话、邮件、官网等远程方式，对系统部署提供相关技术指导工作，包括不同介质安装源制作、系统分区建议、安装过程配置等。</w:t>
      </w:r>
    </w:p>
    <w:p>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3.产品系统升级。支持提供在线升级服务（同一系统版本内升级），包括产品新功能、Bug修复、安全问题修复等，但不含内网升级。</w:t>
      </w:r>
    </w:p>
    <w:p>
      <w:pPr>
        <w:spacing w:line="560" w:lineRule="exact"/>
        <w:ind w:firstLine="480" w:firstLineChars="200"/>
        <w:rPr>
          <w:rFonts w:hint="eastAsia" w:ascii="宋体" w:hAnsi="宋体" w:eastAsia="宋体" w:cs="宋体"/>
          <w:color w:val="222222"/>
          <w:sz w:val="24"/>
          <w:szCs w:val="24"/>
          <w:highlight w:val="none"/>
          <w:shd w:val="clear" w:color="auto" w:fill="FFFFFF"/>
        </w:rPr>
      </w:pPr>
      <w:r>
        <w:rPr>
          <w:rFonts w:hint="eastAsia" w:ascii="宋体" w:hAnsi="宋体" w:eastAsia="宋体" w:cs="宋体"/>
          <w:sz w:val="24"/>
          <w:szCs w:val="24"/>
          <w:highlight w:val="none"/>
        </w:rPr>
        <w:t>4.访问技术资源的方式。支持</w:t>
      </w:r>
      <w:r>
        <w:rPr>
          <w:rFonts w:hint="eastAsia" w:ascii="宋体" w:hAnsi="宋体" w:eastAsia="宋体" w:cs="宋体"/>
          <w:color w:val="222222"/>
          <w:sz w:val="24"/>
          <w:szCs w:val="24"/>
          <w:highlight w:val="none"/>
          <w:shd w:val="clear" w:color="auto" w:fill="FFFFFF"/>
        </w:rPr>
        <w:t>通过电话、微信公众号、电子邮件等与</w:t>
      </w:r>
      <w:r>
        <w:rPr>
          <w:rFonts w:hint="eastAsia" w:ascii="宋体" w:hAnsi="宋体" w:eastAsia="宋体" w:cs="宋体"/>
          <w:color w:val="222222"/>
          <w:sz w:val="24"/>
          <w:szCs w:val="24"/>
          <w:highlight w:val="none"/>
          <w:shd w:val="clear" w:color="auto" w:fill="FFFFFF"/>
          <w:lang w:val="en-US" w:eastAsia="zh-CN"/>
        </w:rPr>
        <w:t>中标人</w:t>
      </w:r>
      <w:r>
        <w:rPr>
          <w:rFonts w:hint="eastAsia" w:ascii="宋体" w:hAnsi="宋体" w:eastAsia="宋体" w:cs="宋体"/>
          <w:color w:val="222222"/>
          <w:sz w:val="24"/>
          <w:szCs w:val="24"/>
          <w:highlight w:val="none"/>
          <w:shd w:val="clear" w:color="auto" w:fill="FFFFFF"/>
        </w:rPr>
        <w:t>建立联系，解决相关软件问题。</w:t>
      </w:r>
    </w:p>
    <w:p>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软件更新使用许可。在已购买原始软件授权许可的情况下，可获取本服务覆盖的软件更新使用许可，但跨大版本更新非免费提供。对于涉及的第三方软件产品，应遵循第三方软件的当前许可条款（其中包括依据该服务提供的任何第三方软件许可条款）。</w:t>
      </w:r>
    </w:p>
    <w:p>
      <w:pPr>
        <w:pStyle w:val="505"/>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6.软件支持服务。软件出现问题后，原厂工程师将根据故障严重级别作出相应的响应。在工作时段范围以外接听并应答的呼叫，响应和处理时间从正常工作时间开始算起。</w:t>
      </w:r>
      <w:r>
        <w:rPr>
          <w:rFonts w:hint="eastAsia" w:ascii="宋体" w:hAnsi="宋体" w:eastAsia="宋体" w:cs="宋体"/>
          <w:sz w:val="24"/>
          <w:szCs w:val="24"/>
          <w:highlight w:val="none"/>
          <w:lang w:val="en-US" w:eastAsia="zh-CN"/>
        </w:rPr>
        <w:t>中标人</w:t>
      </w:r>
      <w:r>
        <w:rPr>
          <w:rFonts w:hint="eastAsia" w:ascii="宋体" w:hAnsi="宋体" w:eastAsia="宋体" w:cs="宋体"/>
          <w:sz w:val="24"/>
          <w:szCs w:val="24"/>
          <w:highlight w:val="none"/>
        </w:rPr>
        <w:t>需提供故障诊断与处置、应用使用指导和远程问题处理等服务。</w:t>
      </w:r>
    </w:p>
    <w:p>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7.软件功能及运维支持。原厂需提供有关产品功能、已知问题、可用解决方案以及运维建议和帮助等各方面的信息。</w:t>
      </w:r>
    </w:p>
    <w:p>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 5*8远程技术支持。服务范围主要包括：1） 技术问题分析、排查，对复杂问题确定问题范围；2）技术问题快速定位，分析原因并修复故障；3）疑难问题处理及与研发团队协调，代码级缺陷、Bug、漏洞补丁处理，重、难点问题的技术攻关；4）5*8小时常规技术支持，包括电话、邮箱、微信、在线等方式。</w:t>
      </w:r>
    </w:p>
    <w:p>
      <w:pPr>
        <w:pStyle w:val="2"/>
        <w:numPr>
          <w:ilvl w:val="3"/>
          <w:numId w:val="9"/>
        </w:numPr>
        <w:ind w:firstLine="335" w:firstLineChars="139"/>
        <w:contextualSpacing/>
        <w:jc w:val="left"/>
        <w:rPr>
          <w:rFonts w:hint="eastAsia" w:ascii="宋体" w:hAnsi="宋体" w:eastAsia="宋体" w:cs="宋体"/>
          <w:i w:val="0"/>
          <w:sz w:val="24"/>
          <w:szCs w:val="24"/>
          <w:highlight w:val="none"/>
        </w:rPr>
      </w:pPr>
      <w:r>
        <w:rPr>
          <w:rFonts w:hint="eastAsia" w:ascii="宋体" w:hAnsi="宋体" w:eastAsia="宋体" w:cs="宋体"/>
          <w:sz w:val="24"/>
          <w:szCs w:val="24"/>
          <w:highlight w:val="none"/>
        </w:rPr>
        <w:t>需由供应商提供设计方案、解决方案或者组织方案的采购项目，应当说明采购标的的功能、应用场景、目标等基本要求</w:t>
      </w:r>
    </w:p>
    <w:p>
      <w:pPr>
        <w:adjustRightInd/>
        <w:spacing w:line="360" w:lineRule="auto"/>
        <w:ind w:firstLine="420" w:firstLineChars="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建设内容</w:t>
      </w:r>
    </w:p>
    <w:p>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本项目的主要建设内容是在同城应急保障中心，为预算管理一体化系统提供运行所需的运行环境。采购基础软件等必要设施，为预算管理一体化系统的应用连续性应急保障构建相应的国产化配套支撑环境，确保预算管理一体化系统在灾难发生时顺利接管服务</w:t>
      </w:r>
      <w:r>
        <w:rPr>
          <w:rFonts w:hint="eastAsia" w:ascii="宋体" w:hAnsi="宋体" w:eastAsia="宋体" w:cs="宋体"/>
          <w:sz w:val="24"/>
          <w:szCs w:val="24"/>
          <w:highlight w:val="none"/>
        </w:rPr>
        <w:t>。</w:t>
      </w:r>
    </w:p>
    <w:p>
      <w:pPr>
        <w:widowControl/>
        <w:adjustRightInd/>
        <w:spacing w:line="360" w:lineRule="auto"/>
        <w:ind w:firstLine="482" w:firstLineChars="200"/>
        <w:contextualSpacing/>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技术服务方案</w:t>
      </w:r>
    </w:p>
    <w:p>
      <w:pPr>
        <w:spacing w:line="360" w:lineRule="auto"/>
        <w:ind w:firstLine="42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至少需包括项目需求分析、重难点分析、实施方案：</w:t>
      </w:r>
    </w:p>
    <w:p>
      <w:pPr>
        <w:widowControl/>
        <w:spacing w:line="360" w:lineRule="auto"/>
        <w:ind w:firstLine="480" w:firstLineChars="200"/>
        <w:contextualSpacing/>
        <w:jc w:val="left"/>
        <w:rPr>
          <w:rFonts w:hint="eastAsia" w:ascii="宋体" w:hAnsi="宋体" w:eastAsia="宋体" w:cs="宋体"/>
          <w:sz w:val="24"/>
          <w:szCs w:val="24"/>
          <w:highlight w:val="none"/>
        </w:rPr>
      </w:pPr>
      <w:r>
        <w:rPr>
          <w:rFonts w:hint="eastAsia" w:ascii="宋体" w:hAnsi="宋体" w:eastAsia="宋体" w:cs="宋体"/>
          <w:bCs w:val="0"/>
          <w:sz w:val="24"/>
          <w:szCs w:val="24"/>
          <w:highlight w:val="none"/>
          <w:lang w:val="en-US" w:eastAsia="zh-CN"/>
        </w:rPr>
        <w:t>项目需求分析中，</w:t>
      </w:r>
      <w:r>
        <w:rPr>
          <w:rFonts w:hint="eastAsia" w:ascii="宋体" w:hAnsi="宋体" w:eastAsia="宋体" w:cs="宋体"/>
          <w:bCs w:val="0"/>
          <w:sz w:val="24"/>
          <w:szCs w:val="24"/>
          <w:highlight w:val="none"/>
        </w:rPr>
        <w:t>投标人针</w:t>
      </w:r>
      <w:r>
        <w:rPr>
          <w:rFonts w:hint="eastAsia" w:ascii="宋体" w:hAnsi="宋体" w:eastAsia="宋体" w:cs="宋体"/>
          <w:sz w:val="24"/>
          <w:szCs w:val="24"/>
          <w:highlight w:val="none"/>
        </w:rPr>
        <w:t>对现有业务系统使用操作系统、数据库</w:t>
      </w:r>
      <w:r>
        <w:rPr>
          <w:rFonts w:hint="eastAsia" w:ascii="宋体" w:hAnsi="宋体" w:eastAsia="宋体" w:cs="宋体"/>
          <w:sz w:val="24"/>
          <w:szCs w:val="24"/>
          <w:highlight w:val="none"/>
          <w:lang w:val="en-US" w:eastAsia="zh-CN"/>
        </w:rPr>
        <w:t>等</w:t>
      </w:r>
      <w:r>
        <w:rPr>
          <w:rFonts w:hint="eastAsia" w:ascii="宋体" w:hAnsi="宋体" w:eastAsia="宋体" w:cs="宋体"/>
          <w:sz w:val="24"/>
          <w:szCs w:val="24"/>
          <w:highlight w:val="none"/>
        </w:rPr>
        <w:t>情况有清晰的了解，并能结合现状对操作系统、数据库</w:t>
      </w:r>
      <w:r>
        <w:rPr>
          <w:rFonts w:hint="eastAsia" w:ascii="宋体" w:hAnsi="宋体" w:eastAsia="宋体" w:cs="宋体"/>
          <w:sz w:val="24"/>
          <w:szCs w:val="24"/>
          <w:highlight w:val="none"/>
          <w:lang w:val="en-US" w:eastAsia="zh-CN"/>
        </w:rPr>
        <w:t>等</w:t>
      </w:r>
      <w:r>
        <w:rPr>
          <w:rFonts w:hint="eastAsia" w:ascii="宋体" w:hAnsi="宋体" w:eastAsia="宋体" w:cs="宋体"/>
          <w:sz w:val="24"/>
          <w:szCs w:val="24"/>
          <w:highlight w:val="none"/>
        </w:rPr>
        <w:t>产品</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选型和分配进行</w:t>
      </w:r>
      <w:r>
        <w:rPr>
          <w:rFonts w:hint="eastAsia" w:ascii="宋体" w:hAnsi="宋体" w:eastAsia="宋体" w:cs="宋体"/>
          <w:sz w:val="24"/>
          <w:szCs w:val="24"/>
          <w:highlight w:val="none"/>
          <w:lang w:val="en-US" w:eastAsia="zh-CN"/>
        </w:rPr>
        <w:t>详细</w:t>
      </w:r>
      <w:r>
        <w:rPr>
          <w:rFonts w:hint="eastAsia" w:ascii="宋体" w:hAnsi="宋体" w:eastAsia="宋体" w:cs="宋体"/>
          <w:sz w:val="24"/>
          <w:szCs w:val="24"/>
          <w:highlight w:val="none"/>
        </w:rPr>
        <w:t>设计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且方案具有针对性</w:t>
      </w:r>
      <w:r>
        <w:rPr>
          <w:rFonts w:hint="eastAsia" w:ascii="宋体" w:hAnsi="宋体" w:eastAsia="宋体" w:cs="宋体"/>
          <w:sz w:val="24"/>
          <w:szCs w:val="24"/>
          <w:highlight w:val="none"/>
        </w:rPr>
        <w:t>。</w:t>
      </w:r>
    </w:p>
    <w:p>
      <w:pPr>
        <w:spacing w:line="360" w:lineRule="auto"/>
        <w:ind w:firstLine="420" w:firstLineChars="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项目重难点分析中，</w:t>
      </w:r>
      <w:r>
        <w:rPr>
          <w:rFonts w:hint="eastAsia" w:ascii="宋体" w:hAnsi="宋体" w:eastAsia="宋体" w:cs="宋体"/>
          <w:sz w:val="24"/>
          <w:szCs w:val="24"/>
          <w:highlight w:val="none"/>
        </w:rPr>
        <w:t>投标人对于项目重点难点进行分析。涉及项目</w:t>
      </w:r>
      <w:r>
        <w:rPr>
          <w:rFonts w:hint="eastAsia" w:ascii="宋体" w:hAnsi="宋体" w:eastAsia="宋体" w:cs="宋体"/>
          <w:sz w:val="24"/>
          <w:szCs w:val="24"/>
          <w:highlight w:val="none"/>
          <w:lang w:val="en-US" w:eastAsia="zh-CN"/>
        </w:rPr>
        <w:t>基础软件</w:t>
      </w:r>
      <w:r>
        <w:rPr>
          <w:rFonts w:hint="eastAsia" w:ascii="宋体" w:hAnsi="宋体" w:eastAsia="宋体" w:cs="宋体"/>
          <w:sz w:val="24"/>
          <w:szCs w:val="24"/>
          <w:highlight w:val="none"/>
        </w:rPr>
        <w:t>资源需求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部署需求</w:t>
      </w:r>
      <w:r>
        <w:rPr>
          <w:rFonts w:hint="eastAsia" w:ascii="宋体" w:hAnsi="宋体" w:eastAsia="宋体" w:cs="宋体"/>
          <w:sz w:val="24"/>
          <w:szCs w:val="24"/>
          <w:highlight w:val="none"/>
        </w:rPr>
        <w:t>、数据安全等需求。</w:t>
      </w:r>
    </w:p>
    <w:p>
      <w:pPr>
        <w:widowControl/>
        <w:spacing w:line="360" w:lineRule="auto"/>
        <w:ind w:firstLine="480" w:firstLineChars="200"/>
        <w:contextualSpacing/>
        <w:jc w:val="left"/>
        <w:rPr>
          <w:rFonts w:hint="eastAsia" w:ascii="宋体" w:hAnsi="宋体" w:eastAsia="宋体" w:cs="宋体"/>
          <w:sz w:val="24"/>
          <w:szCs w:val="24"/>
          <w:highlight w:val="none"/>
          <w:lang w:eastAsia="zh-CN"/>
        </w:rPr>
      </w:pPr>
      <w:r>
        <w:rPr>
          <w:rFonts w:hint="eastAsia" w:ascii="宋体" w:hAnsi="宋体" w:eastAsia="宋体" w:cs="宋体"/>
          <w:b w:val="0"/>
          <w:bCs w:val="0"/>
          <w:sz w:val="24"/>
          <w:szCs w:val="24"/>
          <w:highlight w:val="none"/>
          <w:lang w:val="en-US" w:eastAsia="zh-CN"/>
        </w:rPr>
        <w:t>实施方案中，</w:t>
      </w:r>
      <w:r>
        <w:rPr>
          <w:rFonts w:hint="eastAsia" w:ascii="宋体" w:hAnsi="宋体" w:eastAsia="宋体" w:cs="宋体"/>
          <w:sz w:val="24"/>
          <w:szCs w:val="24"/>
          <w:highlight w:val="none"/>
        </w:rPr>
        <w:t>投标人根据项目建设要求，提供</w:t>
      </w:r>
      <w:r>
        <w:rPr>
          <w:rFonts w:hint="eastAsia" w:ascii="宋体" w:hAnsi="宋体" w:eastAsia="宋体" w:cs="宋体"/>
          <w:sz w:val="24"/>
          <w:szCs w:val="24"/>
          <w:highlight w:val="none"/>
          <w:lang w:val="en-US" w:eastAsia="zh-CN"/>
        </w:rPr>
        <w:t>切合实际的基础软件</w:t>
      </w:r>
      <w:r>
        <w:rPr>
          <w:rFonts w:hint="eastAsia" w:ascii="宋体" w:hAnsi="宋体" w:eastAsia="宋体" w:cs="宋体"/>
          <w:sz w:val="24"/>
          <w:szCs w:val="24"/>
          <w:highlight w:val="none"/>
        </w:rPr>
        <w:t>安装调试方案</w:t>
      </w:r>
      <w:r>
        <w:rPr>
          <w:rFonts w:hint="eastAsia" w:ascii="宋体" w:hAnsi="宋体" w:eastAsia="宋体" w:cs="宋体"/>
          <w:sz w:val="24"/>
          <w:szCs w:val="24"/>
          <w:highlight w:val="none"/>
          <w:lang w:eastAsia="zh-CN"/>
        </w:rPr>
        <w:t>。</w:t>
      </w:r>
      <w:r>
        <w:rPr>
          <w:rFonts w:hint="eastAsia" w:ascii="宋体" w:hAnsi="宋体" w:eastAsia="宋体" w:cs="宋体"/>
          <w:bCs w:val="0"/>
          <w:sz w:val="24"/>
          <w:szCs w:val="24"/>
          <w:highlight w:val="none"/>
        </w:rPr>
        <w:t>针对本项目总体时间要求，制定采购</w:t>
      </w:r>
      <w:r>
        <w:rPr>
          <w:rFonts w:hint="eastAsia" w:ascii="宋体" w:hAnsi="宋体" w:eastAsia="宋体" w:cs="宋体"/>
          <w:bCs w:val="0"/>
          <w:sz w:val="24"/>
          <w:szCs w:val="24"/>
          <w:highlight w:val="none"/>
          <w:lang w:eastAsia="zh-CN"/>
        </w:rPr>
        <w:t>、</w:t>
      </w:r>
      <w:r>
        <w:rPr>
          <w:rFonts w:hint="eastAsia" w:ascii="宋体" w:hAnsi="宋体" w:eastAsia="宋体" w:cs="宋体"/>
          <w:bCs w:val="0"/>
          <w:sz w:val="24"/>
          <w:szCs w:val="24"/>
          <w:highlight w:val="none"/>
          <w:lang w:val="en-US" w:eastAsia="zh-CN"/>
        </w:rPr>
        <w:t>安装部署</w:t>
      </w:r>
      <w:r>
        <w:rPr>
          <w:rFonts w:hint="eastAsia" w:ascii="宋体" w:hAnsi="宋体" w:eastAsia="宋体" w:cs="宋体"/>
          <w:bCs w:val="0"/>
          <w:sz w:val="24"/>
          <w:szCs w:val="24"/>
          <w:highlight w:val="none"/>
        </w:rPr>
        <w:t>的实施进度和管理措施，制定完整、详细的项目计划，计划应合理，可操作性强，对项目过程进行全面和规范的管理</w:t>
      </w:r>
      <w:r>
        <w:rPr>
          <w:rFonts w:hint="eastAsia" w:ascii="宋体" w:hAnsi="宋体" w:eastAsia="宋体" w:cs="宋体"/>
          <w:bCs w:val="0"/>
          <w:sz w:val="24"/>
          <w:szCs w:val="24"/>
          <w:highlight w:val="none"/>
          <w:lang w:eastAsia="zh-CN"/>
        </w:rPr>
        <w:t>。</w:t>
      </w:r>
    </w:p>
    <w:p>
      <w:pPr>
        <w:widowControl/>
        <w:spacing w:line="360" w:lineRule="auto"/>
        <w:ind w:firstLine="482" w:firstLineChars="200"/>
        <w:contextualSpacing/>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运维服务及培训方案</w:t>
      </w:r>
    </w:p>
    <w:p>
      <w:pPr>
        <w:widowControl/>
        <w:spacing w:line="360" w:lineRule="auto"/>
        <w:ind w:firstLine="480" w:firstLineChars="200"/>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需结合采购人的业务情况</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提供满足</w:t>
      </w:r>
      <w:r>
        <w:rPr>
          <w:rFonts w:hint="eastAsia" w:ascii="宋体" w:hAnsi="宋体" w:eastAsia="宋体" w:cs="宋体"/>
          <w:sz w:val="24"/>
          <w:szCs w:val="24"/>
          <w:highlight w:val="none"/>
          <w:lang w:val="en-US" w:eastAsia="zh-CN"/>
        </w:rPr>
        <w:t>本项目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运维</w:t>
      </w:r>
      <w:r>
        <w:rPr>
          <w:rFonts w:hint="eastAsia" w:ascii="宋体" w:hAnsi="宋体" w:eastAsia="宋体" w:cs="宋体"/>
          <w:sz w:val="24"/>
          <w:szCs w:val="24"/>
          <w:highlight w:val="none"/>
        </w:rPr>
        <w:t>服务及培训方案。</w:t>
      </w:r>
    </w:p>
    <w:p>
      <w:pPr>
        <w:widowControl/>
        <w:spacing w:line="360" w:lineRule="auto"/>
        <w:ind w:firstLine="482" w:firstLineChars="200"/>
        <w:contextualSpacing/>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质量保障方案</w:t>
      </w:r>
    </w:p>
    <w:p>
      <w:pPr>
        <w:widowControl/>
        <w:spacing w:line="360" w:lineRule="auto"/>
        <w:ind w:firstLine="480" w:firstLineChars="200"/>
        <w:contextualSpacing/>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投标人需结合采购人的业务情况，提供针对本项目的质量保障方案，在项目执行过程中做好项目质量控制和安全质量控制。</w:t>
      </w:r>
    </w:p>
    <w:p>
      <w:pPr>
        <w:widowControl/>
        <w:spacing w:line="360" w:lineRule="auto"/>
        <w:ind w:firstLine="482" w:firstLineChars="200"/>
        <w:contextualSpacing/>
        <w:rPr>
          <w:rFonts w:hint="default"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项目人员</w:t>
      </w:r>
    </w:p>
    <w:p>
      <w:pPr>
        <w:widowControl/>
        <w:spacing w:line="360" w:lineRule="auto"/>
        <w:ind w:firstLine="480"/>
        <w:contextualSpacing/>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为保证项目的顺利实施，投标人需为本项目配备项目经理，项目经理需具备高级信息系统项目管理师证书（计算机技术与软件专业技术资格）或系统集成项目管理工程师证书（计算机技术与软件专业技术资格），具备</w:t>
      </w:r>
      <w:r>
        <w:rPr>
          <w:rFonts w:hint="eastAsia" w:ascii="宋体" w:hAnsi="宋体" w:eastAsia="宋体" w:cs="宋体"/>
          <w:color w:val="000000"/>
          <w:kern w:val="2"/>
          <w:sz w:val="24"/>
          <w:highlight w:val="none"/>
          <w:lang w:bidi="ar"/>
        </w:rPr>
        <w:t>重要信息系统安全等级保护认证证书</w:t>
      </w:r>
      <w:r>
        <w:rPr>
          <w:rFonts w:hint="eastAsia" w:ascii="宋体" w:hAnsi="宋体" w:eastAsia="宋体" w:cs="宋体"/>
          <w:bCs/>
          <w:sz w:val="24"/>
          <w:szCs w:val="24"/>
          <w:highlight w:val="none"/>
          <w:lang w:val="en-US" w:eastAsia="zh-CN"/>
        </w:rPr>
        <w:t>。</w:t>
      </w:r>
    </w:p>
    <w:p>
      <w:pPr>
        <w:pStyle w:val="2"/>
        <w:numPr>
          <w:ilvl w:val="2"/>
          <w:numId w:val="9"/>
        </w:numPr>
        <w:ind w:firstLine="335" w:firstLineChars="139"/>
        <w:contextualSpacing/>
        <w:jc w:val="left"/>
        <w:rPr>
          <w:rFonts w:hint="eastAsia" w:ascii="宋体" w:hAnsi="宋体" w:eastAsia="宋体" w:cs="宋体"/>
          <w:i w:val="0"/>
          <w:sz w:val="24"/>
          <w:szCs w:val="24"/>
          <w:highlight w:val="none"/>
        </w:rPr>
      </w:pPr>
      <w:r>
        <w:rPr>
          <w:rFonts w:hint="eastAsia" w:ascii="宋体" w:hAnsi="宋体" w:eastAsia="宋体" w:cs="宋体"/>
          <w:i w:val="0"/>
          <w:sz w:val="24"/>
          <w:szCs w:val="24"/>
          <w:highlight w:val="none"/>
          <w:lang w:val="en-US" w:eastAsia="zh-CN"/>
        </w:rPr>
        <w:t>验收标准</w:t>
      </w:r>
    </w:p>
    <w:p>
      <w:pPr>
        <w:numPr>
          <w:ilvl w:val="0"/>
          <w:numId w:val="16"/>
        </w:num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中标</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应保证所供货物是货物生产厂商原厂制造，全新、未使用过的，并完全满足本项目文件规定的质量、性能和规格的要求；</w:t>
      </w:r>
    </w:p>
    <w:p>
      <w:pPr>
        <w:numPr>
          <w:ilvl w:val="0"/>
          <w:numId w:val="16"/>
        </w:num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中标</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应保证所供货物符合</w:t>
      </w:r>
      <w:r>
        <w:rPr>
          <w:rFonts w:hint="eastAsia" w:ascii="宋体" w:hAnsi="宋体" w:eastAsia="宋体" w:cs="宋体"/>
          <w:sz w:val="24"/>
          <w:szCs w:val="24"/>
          <w:highlight w:val="none"/>
          <w:lang w:val="en-US" w:eastAsia="zh-CN"/>
        </w:rPr>
        <w:t>国产</w:t>
      </w:r>
      <w:r>
        <w:rPr>
          <w:rFonts w:hint="eastAsia" w:ascii="宋体" w:hAnsi="宋体" w:eastAsia="宋体" w:cs="宋体"/>
          <w:sz w:val="24"/>
          <w:szCs w:val="24"/>
          <w:highlight w:val="none"/>
        </w:rPr>
        <w:t>要求；</w:t>
      </w:r>
    </w:p>
    <w:p>
      <w:pPr>
        <w:numPr>
          <w:ilvl w:val="0"/>
          <w:numId w:val="16"/>
        </w:num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货物的数量、规格、性能和功能等需满足采购方采购要求，完成各系统的联调等工作并完成数据对接；</w:t>
      </w:r>
    </w:p>
    <w:p>
      <w:pPr>
        <w:numPr>
          <w:ilvl w:val="0"/>
          <w:numId w:val="16"/>
        </w:num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由采购</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组织验收，验收合格后，采购</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及中标</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双方共同签署验收文件，作为申请付款单据的一部分。</w:t>
      </w:r>
      <w:bookmarkEnd w:id="6"/>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52"/>
        <w:rPr>
          <w:highlight w:val="none"/>
        </w:rPr>
      </w:pPr>
    </w:p>
    <w:p>
      <w:pPr>
        <w:pStyle w:val="52"/>
        <w:rPr>
          <w:highlight w:val="none"/>
        </w:rPr>
      </w:pPr>
    </w:p>
    <w:p>
      <w:pPr>
        <w:pStyle w:val="52"/>
        <w:rPr>
          <w:highlight w:val="none"/>
        </w:rPr>
      </w:pPr>
    </w:p>
    <w:p>
      <w:pPr>
        <w:pStyle w:val="52"/>
        <w:rPr>
          <w:highlight w:val="none"/>
        </w:rPr>
      </w:pPr>
    </w:p>
    <w:p>
      <w:pPr>
        <w:pStyle w:val="52"/>
        <w:rPr>
          <w:highlight w:val="none"/>
        </w:rPr>
      </w:pPr>
    </w:p>
    <w:p>
      <w:pPr>
        <w:pStyle w:val="52"/>
        <w:rPr>
          <w:highlight w:val="none"/>
        </w:rPr>
      </w:pPr>
    </w:p>
    <w:p>
      <w:pPr>
        <w:pStyle w:val="52"/>
        <w:rPr>
          <w:highlight w:val="none"/>
        </w:rPr>
      </w:pPr>
    </w:p>
    <w:p>
      <w:pPr>
        <w:pStyle w:val="52"/>
        <w:rPr>
          <w:highlight w:val="none"/>
        </w:rPr>
      </w:pPr>
    </w:p>
    <w:p>
      <w:pPr>
        <w:pStyle w:val="52"/>
        <w:rPr>
          <w:highlight w:val="none"/>
        </w:rPr>
      </w:pPr>
    </w:p>
    <w:p>
      <w:pPr>
        <w:rPr>
          <w:highlight w:val="none"/>
        </w:rPr>
      </w:pPr>
    </w:p>
    <w:p>
      <w:pPr>
        <w:rPr>
          <w:highlight w:val="none"/>
        </w:rPr>
      </w:pPr>
    </w:p>
    <w:p>
      <w:pPr>
        <w:spacing w:line="360" w:lineRule="auto"/>
        <w:jc w:val="center"/>
        <w:outlineLvl w:val="1"/>
        <w:rPr>
          <w:rFonts w:hint="eastAsia"/>
          <w:b/>
          <w:sz w:val="24"/>
          <w:szCs w:val="24"/>
          <w:highlight w:val="none"/>
          <w:lang w:val="en-US" w:eastAsia="zh-CN"/>
        </w:rPr>
      </w:pPr>
      <w:bookmarkStart w:id="9" w:name="_Toc3405"/>
      <w:r>
        <w:rPr>
          <w:rFonts w:hint="eastAsia"/>
          <w:b/>
          <w:sz w:val="24"/>
          <w:szCs w:val="24"/>
          <w:highlight w:val="none"/>
          <w:lang w:val="en-US" w:eastAsia="zh-CN"/>
        </w:rPr>
        <w:t>第二包：</w:t>
      </w:r>
      <w:bookmarkEnd w:id="9"/>
    </w:p>
    <w:p>
      <w:pPr>
        <w:pStyle w:val="3"/>
        <w:numPr>
          <w:ilvl w:val="0"/>
          <w:numId w:val="17"/>
        </w:numPr>
        <w:ind w:firstLine="316" w:firstLineChars="131"/>
        <w:contextualSpacing/>
        <w:jc w:val="left"/>
        <w:rPr>
          <w:rFonts w:hint="eastAsia" w:ascii="宋体" w:hAnsi="宋体" w:eastAsia="宋体" w:cs="宋体"/>
          <w:b/>
          <w:sz w:val="24"/>
          <w:szCs w:val="24"/>
          <w:highlight w:val="none"/>
        </w:rPr>
      </w:pPr>
      <w:bookmarkStart w:id="10" w:name="_Toc7384"/>
      <w:bookmarkStart w:id="11" w:name="_Toc16136"/>
      <w:bookmarkStart w:id="12" w:name="_Toc176186869"/>
      <w:r>
        <w:rPr>
          <w:rFonts w:hint="eastAsia" w:ascii="宋体" w:hAnsi="宋体" w:eastAsia="宋体" w:cs="宋体"/>
          <w:b/>
          <w:sz w:val="24"/>
          <w:szCs w:val="24"/>
          <w:highlight w:val="none"/>
        </w:rPr>
        <w:t>采购标的</w:t>
      </w:r>
      <w:bookmarkEnd w:id="10"/>
      <w:bookmarkEnd w:id="11"/>
      <w:bookmarkEnd w:id="12"/>
    </w:p>
    <w:p>
      <w:pPr>
        <w:pStyle w:val="2"/>
        <w:numPr>
          <w:ilvl w:val="2"/>
          <w:numId w:val="18"/>
        </w:numPr>
        <w:tabs>
          <w:tab w:val="left" w:pos="312"/>
        </w:tabs>
        <w:ind w:firstLine="335" w:firstLineChars="139"/>
        <w:jc w:val="left"/>
        <w:rPr>
          <w:rFonts w:hint="eastAsia" w:ascii="宋体" w:hAnsi="宋体" w:eastAsia="宋体" w:cs="宋体"/>
          <w:sz w:val="24"/>
          <w:szCs w:val="24"/>
          <w:highlight w:val="none"/>
        </w:rPr>
      </w:pPr>
      <w:bookmarkStart w:id="13" w:name="_Toc26972"/>
      <w:bookmarkStart w:id="14" w:name="_Toc176186870"/>
      <w:r>
        <w:rPr>
          <w:rFonts w:hint="eastAsia" w:ascii="宋体" w:hAnsi="宋体" w:eastAsia="宋体" w:cs="宋体"/>
          <w:sz w:val="24"/>
          <w:szCs w:val="24"/>
          <w:highlight w:val="none"/>
        </w:rPr>
        <w:t>采购标的（货物需求一览表或简要服务内容及数量）</w:t>
      </w:r>
      <w:bookmarkEnd w:id="13"/>
      <w:bookmarkEnd w:id="14"/>
    </w:p>
    <w:p>
      <w:pPr>
        <w:pStyle w:val="506"/>
        <w:spacing w:line="5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需在同城应急保障中心，以购买服务形式建设供预算管理一体化系统运行所需的基础资源环境，主要包括云资源租用。</w:t>
      </w:r>
      <w:r>
        <w:rPr>
          <w:rFonts w:hint="eastAsia" w:ascii="宋体" w:hAnsi="宋体" w:eastAsia="宋体" w:cs="宋体"/>
          <w:sz w:val="24"/>
          <w:szCs w:val="24"/>
          <w:highlight w:val="none"/>
          <w:lang w:val="en-US" w:eastAsia="zh-CN"/>
        </w:rPr>
        <w:t>租用周期1年。</w:t>
      </w:r>
    </w:p>
    <w:tbl>
      <w:tblPr>
        <w:tblStyle w:val="53"/>
        <w:tblW w:w="8644" w:type="dxa"/>
        <w:jc w:val="center"/>
        <w:tblInd w:w="0" w:type="dxa"/>
        <w:tblLayout w:type="fixed"/>
        <w:tblCellMar>
          <w:top w:w="0" w:type="dxa"/>
          <w:left w:w="108" w:type="dxa"/>
          <w:bottom w:w="0" w:type="dxa"/>
          <w:right w:w="108" w:type="dxa"/>
        </w:tblCellMar>
      </w:tblPr>
      <w:tblGrid>
        <w:gridCol w:w="727"/>
        <w:gridCol w:w="1383"/>
        <w:gridCol w:w="1523"/>
        <w:gridCol w:w="2504"/>
        <w:gridCol w:w="1072"/>
        <w:gridCol w:w="1435"/>
      </w:tblGrid>
      <w:tr>
        <w:tblPrEx>
          <w:tblLayout w:type="fixed"/>
          <w:tblCellMar>
            <w:top w:w="0" w:type="dxa"/>
            <w:left w:w="108" w:type="dxa"/>
            <w:bottom w:w="0" w:type="dxa"/>
            <w:right w:w="108" w:type="dxa"/>
          </w:tblCellMar>
        </w:tblPrEx>
        <w:trPr>
          <w:trHeight w:val="28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序号</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服务类别</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服务子类</w:t>
            </w:r>
          </w:p>
        </w:tc>
        <w:tc>
          <w:tcPr>
            <w:tcW w:w="25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服务项</w:t>
            </w:r>
          </w:p>
        </w:tc>
        <w:tc>
          <w:tcPr>
            <w:tcW w:w="1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计价单位</w:t>
            </w: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数量</w:t>
            </w:r>
          </w:p>
        </w:tc>
      </w:tr>
      <w:tr>
        <w:tblPrEx>
          <w:tblLayout w:type="fixed"/>
          <w:tblCellMar>
            <w:top w:w="0" w:type="dxa"/>
            <w:left w:w="108" w:type="dxa"/>
            <w:bottom w:w="0" w:type="dxa"/>
            <w:right w:w="108" w:type="dxa"/>
          </w:tblCellMar>
        </w:tblPrEx>
        <w:trPr>
          <w:trHeight w:val="488"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46"/>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计算服务</w:t>
            </w:r>
          </w:p>
        </w:tc>
        <w:tc>
          <w:tcPr>
            <w:tcW w:w="1523" w:type="dxa"/>
            <w:vMerge w:val="restart"/>
            <w:tcBorders>
              <w:top w:val="single" w:color="000000" w:sz="4" w:space="0"/>
              <w:left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平台云主机服务（包含X86、ARM、C86）</w:t>
            </w:r>
          </w:p>
        </w:tc>
        <w:tc>
          <w:tcPr>
            <w:tcW w:w="25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vCPU（vCPU ARM架构主频不低于2.4GHz，C86和x86主频不低于2.2GHz，平均虚拟化率，即物理CPU/虚拟CPU≥1/4，虚拟CPU利用率不低于物理CPU的25% ）</w:t>
            </w:r>
          </w:p>
        </w:tc>
        <w:tc>
          <w:tcPr>
            <w:tcW w:w="1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1CPU</w:t>
            </w: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46"/>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1006</w:t>
            </w:r>
          </w:p>
        </w:tc>
      </w:tr>
      <w:tr>
        <w:tblPrEx>
          <w:tblLayout w:type="fixed"/>
          <w:tblCellMar>
            <w:top w:w="0" w:type="dxa"/>
            <w:left w:w="108" w:type="dxa"/>
            <w:bottom w:w="0" w:type="dxa"/>
            <w:right w:w="108" w:type="dxa"/>
          </w:tblCellMar>
        </w:tblPrEx>
        <w:trPr>
          <w:trHeight w:val="28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46"/>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2</w:t>
            </w: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rPr>
            </w:pPr>
          </w:p>
        </w:tc>
        <w:tc>
          <w:tcPr>
            <w:tcW w:w="1523" w:type="dxa"/>
            <w:vMerge w:val="continue"/>
            <w:tcBorders>
              <w:left w:val="single" w:color="000000" w:sz="4" w:space="0"/>
              <w:bottom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rPr>
            </w:pPr>
          </w:p>
        </w:tc>
        <w:tc>
          <w:tcPr>
            <w:tcW w:w="25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内存</w:t>
            </w:r>
          </w:p>
        </w:tc>
        <w:tc>
          <w:tcPr>
            <w:tcW w:w="1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1GB</w:t>
            </w: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46"/>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4176</w:t>
            </w:r>
          </w:p>
        </w:tc>
      </w:tr>
      <w:tr>
        <w:tblPrEx>
          <w:tblLayout w:type="fixed"/>
          <w:tblCellMar>
            <w:top w:w="0" w:type="dxa"/>
            <w:left w:w="108" w:type="dxa"/>
            <w:bottom w:w="0" w:type="dxa"/>
            <w:right w:w="108" w:type="dxa"/>
          </w:tblCellMar>
        </w:tblPrEx>
        <w:trPr>
          <w:trHeight w:val="840"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46"/>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3</w:t>
            </w: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rPr>
            </w:pPr>
          </w:p>
        </w:tc>
        <w:tc>
          <w:tcPr>
            <w:tcW w:w="1523" w:type="dxa"/>
            <w:vMerge w:val="restart"/>
            <w:tcBorders>
              <w:top w:val="single" w:color="000000" w:sz="4" w:space="0"/>
              <w:left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bidi="ar"/>
              </w:rPr>
              <w:t>物理服务器租用服务（包含X86、ARM、C86）</w:t>
            </w:r>
          </w:p>
        </w:tc>
        <w:tc>
          <w:tcPr>
            <w:tcW w:w="25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bidi="ar"/>
              </w:rPr>
              <w:t>物理服务器租用服务-物理服务器配置</w:t>
            </w:r>
            <w:r>
              <w:rPr>
                <w:rFonts w:hint="eastAsia" w:ascii="宋体" w:hAnsi="宋体" w:eastAsia="宋体" w:cs="宋体"/>
                <w:sz w:val="24"/>
                <w:szCs w:val="24"/>
                <w:highlight w:val="none"/>
                <w:lang w:val="en-US" w:eastAsia="zh-CN" w:bidi="ar"/>
              </w:rPr>
              <w:t>1</w:t>
            </w:r>
          </w:p>
          <w:p>
            <w:pPr>
              <w:pStyle w:val="246"/>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2*16核，64GB内存，Raid卡，2*960GB SATA SSD，4端口千兆管理电口，冗余热插拔电源。</w:t>
            </w:r>
          </w:p>
        </w:tc>
        <w:tc>
          <w:tcPr>
            <w:tcW w:w="1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1台</w:t>
            </w: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46"/>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r>
      <w:tr>
        <w:tblPrEx>
          <w:tblLayout w:type="fixed"/>
          <w:tblCellMar>
            <w:top w:w="0" w:type="dxa"/>
            <w:left w:w="108" w:type="dxa"/>
            <w:bottom w:w="0" w:type="dxa"/>
            <w:right w:w="108" w:type="dxa"/>
          </w:tblCellMar>
        </w:tblPrEx>
        <w:trPr>
          <w:trHeight w:val="840" w:hRule="atLeast"/>
          <w:jc w:val="center"/>
        </w:trPr>
        <w:tc>
          <w:tcPr>
            <w:tcW w:w="727" w:type="dxa"/>
            <w:vMerge w:val="continue"/>
            <w:tcBorders>
              <w:left w:val="single" w:color="000000" w:sz="4" w:space="0"/>
              <w:right w:val="single" w:color="000000" w:sz="4" w:space="0"/>
            </w:tcBorders>
            <w:shd w:val="clear" w:color="auto" w:fill="FFFFFF"/>
            <w:noWrap/>
            <w:vAlign w:val="center"/>
          </w:tcPr>
          <w:p>
            <w:pPr>
              <w:pStyle w:val="246"/>
              <w:spacing w:line="560" w:lineRule="exact"/>
              <w:jc w:val="center"/>
              <w:rPr>
                <w:rFonts w:hint="eastAsia" w:ascii="宋体" w:hAnsi="宋体" w:eastAsia="宋体" w:cs="宋体"/>
                <w:sz w:val="24"/>
                <w:szCs w:val="24"/>
                <w:highlight w:val="none"/>
                <w:lang w:bidi="ar"/>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rPr>
            </w:pPr>
          </w:p>
        </w:tc>
        <w:tc>
          <w:tcPr>
            <w:tcW w:w="1523" w:type="dxa"/>
            <w:vMerge w:val="continue"/>
            <w:tcBorders>
              <w:left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lang w:bidi="ar"/>
              </w:rPr>
            </w:pPr>
          </w:p>
        </w:tc>
        <w:tc>
          <w:tcPr>
            <w:tcW w:w="25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bidi="ar"/>
              </w:rPr>
              <w:t>物理服务器租用服务-物理服务器配置</w:t>
            </w:r>
            <w:r>
              <w:rPr>
                <w:rFonts w:hint="eastAsia" w:ascii="宋体" w:hAnsi="宋体" w:eastAsia="宋体" w:cs="宋体"/>
                <w:sz w:val="24"/>
                <w:szCs w:val="24"/>
                <w:highlight w:val="none"/>
                <w:lang w:val="en-US" w:eastAsia="zh-CN" w:bidi="ar"/>
              </w:rPr>
              <w:t>2</w:t>
            </w:r>
          </w:p>
          <w:p>
            <w:pPr>
              <w:pStyle w:val="246"/>
              <w:spacing w:line="560" w:lineRule="exac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2*24核，128GB内存，Raid卡，2*960GB SATA SSD，4端口千兆管理电口，冗余热插拔电源</w:t>
            </w:r>
          </w:p>
        </w:tc>
        <w:tc>
          <w:tcPr>
            <w:tcW w:w="1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1台</w:t>
            </w: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46"/>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r>
      <w:tr>
        <w:tblPrEx>
          <w:tblLayout w:type="fixed"/>
          <w:tblCellMar>
            <w:top w:w="0" w:type="dxa"/>
            <w:left w:w="108" w:type="dxa"/>
            <w:bottom w:w="0" w:type="dxa"/>
            <w:right w:w="108" w:type="dxa"/>
          </w:tblCellMar>
        </w:tblPrEx>
        <w:trPr>
          <w:trHeight w:val="840"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46"/>
              <w:spacing w:line="560" w:lineRule="exact"/>
              <w:jc w:val="center"/>
              <w:rPr>
                <w:rFonts w:hint="eastAsia" w:ascii="宋体" w:hAnsi="宋体" w:eastAsia="宋体" w:cs="宋体"/>
                <w:sz w:val="24"/>
                <w:szCs w:val="24"/>
                <w:highlight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rPr>
            </w:pPr>
          </w:p>
        </w:tc>
        <w:tc>
          <w:tcPr>
            <w:tcW w:w="1523" w:type="dxa"/>
            <w:vMerge w:val="continue"/>
            <w:tcBorders>
              <w:left w:val="single" w:color="000000" w:sz="4" w:space="0"/>
              <w:bottom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lang w:val="en-US" w:eastAsia="zh-CN"/>
              </w:rPr>
            </w:pPr>
          </w:p>
        </w:tc>
        <w:tc>
          <w:tcPr>
            <w:tcW w:w="25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bidi="ar"/>
              </w:rPr>
              <w:t>物理服务器租用服务-物理服务器配置</w:t>
            </w:r>
            <w:r>
              <w:rPr>
                <w:rFonts w:hint="eastAsia" w:ascii="宋体" w:hAnsi="宋体" w:eastAsia="宋体" w:cs="宋体"/>
                <w:sz w:val="24"/>
                <w:szCs w:val="24"/>
                <w:highlight w:val="none"/>
                <w:lang w:val="en-US" w:eastAsia="zh-CN" w:bidi="ar"/>
              </w:rPr>
              <w:t>3</w:t>
            </w:r>
          </w:p>
          <w:p>
            <w:pPr>
              <w:pStyle w:val="246"/>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2*32核，512内存，Raid卡，2*1.2TB 12Gbps SAS 10K 热插拔HDD硬盘，2*2端口万兆光接口（带2个光模块），2*单卡1端口100Gb_IB适配卡，1*4端口千兆管理电口，冗余热插拔电源</w:t>
            </w:r>
          </w:p>
        </w:tc>
        <w:tc>
          <w:tcPr>
            <w:tcW w:w="1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1台</w:t>
            </w: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46"/>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r>
      <w:tr>
        <w:tblPrEx>
          <w:tblLayout w:type="fixed"/>
          <w:tblCellMar>
            <w:top w:w="0" w:type="dxa"/>
            <w:left w:w="108" w:type="dxa"/>
            <w:bottom w:w="0" w:type="dxa"/>
            <w:right w:w="108" w:type="dxa"/>
          </w:tblCellMar>
        </w:tblPrEx>
        <w:trPr>
          <w:trHeight w:val="56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46"/>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4</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46"/>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存储服务</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普通性能存储</w:t>
            </w:r>
          </w:p>
        </w:tc>
        <w:tc>
          <w:tcPr>
            <w:tcW w:w="25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单盘技术指标：单盘IOPS 2000-5000</w:t>
            </w:r>
          </w:p>
        </w:tc>
        <w:tc>
          <w:tcPr>
            <w:tcW w:w="1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1</w:t>
            </w:r>
            <w:r>
              <w:rPr>
                <w:rFonts w:hint="eastAsia" w:ascii="宋体" w:hAnsi="宋体" w:eastAsia="宋体" w:cs="宋体"/>
                <w:sz w:val="24"/>
                <w:szCs w:val="24"/>
                <w:highlight w:val="none"/>
                <w:lang w:val="en-US" w:eastAsia="zh-CN" w:bidi="ar"/>
              </w:rPr>
              <w:t>00</w:t>
            </w:r>
            <w:r>
              <w:rPr>
                <w:rFonts w:hint="eastAsia" w:ascii="宋体" w:hAnsi="宋体" w:eastAsia="宋体" w:cs="宋体"/>
                <w:sz w:val="24"/>
                <w:szCs w:val="24"/>
                <w:highlight w:val="none"/>
                <w:lang w:bidi="ar"/>
              </w:rPr>
              <w:t>GB</w:t>
            </w: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46"/>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bidi="ar"/>
              </w:rPr>
              <w:t>659.9</w:t>
            </w:r>
          </w:p>
        </w:tc>
      </w:tr>
      <w:tr>
        <w:tblPrEx>
          <w:tblLayout w:type="fixed"/>
          <w:tblCellMar>
            <w:top w:w="0" w:type="dxa"/>
            <w:left w:w="108" w:type="dxa"/>
            <w:bottom w:w="0" w:type="dxa"/>
            <w:right w:w="108" w:type="dxa"/>
          </w:tblCellMar>
        </w:tblPrEx>
        <w:trPr>
          <w:trHeight w:val="56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46"/>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5</w:t>
            </w: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46"/>
              <w:spacing w:line="560" w:lineRule="exact"/>
              <w:rPr>
                <w:rFonts w:hint="eastAsia" w:ascii="宋体" w:hAnsi="宋体" w:eastAsia="宋体" w:cs="宋体"/>
                <w:sz w:val="24"/>
                <w:szCs w:val="24"/>
                <w:highlight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高性能存储</w:t>
            </w:r>
          </w:p>
        </w:tc>
        <w:tc>
          <w:tcPr>
            <w:tcW w:w="25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单盘技术指标：单盘IOPS 10000-25000</w:t>
            </w:r>
          </w:p>
        </w:tc>
        <w:tc>
          <w:tcPr>
            <w:tcW w:w="1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1</w:t>
            </w:r>
            <w:r>
              <w:rPr>
                <w:rFonts w:hint="eastAsia" w:ascii="宋体" w:hAnsi="宋体" w:eastAsia="宋体" w:cs="宋体"/>
                <w:sz w:val="24"/>
                <w:szCs w:val="24"/>
                <w:highlight w:val="none"/>
                <w:lang w:val="en-US" w:eastAsia="zh-CN" w:bidi="ar"/>
              </w:rPr>
              <w:t>00</w:t>
            </w:r>
            <w:r>
              <w:rPr>
                <w:rFonts w:hint="eastAsia" w:ascii="宋体" w:hAnsi="宋体" w:eastAsia="宋体" w:cs="宋体"/>
                <w:sz w:val="24"/>
                <w:szCs w:val="24"/>
                <w:highlight w:val="none"/>
                <w:lang w:bidi="ar"/>
              </w:rPr>
              <w:t>GB</w:t>
            </w: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46"/>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bidi="ar"/>
              </w:rPr>
              <w:t>1072.06</w:t>
            </w:r>
          </w:p>
        </w:tc>
      </w:tr>
      <w:tr>
        <w:tblPrEx>
          <w:tblLayout w:type="fixed"/>
          <w:tblCellMar>
            <w:top w:w="0" w:type="dxa"/>
            <w:left w:w="108" w:type="dxa"/>
            <w:bottom w:w="0" w:type="dxa"/>
            <w:right w:w="108" w:type="dxa"/>
          </w:tblCellMar>
        </w:tblPrEx>
        <w:trPr>
          <w:trHeight w:val="28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46"/>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46"/>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网络服务</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主机负载均衡服务</w:t>
            </w:r>
          </w:p>
        </w:tc>
        <w:tc>
          <w:tcPr>
            <w:tcW w:w="25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主机负载均衡服务</w:t>
            </w:r>
          </w:p>
        </w:tc>
        <w:tc>
          <w:tcPr>
            <w:tcW w:w="1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1IP（内网）</w:t>
            </w: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46"/>
              <w:spacing w:line="560" w:lineRule="exact"/>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r>
      <w:tr>
        <w:tblPrEx>
          <w:tblLayout w:type="fixed"/>
          <w:tblCellMar>
            <w:top w:w="0" w:type="dxa"/>
            <w:left w:w="108" w:type="dxa"/>
            <w:bottom w:w="0" w:type="dxa"/>
            <w:right w:w="108" w:type="dxa"/>
          </w:tblCellMar>
        </w:tblPrEx>
        <w:trPr>
          <w:trHeight w:val="28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46"/>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46"/>
              <w:spacing w:line="5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其他服务</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主机杀毒服务</w:t>
            </w:r>
          </w:p>
        </w:tc>
        <w:tc>
          <w:tcPr>
            <w:tcW w:w="25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主机杀毒服务</w:t>
            </w:r>
          </w:p>
        </w:tc>
        <w:tc>
          <w:tcPr>
            <w:tcW w:w="1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ind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bidi="ar"/>
              </w:rPr>
              <w:t>台</w:t>
            </w: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46"/>
              <w:spacing w:line="560" w:lineRule="exact"/>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108</w:t>
            </w:r>
          </w:p>
        </w:tc>
      </w:tr>
    </w:tbl>
    <w:p>
      <w:pPr>
        <w:pStyle w:val="506"/>
        <w:spacing w:line="560" w:lineRule="exact"/>
        <w:rPr>
          <w:rFonts w:hint="eastAsia" w:ascii="宋体" w:hAnsi="宋体" w:eastAsia="宋体" w:cs="宋体"/>
          <w:sz w:val="24"/>
          <w:szCs w:val="24"/>
          <w:highlight w:val="none"/>
          <w:lang w:val="en-US" w:eastAsia="zh-CN"/>
        </w:rPr>
      </w:pPr>
    </w:p>
    <w:p>
      <w:pPr>
        <w:pStyle w:val="2"/>
        <w:numPr>
          <w:ilvl w:val="2"/>
          <w:numId w:val="18"/>
        </w:numPr>
        <w:ind w:firstLine="335" w:firstLineChars="139"/>
        <w:jc w:val="left"/>
        <w:rPr>
          <w:rFonts w:hint="eastAsia" w:ascii="宋体" w:hAnsi="宋体" w:eastAsia="宋体" w:cs="宋体"/>
          <w:sz w:val="24"/>
          <w:szCs w:val="24"/>
          <w:highlight w:val="none"/>
        </w:rPr>
      </w:pPr>
      <w:bookmarkStart w:id="15" w:name="_Toc176186871"/>
      <w:bookmarkStart w:id="16" w:name="_Toc4808"/>
      <w:r>
        <w:rPr>
          <w:rFonts w:hint="eastAsia" w:ascii="宋体" w:hAnsi="宋体" w:eastAsia="宋体" w:cs="宋体"/>
          <w:sz w:val="24"/>
          <w:szCs w:val="24"/>
          <w:highlight w:val="none"/>
        </w:rPr>
        <w:t>项目背景/项目概述</w:t>
      </w:r>
      <w:bookmarkEnd w:id="15"/>
      <w:bookmarkEnd w:id="16"/>
    </w:p>
    <w:p>
      <w:pPr>
        <w:spacing w:line="360" w:lineRule="auto"/>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2016年，财政部下发文件要求各省级财政部门要逐步将重要业务数据统一纳入到异地数据中心，实现各省财政的远程数据保护和应急保障，提升财政数据的整体安全。</w:t>
      </w:r>
    </w:p>
    <w:p>
      <w:pPr>
        <w:spacing w:line="360" w:lineRule="auto"/>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2023年4月，财政部下发文件要求各省市财政部门统筹推进业务应急保障体系建设，利用同城、异地等应急保障资源，保障系统数据完整性和业务连续性。一是要完善数据保障系统，优化数据保护策略，确保省级和市、县级财政数据有完善的应急保障机制，重要数据应通过异地应急保障中心进行保护。二是对于预算管理一体化系统等用户面广、业务连续性要求高的信息系统，应按照应用连续性应急保障标准进行建设，确保系统在发生突发事件时能够实现应用切换，并在短时间内恢复运行。三是要制定信息系统应急恢复预案，定期组织应急演练，对数据的完整性和系统的可用性进行验证。</w:t>
      </w:r>
    </w:p>
    <w:p>
      <w:pPr>
        <w:spacing w:line="360" w:lineRule="auto"/>
        <w:ind w:firstLine="482"/>
        <w:rPr>
          <w:rFonts w:hint="eastAsia" w:ascii="宋体" w:hAnsi="宋体" w:eastAsia="宋体" w:cs="宋体"/>
          <w:sz w:val="24"/>
          <w:szCs w:val="24"/>
          <w:highlight w:val="none"/>
        </w:rPr>
      </w:pPr>
      <w:r>
        <w:rPr>
          <w:rFonts w:hint="eastAsia" w:ascii="宋体" w:hAnsi="宋体" w:eastAsia="宋体" w:cs="宋体"/>
          <w:bCs/>
          <w:color w:val="000000"/>
          <w:sz w:val="24"/>
          <w:szCs w:val="24"/>
          <w:highlight w:val="none"/>
        </w:rPr>
        <w:t>为提升市采购人数据整体安全，建立完善的业务应急保障体系，按照相关要求，亟需依托现有能力完善构建业务应急保障体系。综合考虑项目迫切性、建设运维成本、系统应急保障能力等多种因素，拟选择副中心机房作为政务云机房的同城异地应急保障中心，选择郊区机房作为归档数据保障中心，与异地数据中心共同完善构建市财政局多层级、跨地域的业务应急保障体系</w:t>
      </w:r>
      <w:r>
        <w:rPr>
          <w:rFonts w:hint="eastAsia" w:ascii="宋体" w:hAnsi="宋体" w:eastAsia="宋体" w:cs="宋体"/>
          <w:sz w:val="24"/>
          <w:szCs w:val="24"/>
          <w:highlight w:val="none"/>
        </w:rPr>
        <w:t>。</w:t>
      </w:r>
    </w:p>
    <w:p>
      <w:pPr>
        <w:pStyle w:val="3"/>
        <w:numPr>
          <w:ilvl w:val="0"/>
          <w:numId w:val="17"/>
        </w:numPr>
        <w:ind w:firstLine="316" w:firstLineChars="131"/>
        <w:contextualSpacing/>
        <w:jc w:val="left"/>
        <w:rPr>
          <w:rFonts w:hint="eastAsia" w:ascii="宋体" w:hAnsi="宋体" w:eastAsia="宋体" w:cs="宋体"/>
          <w:b/>
          <w:sz w:val="24"/>
          <w:szCs w:val="24"/>
          <w:highlight w:val="none"/>
        </w:rPr>
      </w:pPr>
      <w:bookmarkStart w:id="17" w:name="_Toc15036"/>
      <w:bookmarkStart w:id="18" w:name="_Toc176186872"/>
      <w:bookmarkStart w:id="19" w:name="_Toc3199"/>
      <w:r>
        <w:rPr>
          <w:rFonts w:hint="eastAsia" w:ascii="宋体" w:hAnsi="宋体" w:eastAsia="宋体" w:cs="宋体"/>
          <w:b/>
          <w:sz w:val="24"/>
          <w:szCs w:val="24"/>
          <w:highlight w:val="none"/>
        </w:rPr>
        <w:t>商务要求</w:t>
      </w:r>
      <w:bookmarkEnd w:id="17"/>
      <w:bookmarkEnd w:id="18"/>
      <w:bookmarkEnd w:id="19"/>
    </w:p>
    <w:p>
      <w:pPr>
        <w:outlineLvl w:val="9"/>
        <w:rPr>
          <w:rFonts w:hint="eastAsia" w:ascii="宋体" w:hAnsi="宋体" w:eastAsia="宋体" w:cs="宋体"/>
          <w:sz w:val="24"/>
          <w:szCs w:val="24"/>
          <w:highlight w:val="none"/>
        </w:rPr>
      </w:pPr>
      <w:bookmarkStart w:id="20" w:name="_Toc15853"/>
      <w:bookmarkStart w:id="21" w:name="_Toc176186873"/>
      <w:r>
        <w:rPr>
          <w:rFonts w:hint="eastAsia" w:ascii="宋体" w:hAnsi="宋体" w:eastAsia="宋体" w:cs="宋体"/>
          <w:sz w:val="24"/>
          <w:szCs w:val="24"/>
          <w:highlight w:val="none"/>
        </w:rPr>
        <w:t>交付（实施）的时间（期限）和地点（范围）</w:t>
      </w:r>
      <w:bookmarkEnd w:id="20"/>
      <w:bookmarkEnd w:id="21"/>
    </w:p>
    <w:p>
      <w:pPr>
        <w:spacing w:line="560" w:lineRule="exact"/>
        <w:ind w:firstLine="480"/>
        <w:contextualSpacing/>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服务期</w:t>
      </w:r>
      <w:r>
        <w:rPr>
          <w:rFonts w:hint="eastAsia" w:ascii="宋体" w:hAnsi="宋体" w:eastAsia="宋体" w:cs="宋体"/>
          <w:bCs/>
          <w:sz w:val="24"/>
          <w:szCs w:val="24"/>
          <w:highlight w:val="none"/>
          <w:lang w:eastAsia="zh-CN"/>
        </w:rPr>
        <w:t>：</w:t>
      </w:r>
      <w:r>
        <w:rPr>
          <w:rFonts w:hint="eastAsia" w:ascii="宋体" w:hAnsi="宋体" w:eastAsia="宋体" w:cs="宋体"/>
          <w:bCs/>
          <w:color w:val="000000"/>
          <w:sz w:val="24"/>
          <w:szCs w:val="24"/>
          <w:highlight w:val="none"/>
          <w:lang w:val="en-US" w:eastAsia="zh-CN"/>
        </w:rPr>
        <w:t>合同签订后，由采购人指定连续的12个月</w:t>
      </w:r>
      <w:r>
        <w:rPr>
          <w:rFonts w:hint="eastAsia"/>
          <w:highlight w:val="none"/>
          <w:lang w:eastAsia="zh-CN"/>
        </w:rPr>
        <w:t>。</w:t>
      </w:r>
    </w:p>
    <w:p>
      <w:pPr>
        <w:spacing w:line="560" w:lineRule="exact"/>
        <w:ind w:firstLine="480"/>
        <w:contextualSpacing/>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项目履约地点：</w:t>
      </w:r>
      <w:r>
        <w:rPr>
          <w:rFonts w:hint="eastAsia" w:ascii="宋体" w:hAnsi="宋体" w:eastAsia="宋体" w:cs="宋体"/>
          <w:bCs/>
          <w:sz w:val="24"/>
          <w:szCs w:val="24"/>
          <w:highlight w:val="none"/>
          <w:lang w:val="en-US" w:eastAsia="zh-CN"/>
        </w:rPr>
        <w:t>北京。</w:t>
      </w:r>
    </w:p>
    <w:p>
      <w:pPr>
        <w:outlineLvl w:val="9"/>
        <w:rPr>
          <w:rFonts w:hint="eastAsia" w:ascii="宋体" w:hAnsi="宋体" w:eastAsia="宋体" w:cs="宋体"/>
          <w:sz w:val="24"/>
          <w:szCs w:val="24"/>
          <w:highlight w:val="none"/>
        </w:rPr>
      </w:pPr>
      <w:bookmarkStart w:id="22" w:name="_Toc176186874"/>
      <w:bookmarkStart w:id="23" w:name="_Toc19489"/>
      <w:r>
        <w:rPr>
          <w:rFonts w:hint="eastAsia" w:ascii="宋体" w:hAnsi="宋体" w:eastAsia="宋体" w:cs="宋体"/>
          <w:sz w:val="24"/>
          <w:szCs w:val="24"/>
          <w:highlight w:val="none"/>
        </w:rPr>
        <w:t>付款条件（进度和方式）</w:t>
      </w:r>
      <w:bookmarkEnd w:id="22"/>
      <w:bookmarkEnd w:id="23"/>
    </w:p>
    <w:p>
      <w:pPr>
        <w:spacing w:line="560" w:lineRule="exact"/>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本合同的付款方式为:分三次付款，待本合同签署完毕20个工作日内支付第一笔款项，预计30%；项目执行中期支付第二笔款项，预计60%；项目执行完毕且验收合格后，采购人向中标人支付剩余尾款</w:t>
      </w:r>
      <w:r>
        <w:rPr>
          <w:rFonts w:hint="eastAsia" w:ascii="宋体" w:hAnsi="宋体" w:eastAsia="宋体" w:cs="宋体"/>
          <w:bCs/>
          <w:sz w:val="24"/>
          <w:szCs w:val="24"/>
          <w:highlight w:val="none"/>
        </w:rPr>
        <w:t>。</w:t>
      </w:r>
    </w:p>
    <w:p>
      <w:pPr>
        <w:pStyle w:val="3"/>
        <w:numPr>
          <w:ilvl w:val="0"/>
          <w:numId w:val="17"/>
        </w:numPr>
        <w:ind w:firstLine="316" w:firstLineChars="131"/>
        <w:contextualSpacing/>
        <w:jc w:val="left"/>
        <w:rPr>
          <w:rFonts w:hint="eastAsia" w:ascii="宋体" w:hAnsi="宋体" w:eastAsia="宋体" w:cs="宋体"/>
          <w:b/>
          <w:sz w:val="24"/>
          <w:szCs w:val="24"/>
          <w:highlight w:val="none"/>
        </w:rPr>
      </w:pPr>
      <w:bookmarkStart w:id="24" w:name="_Toc6585"/>
      <w:bookmarkStart w:id="25" w:name="_Toc32607"/>
      <w:bookmarkStart w:id="26" w:name="_Toc176186875"/>
      <w:r>
        <w:rPr>
          <w:rFonts w:hint="eastAsia" w:ascii="宋体" w:hAnsi="宋体" w:eastAsia="宋体" w:cs="宋体"/>
          <w:b/>
          <w:sz w:val="24"/>
          <w:szCs w:val="24"/>
          <w:highlight w:val="none"/>
        </w:rPr>
        <w:t>技术要求</w:t>
      </w:r>
      <w:bookmarkEnd w:id="24"/>
      <w:bookmarkEnd w:id="25"/>
      <w:bookmarkEnd w:id="26"/>
    </w:p>
    <w:p>
      <w:pPr>
        <w:pStyle w:val="2"/>
        <w:numPr>
          <w:ilvl w:val="2"/>
          <w:numId w:val="19"/>
        </w:numPr>
        <w:ind w:firstLine="335" w:firstLineChars="139"/>
        <w:jc w:val="left"/>
        <w:rPr>
          <w:rFonts w:hint="eastAsia" w:ascii="宋体" w:hAnsi="宋体" w:eastAsia="宋体" w:cs="宋体"/>
          <w:sz w:val="24"/>
          <w:szCs w:val="24"/>
          <w:highlight w:val="none"/>
        </w:rPr>
      </w:pPr>
      <w:bookmarkStart w:id="27" w:name="_Toc7303"/>
      <w:bookmarkStart w:id="28" w:name="_Toc176186876"/>
      <w:r>
        <w:rPr>
          <w:rFonts w:hint="eastAsia" w:ascii="宋体" w:hAnsi="宋体" w:eastAsia="宋体" w:cs="宋体"/>
          <w:sz w:val="24"/>
          <w:szCs w:val="24"/>
          <w:highlight w:val="none"/>
        </w:rPr>
        <w:t>项目目标</w:t>
      </w:r>
      <w:bookmarkEnd w:id="27"/>
      <w:bookmarkEnd w:id="28"/>
    </w:p>
    <w:p>
      <w:pPr>
        <w:spacing w:line="560" w:lineRule="exact"/>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在同城应急保障中心，</w:t>
      </w:r>
      <w:r>
        <w:rPr>
          <w:rFonts w:hint="eastAsia" w:ascii="宋体" w:hAnsi="宋体" w:eastAsia="宋体" w:cs="宋体"/>
          <w:sz w:val="24"/>
          <w:szCs w:val="24"/>
          <w:highlight w:val="none"/>
          <w:lang w:val="en-US" w:eastAsia="zh-CN"/>
        </w:rPr>
        <w:t>租用</w:t>
      </w:r>
      <w:r>
        <w:rPr>
          <w:rFonts w:hint="eastAsia" w:ascii="宋体" w:hAnsi="宋体" w:eastAsia="宋体" w:cs="宋体"/>
          <w:sz w:val="24"/>
          <w:szCs w:val="24"/>
          <w:highlight w:val="none"/>
        </w:rPr>
        <w:t>供预算管理一体化系统运行所需的云资源。</w:t>
      </w:r>
      <w:r>
        <w:rPr>
          <w:rFonts w:hint="eastAsia" w:ascii="宋体" w:hAnsi="宋体" w:eastAsia="宋体" w:cs="宋体"/>
          <w:sz w:val="24"/>
          <w:szCs w:val="24"/>
          <w:highlight w:val="none"/>
          <w:lang w:val="en-US" w:eastAsia="zh-CN"/>
        </w:rPr>
        <w:t>租用周期1年。</w:t>
      </w:r>
    </w:p>
    <w:p>
      <w:pPr>
        <w:pStyle w:val="2"/>
        <w:numPr>
          <w:ilvl w:val="2"/>
          <w:numId w:val="19"/>
        </w:numPr>
        <w:ind w:firstLine="335" w:firstLineChars="139"/>
        <w:jc w:val="left"/>
        <w:rPr>
          <w:rFonts w:hint="eastAsia" w:ascii="宋体" w:hAnsi="宋体" w:eastAsia="宋体" w:cs="宋体"/>
          <w:sz w:val="24"/>
          <w:szCs w:val="24"/>
          <w:highlight w:val="none"/>
        </w:rPr>
      </w:pPr>
      <w:bookmarkStart w:id="29" w:name="_Toc176186877"/>
      <w:bookmarkStart w:id="30" w:name="_Toc28436"/>
      <w:r>
        <w:rPr>
          <w:rFonts w:hint="eastAsia" w:ascii="宋体" w:hAnsi="宋体" w:eastAsia="宋体" w:cs="宋体"/>
          <w:sz w:val="24"/>
          <w:szCs w:val="24"/>
          <w:highlight w:val="none"/>
        </w:rPr>
        <w:t>服务内容及要求</w:t>
      </w:r>
      <w:bookmarkEnd w:id="29"/>
      <w:bookmarkEnd w:id="30"/>
    </w:p>
    <w:p>
      <w:pPr>
        <w:pStyle w:val="506"/>
        <w:spacing w:line="5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投标人需提供承诺函，承诺所提供的云服务按照政务云服务标准，且均为</w:t>
      </w:r>
      <w:r>
        <w:rPr>
          <w:rFonts w:hint="eastAsia" w:eastAsia="宋体" w:cs="宋体"/>
          <w:sz w:val="24"/>
          <w:szCs w:val="24"/>
          <w:highlight w:val="none"/>
          <w:lang w:val="en-US" w:eastAsia="zh-CN"/>
        </w:rPr>
        <w:t>国产化</w:t>
      </w:r>
      <w:r>
        <w:rPr>
          <w:rFonts w:hint="eastAsia" w:ascii="宋体" w:hAnsi="宋体" w:eastAsia="宋体" w:cs="宋体"/>
          <w:sz w:val="24"/>
          <w:szCs w:val="24"/>
          <w:highlight w:val="none"/>
          <w:lang w:val="en-US" w:eastAsia="zh-CN"/>
        </w:rPr>
        <w:t>资源。本项目的主要建设内容是在同城应急保障中心，为预算管理一体化系统提供运行所需的运行环境。</w:t>
      </w:r>
    </w:p>
    <w:p>
      <w:pPr>
        <w:pStyle w:val="506"/>
        <w:spacing w:line="5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采用</w:t>
      </w:r>
      <w:r>
        <w:rPr>
          <w:rFonts w:hint="eastAsia" w:eastAsia="宋体" w:cs="宋体"/>
          <w:sz w:val="24"/>
          <w:szCs w:val="24"/>
          <w:highlight w:val="none"/>
          <w:lang w:val="en-US" w:eastAsia="zh-CN"/>
        </w:rPr>
        <w:t>租用</w:t>
      </w:r>
      <w:r>
        <w:rPr>
          <w:rFonts w:hint="eastAsia" w:ascii="宋体" w:hAnsi="宋体" w:eastAsia="宋体" w:cs="宋体"/>
          <w:sz w:val="24"/>
          <w:szCs w:val="24"/>
          <w:highlight w:val="none"/>
          <w:lang w:val="en-US" w:eastAsia="zh-CN"/>
        </w:rPr>
        <w:t>的模式，依托</w:t>
      </w:r>
      <w:r>
        <w:rPr>
          <w:rFonts w:hint="eastAsia" w:eastAsia="宋体" w:cs="宋体"/>
          <w:sz w:val="24"/>
          <w:szCs w:val="24"/>
          <w:highlight w:val="none"/>
          <w:lang w:val="en-US" w:eastAsia="zh-CN"/>
        </w:rPr>
        <w:t>副中心机房</w:t>
      </w:r>
      <w:r>
        <w:rPr>
          <w:rFonts w:hint="eastAsia" w:ascii="宋体" w:hAnsi="宋体" w:eastAsia="宋体" w:cs="宋体"/>
          <w:sz w:val="24"/>
          <w:szCs w:val="24"/>
          <w:highlight w:val="none"/>
          <w:lang w:val="en-US" w:eastAsia="zh-CN"/>
        </w:rPr>
        <w:t>完善财政业务同城应急保障中心：根据实际需求，租赁云主机、云存储等相关资源，为预算管理一体化系统的应用连续性应急保障构建基础运行支撑环境。</w:t>
      </w:r>
    </w:p>
    <w:p>
      <w:pPr>
        <w:pStyle w:val="2"/>
        <w:numPr>
          <w:ilvl w:val="3"/>
          <w:numId w:val="9"/>
        </w:numPr>
        <w:ind w:firstLine="335" w:firstLineChars="139"/>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计算服务</w:t>
      </w:r>
      <w:r>
        <w:rPr>
          <w:rFonts w:hint="eastAsia" w:ascii="宋体" w:hAnsi="宋体" w:eastAsia="宋体" w:cs="宋体"/>
          <w:sz w:val="24"/>
          <w:szCs w:val="24"/>
          <w:highlight w:val="none"/>
        </w:rPr>
        <w:t>需求</w:t>
      </w:r>
    </w:p>
    <w:p>
      <w:pPr>
        <w:pStyle w:val="506"/>
        <w:spacing w:line="5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投标人须在</w:t>
      </w:r>
      <w:r>
        <w:rPr>
          <w:rFonts w:hint="eastAsia" w:eastAsia="宋体" w:cs="宋体"/>
          <w:sz w:val="24"/>
          <w:szCs w:val="24"/>
          <w:highlight w:val="none"/>
          <w:lang w:val="en-US" w:eastAsia="zh-CN"/>
        </w:rPr>
        <w:t>副中心</w:t>
      </w:r>
      <w:r>
        <w:rPr>
          <w:rFonts w:hint="eastAsia" w:ascii="宋体" w:hAnsi="宋体" w:eastAsia="宋体" w:cs="宋体"/>
          <w:sz w:val="24"/>
          <w:szCs w:val="24"/>
          <w:highlight w:val="none"/>
          <w:lang w:val="en-US" w:eastAsia="zh-CN"/>
        </w:rPr>
        <w:t>为市财政局提供为预算管理一体化应急时运行所需的计算资源，依据业务系统部署和运行情况，系统稳定运行所需计算资源如下：</w:t>
      </w:r>
    </w:p>
    <w:tbl>
      <w:tblPr>
        <w:tblStyle w:val="53"/>
        <w:tblW w:w="8644" w:type="dxa"/>
        <w:jc w:val="center"/>
        <w:tblInd w:w="0" w:type="dxa"/>
        <w:tblLayout w:type="fixed"/>
        <w:tblCellMar>
          <w:top w:w="0" w:type="dxa"/>
          <w:left w:w="108" w:type="dxa"/>
          <w:bottom w:w="0" w:type="dxa"/>
          <w:right w:w="108" w:type="dxa"/>
        </w:tblCellMar>
      </w:tblPr>
      <w:tblGrid>
        <w:gridCol w:w="727"/>
        <w:gridCol w:w="1383"/>
        <w:gridCol w:w="1523"/>
        <w:gridCol w:w="2504"/>
        <w:gridCol w:w="1072"/>
        <w:gridCol w:w="1435"/>
      </w:tblGrid>
      <w:tr>
        <w:tblPrEx>
          <w:tblLayout w:type="fixed"/>
          <w:tblCellMar>
            <w:top w:w="0" w:type="dxa"/>
            <w:left w:w="108" w:type="dxa"/>
            <w:bottom w:w="0" w:type="dxa"/>
            <w:right w:w="108" w:type="dxa"/>
          </w:tblCellMar>
        </w:tblPrEx>
        <w:trPr>
          <w:trHeight w:val="28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序号</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服务类别</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服务子类</w:t>
            </w:r>
          </w:p>
        </w:tc>
        <w:tc>
          <w:tcPr>
            <w:tcW w:w="25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服务项</w:t>
            </w:r>
          </w:p>
        </w:tc>
        <w:tc>
          <w:tcPr>
            <w:tcW w:w="1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计价单位</w:t>
            </w: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数量</w:t>
            </w:r>
          </w:p>
        </w:tc>
      </w:tr>
      <w:tr>
        <w:tblPrEx>
          <w:tblLayout w:type="fixed"/>
          <w:tblCellMar>
            <w:top w:w="0" w:type="dxa"/>
            <w:left w:w="108" w:type="dxa"/>
            <w:bottom w:w="0" w:type="dxa"/>
            <w:right w:w="108" w:type="dxa"/>
          </w:tblCellMar>
        </w:tblPrEx>
        <w:trPr>
          <w:trHeight w:val="488"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46"/>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计算服务</w:t>
            </w:r>
          </w:p>
        </w:tc>
        <w:tc>
          <w:tcPr>
            <w:tcW w:w="1523" w:type="dxa"/>
            <w:vMerge w:val="restart"/>
            <w:tcBorders>
              <w:top w:val="single" w:color="000000" w:sz="4" w:space="0"/>
              <w:left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平台云主机服务（包含X86、ARM、C86）</w:t>
            </w:r>
          </w:p>
        </w:tc>
        <w:tc>
          <w:tcPr>
            <w:tcW w:w="25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vCPU（vCPU ARM架构主频不低于2.4GHz，C86和x86主频不低于2.2GHz，平均虚拟化率，即物理CPU/虚拟CPU≥1/4，虚拟CPU利用率不低于物理CPU的25% ）</w:t>
            </w:r>
          </w:p>
        </w:tc>
        <w:tc>
          <w:tcPr>
            <w:tcW w:w="1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1CPU</w:t>
            </w: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46"/>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1006</w:t>
            </w:r>
          </w:p>
        </w:tc>
      </w:tr>
      <w:tr>
        <w:tblPrEx>
          <w:tblLayout w:type="fixed"/>
          <w:tblCellMar>
            <w:top w:w="0" w:type="dxa"/>
            <w:left w:w="108" w:type="dxa"/>
            <w:bottom w:w="0" w:type="dxa"/>
            <w:right w:w="108" w:type="dxa"/>
          </w:tblCellMar>
        </w:tblPrEx>
        <w:trPr>
          <w:trHeight w:val="28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46"/>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2</w:t>
            </w: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rPr>
            </w:pPr>
          </w:p>
        </w:tc>
        <w:tc>
          <w:tcPr>
            <w:tcW w:w="1523" w:type="dxa"/>
            <w:vMerge w:val="continue"/>
            <w:tcBorders>
              <w:left w:val="single" w:color="000000" w:sz="4" w:space="0"/>
              <w:bottom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rPr>
            </w:pPr>
          </w:p>
        </w:tc>
        <w:tc>
          <w:tcPr>
            <w:tcW w:w="25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内存</w:t>
            </w:r>
          </w:p>
        </w:tc>
        <w:tc>
          <w:tcPr>
            <w:tcW w:w="1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1GB</w:t>
            </w: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46"/>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4176</w:t>
            </w:r>
          </w:p>
        </w:tc>
      </w:tr>
      <w:tr>
        <w:tblPrEx>
          <w:tblLayout w:type="fixed"/>
          <w:tblCellMar>
            <w:top w:w="0" w:type="dxa"/>
            <w:left w:w="108" w:type="dxa"/>
            <w:bottom w:w="0" w:type="dxa"/>
            <w:right w:w="108" w:type="dxa"/>
          </w:tblCellMar>
        </w:tblPrEx>
        <w:trPr>
          <w:trHeight w:val="840"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46"/>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3</w:t>
            </w: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rPr>
            </w:pPr>
          </w:p>
        </w:tc>
        <w:tc>
          <w:tcPr>
            <w:tcW w:w="1523" w:type="dxa"/>
            <w:vMerge w:val="restart"/>
            <w:tcBorders>
              <w:top w:val="single" w:color="000000" w:sz="4" w:space="0"/>
              <w:left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bidi="ar"/>
              </w:rPr>
              <w:t>物理服务器租用服务（包含X86、ARM、C86）</w:t>
            </w:r>
          </w:p>
        </w:tc>
        <w:tc>
          <w:tcPr>
            <w:tcW w:w="25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物理服务器租用服务-物理服务器配置1</w:t>
            </w:r>
          </w:p>
          <w:p>
            <w:pPr>
              <w:pStyle w:val="246"/>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2*16核，64GB内存，Raid卡，2*960GB SATA SSD，4端口千兆管理电口，冗余热插拔电源。</w:t>
            </w:r>
          </w:p>
        </w:tc>
        <w:tc>
          <w:tcPr>
            <w:tcW w:w="1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1台</w:t>
            </w: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46"/>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r>
      <w:tr>
        <w:tblPrEx>
          <w:tblLayout w:type="fixed"/>
          <w:tblCellMar>
            <w:top w:w="0" w:type="dxa"/>
            <w:left w:w="108" w:type="dxa"/>
            <w:bottom w:w="0" w:type="dxa"/>
            <w:right w:w="108" w:type="dxa"/>
          </w:tblCellMar>
        </w:tblPrEx>
        <w:trPr>
          <w:trHeight w:val="840" w:hRule="atLeast"/>
          <w:jc w:val="center"/>
        </w:trPr>
        <w:tc>
          <w:tcPr>
            <w:tcW w:w="727" w:type="dxa"/>
            <w:vMerge w:val="continue"/>
            <w:tcBorders>
              <w:left w:val="single" w:color="000000" w:sz="4" w:space="0"/>
              <w:right w:val="single" w:color="000000" w:sz="4" w:space="0"/>
            </w:tcBorders>
            <w:shd w:val="clear" w:color="auto" w:fill="FFFFFF"/>
            <w:noWrap/>
            <w:vAlign w:val="center"/>
          </w:tcPr>
          <w:p>
            <w:pPr>
              <w:pStyle w:val="246"/>
              <w:spacing w:line="560" w:lineRule="exact"/>
              <w:jc w:val="center"/>
              <w:rPr>
                <w:rFonts w:hint="eastAsia" w:ascii="宋体" w:hAnsi="宋体" w:eastAsia="宋体" w:cs="宋体"/>
                <w:sz w:val="24"/>
                <w:szCs w:val="24"/>
                <w:highlight w:val="none"/>
                <w:lang w:bidi="ar"/>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rPr>
            </w:pPr>
          </w:p>
        </w:tc>
        <w:tc>
          <w:tcPr>
            <w:tcW w:w="1523" w:type="dxa"/>
            <w:vMerge w:val="continue"/>
            <w:tcBorders>
              <w:left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lang w:bidi="ar"/>
              </w:rPr>
            </w:pPr>
          </w:p>
        </w:tc>
        <w:tc>
          <w:tcPr>
            <w:tcW w:w="25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bidi="ar"/>
              </w:rPr>
              <w:t>物理服务器租用服务-物理服务器配置</w:t>
            </w:r>
            <w:r>
              <w:rPr>
                <w:rFonts w:hint="eastAsia" w:ascii="宋体" w:hAnsi="宋体" w:eastAsia="宋体" w:cs="宋体"/>
                <w:sz w:val="24"/>
                <w:szCs w:val="24"/>
                <w:highlight w:val="none"/>
                <w:lang w:val="en-US" w:eastAsia="zh-CN" w:bidi="ar"/>
              </w:rPr>
              <w:t>2</w:t>
            </w:r>
          </w:p>
          <w:p>
            <w:pPr>
              <w:pStyle w:val="246"/>
              <w:spacing w:line="560" w:lineRule="exac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2*24核，128GB内存，Raid卡，2*960GB SATA SSD，4端口千兆管理电口，冗余热插拔电源</w:t>
            </w:r>
          </w:p>
        </w:tc>
        <w:tc>
          <w:tcPr>
            <w:tcW w:w="1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1台</w:t>
            </w: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46"/>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r>
      <w:tr>
        <w:tblPrEx>
          <w:tblLayout w:type="fixed"/>
          <w:tblCellMar>
            <w:top w:w="0" w:type="dxa"/>
            <w:left w:w="108" w:type="dxa"/>
            <w:bottom w:w="0" w:type="dxa"/>
            <w:right w:w="108" w:type="dxa"/>
          </w:tblCellMar>
        </w:tblPrEx>
        <w:trPr>
          <w:trHeight w:val="840"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46"/>
              <w:spacing w:line="560" w:lineRule="exact"/>
              <w:jc w:val="center"/>
              <w:rPr>
                <w:rFonts w:hint="eastAsia" w:ascii="宋体" w:hAnsi="宋体" w:eastAsia="宋体" w:cs="宋体"/>
                <w:sz w:val="24"/>
                <w:szCs w:val="24"/>
                <w:highlight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rPr>
            </w:pPr>
          </w:p>
        </w:tc>
        <w:tc>
          <w:tcPr>
            <w:tcW w:w="1523" w:type="dxa"/>
            <w:vMerge w:val="continue"/>
            <w:tcBorders>
              <w:left w:val="single" w:color="000000" w:sz="4" w:space="0"/>
              <w:bottom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lang w:val="en-US" w:eastAsia="zh-CN"/>
              </w:rPr>
            </w:pPr>
          </w:p>
        </w:tc>
        <w:tc>
          <w:tcPr>
            <w:tcW w:w="25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bidi="ar"/>
              </w:rPr>
              <w:t>物理服务器租用服务-物理服务器配置</w:t>
            </w:r>
            <w:r>
              <w:rPr>
                <w:rFonts w:hint="eastAsia" w:ascii="宋体" w:hAnsi="宋体" w:eastAsia="宋体" w:cs="宋体"/>
                <w:sz w:val="24"/>
                <w:szCs w:val="24"/>
                <w:highlight w:val="none"/>
                <w:lang w:val="en-US" w:eastAsia="zh-CN" w:bidi="ar"/>
              </w:rPr>
              <w:t>3</w:t>
            </w:r>
          </w:p>
          <w:p>
            <w:pPr>
              <w:pStyle w:val="246"/>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2*32核，512内存，Raid卡，2*1.2TB 12Gbps SAS 10K 热插拔HDD硬盘，2*2端口万兆光接口（带2个光模块），2*单卡1端口100Gb_IB适配卡，1*4端口千兆管理电口，冗余热插拔电源</w:t>
            </w:r>
          </w:p>
        </w:tc>
        <w:tc>
          <w:tcPr>
            <w:tcW w:w="1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1台</w:t>
            </w: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46"/>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r>
    </w:tbl>
    <w:p>
      <w:pPr>
        <w:pStyle w:val="2"/>
        <w:numPr>
          <w:ilvl w:val="3"/>
          <w:numId w:val="9"/>
        </w:numPr>
        <w:ind w:firstLine="335" w:firstLineChars="139"/>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存储服务</w:t>
      </w:r>
      <w:r>
        <w:rPr>
          <w:rFonts w:hint="eastAsia" w:ascii="宋体" w:hAnsi="宋体" w:eastAsia="宋体" w:cs="宋体"/>
          <w:sz w:val="24"/>
          <w:szCs w:val="24"/>
          <w:highlight w:val="none"/>
        </w:rPr>
        <w:t>需求</w:t>
      </w:r>
    </w:p>
    <w:p>
      <w:pPr>
        <w:pStyle w:val="506"/>
        <w:spacing w:line="560" w:lineRule="exact"/>
        <w:rPr>
          <w:rFonts w:hint="eastAsia" w:ascii="宋体" w:hAnsi="宋体" w:eastAsia="宋体" w:cs="宋体"/>
          <w:sz w:val="24"/>
          <w:highlight w:val="none"/>
        </w:rPr>
      </w:pPr>
      <w:r>
        <w:rPr>
          <w:rFonts w:hint="eastAsia" w:ascii="宋体" w:hAnsi="宋体" w:eastAsia="宋体" w:cs="宋体"/>
          <w:sz w:val="24"/>
          <w:szCs w:val="24"/>
          <w:highlight w:val="none"/>
          <w:lang w:val="en-US" w:eastAsia="zh-CN"/>
        </w:rPr>
        <w:t>投标人须在副中心为市财政局提供为预算管理一体化应急时运行所需的存储资源，依据业务系统部署和运行情况，系统稳定运行所需存储资源如下：</w:t>
      </w:r>
    </w:p>
    <w:p>
      <w:pPr>
        <w:rPr>
          <w:rFonts w:hint="eastAsia" w:ascii="宋体" w:hAnsi="宋体" w:eastAsia="宋体" w:cs="宋体"/>
          <w:sz w:val="24"/>
          <w:szCs w:val="24"/>
          <w:highlight w:val="none"/>
        </w:rPr>
      </w:pPr>
    </w:p>
    <w:tbl>
      <w:tblPr>
        <w:tblStyle w:val="53"/>
        <w:tblW w:w="8644" w:type="dxa"/>
        <w:jc w:val="center"/>
        <w:tblInd w:w="0" w:type="dxa"/>
        <w:tblLayout w:type="fixed"/>
        <w:tblCellMar>
          <w:top w:w="0" w:type="dxa"/>
          <w:left w:w="108" w:type="dxa"/>
          <w:bottom w:w="0" w:type="dxa"/>
          <w:right w:w="108" w:type="dxa"/>
        </w:tblCellMar>
      </w:tblPr>
      <w:tblGrid>
        <w:gridCol w:w="727"/>
        <w:gridCol w:w="1383"/>
        <w:gridCol w:w="1523"/>
        <w:gridCol w:w="2504"/>
        <w:gridCol w:w="1072"/>
        <w:gridCol w:w="1435"/>
      </w:tblGrid>
      <w:tr>
        <w:tblPrEx>
          <w:tblLayout w:type="fixed"/>
          <w:tblCellMar>
            <w:top w:w="0" w:type="dxa"/>
            <w:left w:w="108" w:type="dxa"/>
            <w:bottom w:w="0" w:type="dxa"/>
            <w:right w:w="108" w:type="dxa"/>
          </w:tblCellMar>
        </w:tblPrEx>
        <w:trPr>
          <w:trHeight w:val="56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46"/>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46"/>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存储服务</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普通性能存储</w:t>
            </w:r>
          </w:p>
        </w:tc>
        <w:tc>
          <w:tcPr>
            <w:tcW w:w="25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单盘技术指标：单盘IOPS 2000-5000</w:t>
            </w:r>
          </w:p>
        </w:tc>
        <w:tc>
          <w:tcPr>
            <w:tcW w:w="1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1</w:t>
            </w:r>
            <w:r>
              <w:rPr>
                <w:rFonts w:hint="eastAsia" w:ascii="宋体" w:hAnsi="宋体" w:eastAsia="宋体" w:cs="宋体"/>
                <w:sz w:val="24"/>
                <w:szCs w:val="24"/>
                <w:highlight w:val="none"/>
                <w:lang w:val="en-US" w:eastAsia="zh-CN" w:bidi="ar"/>
              </w:rPr>
              <w:t>00</w:t>
            </w:r>
            <w:r>
              <w:rPr>
                <w:rFonts w:hint="eastAsia" w:ascii="宋体" w:hAnsi="宋体" w:eastAsia="宋体" w:cs="宋体"/>
                <w:sz w:val="24"/>
                <w:szCs w:val="24"/>
                <w:highlight w:val="none"/>
                <w:lang w:bidi="ar"/>
              </w:rPr>
              <w:t>GB</w:t>
            </w: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46"/>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bidi="ar"/>
              </w:rPr>
              <w:t>659.9</w:t>
            </w:r>
          </w:p>
        </w:tc>
      </w:tr>
      <w:tr>
        <w:tblPrEx>
          <w:tblLayout w:type="fixed"/>
          <w:tblCellMar>
            <w:top w:w="0" w:type="dxa"/>
            <w:left w:w="108" w:type="dxa"/>
            <w:bottom w:w="0" w:type="dxa"/>
            <w:right w:w="108" w:type="dxa"/>
          </w:tblCellMar>
        </w:tblPrEx>
        <w:trPr>
          <w:trHeight w:val="56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46"/>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46"/>
              <w:spacing w:line="560" w:lineRule="exact"/>
              <w:rPr>
                <w:rFonts w:hint="eastAsia" w:ascii="宋体" w:hAnsi="宋体" w:eastAsia="宋体" w:cs="宋体"/>
                <w:sz w:val="24"/>
                <w:szCs w:val="24"/>
                <w:highlight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高性能存储</w:t>
            </w:r>
          </w:p>
        </w:tc>
        <w:tc>
          <w:tcPr>
            <w:tcW w:w="25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单盘技术指标：单盘IOPS 10000-25000</w:t>
            </w:r>
          </w:p>
        </w:tc>
        <w:tc>
          <w:tcPr>
            <w:tcW w:w="1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1</w:t>
            </w:r>
            <w:r>
              <w:rPr>
                <w:rFonts w:hint="eastAsia" w:ascii="宋体" w:hAnsi="宋体" w:eastAsia="宋体" w:cs="宋体"/>
                <w:sz w:val="24"/>
                <w:szCs w:val="24"/>
                <w:highlight w:val="none"/>
                <w:lang w:val="en-US" w:eastAsia="zh-CN" w:bidi="ar"/>
              </w:rPr>
              <w:t>00</w:t>
            </w:r>
            <w:r>
              <w:rPr>
                <w:rFonts w:hint="eastAsia" w:ascii="宋体" w:hAnsi="宋体" w:eastAsia="宋体" w:cs="宋体"/>
                <w:sz w:val="24"/>
                <w:szCs w:val="24"/>
                <w:highlight w:val="none"/>
                <w:lang w:bidi="ar"/>
              </w:rPr>
              <w:t>GB</w:t>
            </w: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46"/>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bidi="ar"/>
              </w:rPr>
              <w:t>1072.06</w:t>
            </w:r>
          </w:p>
        </w:tc>
      </w:tr>
    </w:tbl>
    <w:p>
      <w:pPr>
        <w:pStyle w:val="506"/>
        <w:spacing w:line="560" w:lineRule="exact"/>
        <w:rPr>
          <w:rFonts w:hint="eastAsia" w:ascii="宋体" w:hAnsi="宋体" w:eastAsia="宋体" w:cs="宋体"/>
          <w:sz w:val="24"/>
          <w:szCs w:val="24"/>
          <w:highlight w:val="none"/>
        </w:rPr>
      </w:pPr>
    </w:p>
    <w:p>
      <w:pPr>
        <w:pStyle w:val="2"/>
        <w:numPr>
          <w:ilvl w:val="3"/>
          <w:numId w:val="9"/>
        </w:numPr>
        <w:ind w:firstLine="335" w:firstLineChars="139"/>
        <w:contextualSpacing/>
        <w:jc w:val="left"/>
        <w:outlineLvl w:val="9"/>
        <w:rPr>
          <w:rFonts w:hint="default" w:ascii="宋体" w:hAnsi="宋体" w:eastAsia="宋体" w:cs="宋体"/>
          <w:sz w:val="24"/>
          <w:szCs w:val="24"/>
          <w:highlight w:val="none"/>
        </w:rPr>
      </w:pPr>
      <w:r>
        <w:rPr>
          <w:rFonts w:hint="eastAsia" w:ascii="宋体" w:hAnsi="宋体" w:eastAsia="宋体" w:cs="宋体"/>
          <w:sz w:val="24"/>
          <w:szCs w:val="24"/>
          <w:highlight w:val="none"/>
          <w:lang w:val="en-US" w:eastAsia="zh-CN"/>
        </w:rPr>
        <w:t>网络资源</w:t>
      </w:r>
      <w:r>
        <w:rPr>
          <w:rFonts w:hint="eastAsia" w:ascii="宋体" w:hAnsi="宋体" w:eastAsia="宋体" w:cs="宋体"/>
          <w:sz w:val="24"/>
          <w:szCs w:val="24"/>
          <w:highlight w:val="none"/>
        </w:rPr>
        <w:t>需求</w:t>
      </w:r>
    </w:p>
    <w:p>
      <w:pPr>
        <w:pStyle w:val="506"/>
        <w:spacing w:line="5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投标人须为市财政局提供连续的网络地址段，满足IPV4/IPV6接入，提供用于内网主机负载均衡服务10个。具体如下：</w:t>
      </w:r>
    </w:p>
    <w:tbl>
      <w:tblPr>
        <w:tblStyle w:val="53"/>
        <w:tblW w:w="8229" w:type="dxa"/>
        <w:jc w:val="center"/>
        <w:tblInd w:w="0" w:type="dxa"/>
        <w:tblLayout w:type="fixed"/>
        <w:tblCellMar>
          <w:top w:w="0" w:type="dxa"/>
          <w:left w:w="108" w:type="dxa"/>
          <w:bottom w:w="0" w:type="dxa"/>
          <w:right w:w="108" w:type="dxa"/>
        </w:tblCellMar>
      </w:tblPr>
      <w:tblGrid>
        <w:gridCol w:w="727"/>
        <w:gridCol w:w="1383"/>
        <w:gridCol w:w="1523"/>
        <w:gridCol w:w="2504"/>
        <w:gridCol w:w="1072"/>
        <w:gridCol w:w="1020"/>
      </w:tblGrid>
      <w:tr>
        <w:tblPrEx>
          <w:tblLayout w:type="fixed"/>
          <w:tblCellMar>
            <w:top w:w="0" w:type="dxa"/>
            <w:left w:w="108" w:type="dxa"/>
            <w:bottom w:w="0" w:type="dxa"/>
            <w:right w:w="108" w:type="dxa"/>
          </w:tblCellMar>
        </w:tblPrEx>
        <w:trPr>
          <w:trHeight w:val="28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序号</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服务类别</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服务子类</w:t>
            </w:r>
          </w:p>
        </w:tc>
        <w:tc>
          <w:tcPr>
            <w:tcW w:w="25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服务项</w:t>
            </w:r>
          </w:p>
        </w:tc>
        <w:tc>
          <w:tcPr>
            <w:tcW w:w="1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计价单位</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数量</w:t>
            </w:r>
          </w:p>
        </w:tc>
      </w:tr>
      <w:tr>
        <w:tblPrEx>
          <w:tblLayout w:type="fixed"/>
          <w:tblCellMar>
            <w:top w:w="0" w:type="dxa"/>
            <w:left w:w="108" w:type="dxa"/>
            <w:bottom w:w="0" w:type="dxa"/>
            <w:right w:w="108" w:type="dxa"/>
          </w:tblCellMar>
        </w:tblPrEx>
        <w:trPr>
          <w:trHeight w:val="28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46"/>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46"/>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网络服务</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主机负载均衡服务</w:t>
            </w:r>
          </w:p>
        </w:tc>
        <w:tc>
          <w:tcPr>
            <w:tcW w:w="25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主机负载均衡服务</w:t>
            </w:r>
          </w:p>
        </w:tc>
        <w:tc>
          <w:tcPr>
            <w:tcW w:w="1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1IP（内网）</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46"/>
              <w:spacing w:line="560" w:lineRule="exact"/>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r>
    </w:tbl>
    <w:p>
      <w:pPr>
        <w:pStyle w:val="506"/>
        <w:spacing w:line="560" w:lineRule="exact"/>
        <w:rPr>
          <w:rFonts w:hint="eastAsia" w:ascii="宋体" w:hAnsi="宋体" w:eastAsia="宋体" w:cs="宋体"/>
          <w:sz w:val="24"/>
          <w:szCs w:val="24"/>
          <w:highlight w:val="none"/>
          <w:lang w:val="en-US" w:eastAsia="zh-CN"/>
        </w:rPr>
      </w:pPr>
    </w:p>
    <w:p>
      <w:pPr>
        <w:pStyle w:val="2"/>
        <w:numPr>
          <w:ilvl w:val="3"/>
          <w:numId w:val="9"/>
        </w:numPr>
        <w:ind w:firstLine="335" w:firstLineChars="139"/>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其他</w:t>
      </w:r>
      <w:r>
        <w:rPr>
          <w:rFonts w:hint="eastAsia" w:ascii="宋体" w:hAnsi="宋体" w:eastAsia="宋体" w:cs="宋体"/>
          <w:sz w:val="24"/>
          <w:szCs w:val="24"/>
          <w:highlight w:val="none"/>
        </w:rPr>
        <w:t>需求</w:t>
      </w:r>
    </w:p>
    <w:p>
      <w:pPr>
        <w:pStyle w:val="506"/>
        <w:spacing w:line="5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投标人需承诺提供 108台主机的云主机深度监控及运维保障服务，包括7×24小时深度监测云主机资源、硬件设备监控、云平台层应急处置等内容。对于杀毒服务的具体要求如下：</w:t>
      </w:r>
    </w:p>
    <w:tbl>
      <w:tblPr>
        <w:tblStyle w:val="53"/>
        <w:tblW w:w="8229" w:type="dxa"/>
        <w:jc w:val="center"/>
        <w:tblInd w:w="0" w:type="dxa"/>
        <w:tblLayout w:type="fixed"/>
        <w:tblCellMar>
          <w:top w:w="0" w:type="dxa"/>
          <w:left w:w="108" w:type="dxa"/>
          <w:bottom w:w="0" w:type="dxa"/>
          <w:right w:w="108" w:type="dxa"/>
        </w:tblCellMar>
      </w:tblPr>
      <w:tblGrid>
        <w:gridCol w:w="727"/>
        <w:gridCol w:w="1383"/>
        <w:gridCol w:w="1523"/>
        <w:gridCol w:w="2504"/>
        <w:gridCol w:w="1072"/>
        <w:gridCol w:w="1020"/>
      </w:tblGrid>
      <w:tr>
        <w:tblPrEx>
          <w:tblLayout w:type="fixed"/>
          <w:tblCellMar>
            <w:top w:w="0" w:type="dxa"/>
            <w:left w:w="108" w:type="dxa"/>
            <w:bottom w:w="0" w:type="dxa"/>
            <w:right w:w="108" w:type="dxa"/>
          </w:tblCellMar>
        </w:tblPrEx>
        <w:trPr>
          <w:trHeight w:val="28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序号</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服务类别</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服务子类</w:t>
            </w:r>
          </w:p>
        </w:tc>
        <w:tc>
          <w:tcPr>
            <w:tcW w:w="25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服务项</w:t>
            </w:r>
          </w:p>
        </w:tc>
        <w:tc>
          <w:tcPr>
            <w:tcW w:w="1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计价单位</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数量</w:t>
            </w:r>
          </w:p>
        </w:tc>
      </w:tr>
      <w:tr>
        <w:tblPrEx>
          <w:tblLayout w:type="fixed"/>
          <w:tblCellMar>
            <w:top w:w="0" w:type="dxa"/>
            <w:left w:w="108" w:type="dxa"/>
            <w:bottom w:w="0" w:type="dxa"/>
            <w:right w:w="108" w:type="dxa"/>
          </w:tblCellMar>
        </w:tblPrEx>
        <w:trPr>
          <w:trHeight w:val="28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46"/>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46"/>
              <w:spacing w:line="5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其他服务</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主机杀毒服务</w:t>
            </w:r>
          </w:p>
        </w:tc>
        <w:tc>
          <w:tcPr>
            <w:tcW w:w="25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主机杀毒服务</w:t>
            </w:r>
          </w:p>
        </w:tc>
        <w:tc>
          <w:tcPr>
            <w:tcW w:w="1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46"/>
              <w:spacing w:line="560" w:lineRule="exact"/>
              <w:ind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bidi="ar"/>
              </w:rPr>
              <w:t>台</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46"/>
              <w:spacing w:line="560" w:lineRule="exact"/>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108</w:t>
            </w:r>
          </w:p>
        </w:tc>
      </w:tr>
    </w:tbl>
    <w:p>
      <w:pPr>
        <w:spacing w:line="560" w:lineRule="exact"/>
        <w:ind w:firstLine="480"/>
        <w:rPr>
          <w:rFonts w:hint="eastAsia" w:ascii="宋体" w:hAnsi="宋体" w:eastAsia="宋体" w:cs="宋体"/>
          <w:sz w:val="24"/>
          <w:szCs w:val="24"/>
          <w:highlight w:val="none"/>
        </w:rPr>
      </w:pPr>
    </w:p>
    <w:p>
      <w:pPr>
        <w:pStyle w:val="2"/>
        <w:numPr>
          <w:ilvl w:val="3"/>
          <w:numId w:val="9"/>
        </w:numPr>
        <w:ind w:firstLine="335" w:firstLineChars="139"/>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云平台性能需求</w:t>
      </w:r>
    </w:p>
    <w:p>
      <w:pPr>
        <w:pStyle w:val="4"/>
        <w:numPr>
          <w:ilvl w:val="4"/>
          <w:numId w:val="9"/>
        </w:numPr>
        <w:ind w:firstLine="335" w:firstLineChars="139"/>
        <w:contextualSpacing/>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系统性能指标要求</w:t>
      </w:r>
    </w:p>
    <w:p>
      <w:pPr>
        <w:pStyle w:val="506"/>
        <w:spacing w:line="5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云平台基础软件、硬件环境可达到365天7*24小时不间断运行的要求，云平台整体可用性不低于99.99%，数据可靠性不低于99.9999%。</w:t>
      </w:r>
    </w:p>
    <w:p>
      <w:pPr>
        <w:pStyle w:val="4"/>
        <w:numPr>
          <w:ilvl w:val="4"/>
          <w:numId w:val="9"/>
        </w:numPr>
        <w:ind w:firstLine="335" w:firstLineChars="139"/>
        <w:contextualSpacing/>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用户权限控制要求</w:t>
      </w:r>
    </w:p>
    <w:p>
      <w:pPr>
        <w:pStyle w:val="506"/>
        <w:spacing w:line="5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云平台管理由北京市财政局统一授权，非授权人不得登录云平台管理资源。</w:t>
      </w:r>
    </w:p>
    <w:p>
      <w:pPr>
        <w:pStyle w:val="2"/>
        <w:numPr>
          <w:ilvl w:val="3"/>
          <w:numId w:val="9"/>
        </w:numPr>
        <w:ind w:firstLine="335" w:firstLineChars="139"/>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其他</w:t>
      </w:r>
      <w:r>
        <w:rPr>
          <w:rFonts w:hint="eastAsia" w:ascii="宋体" w:hAnsi="宋体" w:eastAsia="宋体" w:cs="宋体"/>
          <w:sz w:val="24"/>
          <w:szCs w:val="24"/>
          <w:highlight w:val="none"/>
        </w:rPr>
        <w:t>要求</w:t>
      </w:r>
    </w:p>
    <w:p>
      <w:pPr>
        <w:pStyle w:val="4"/>
        <w:numPr>
          <w:ilvl w:val="4"/>
          <w:numId w:val="9"/>
        </w:numPr>
        <w:ind w:firstLine="335" w:firstLineChars="139"/>
        <w:contextualSpacing/>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运维管理能力要求</w:t>
      </w:r>
    </w:p>
    <w:p>
      <w:pPr>
        <w:pStyle w:val="506"/>
        <w:spacing w:line="5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投标人应采用运维监控软件，提升运维管理能力，须具有的运维管理能力要求如下：</w:t>
      </w:r>
    </w:p>
    <w:p>
      <w:pPr>
        <w:pStyle w:val="506"/>
        <w:spacing w:line="5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可视化监控管理能力，须以业务系统为维度提供云主机的可视化监控展示，包括云主机的CPU、内存、云盘使用率、总资源占领量、云效率、拨测信息等在门户首页进行展示和查看；提供可视化监控能力截图。</w:t>
      </w:r>
    </w:p>
    <w:p>
      <w:pPr>
        <w:pStyle w:val="506"/>
        <w:spacing w:line="5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（2）后台任务性能分析能力：能够对后台任务慢追踪，包括时间、后台任务名称、平均响应时间；提供后台任务性能分析能力截图；</w:t>
      </w:r>
    </w:p>
    <w:p>
      <w:pPr>
        <w:pStyle w:val="506"/>
        <w:spacing w:line="5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（3）同时间轴数据分析能力；能够对用户体验层、应用程序层、IT架构层进行同时间轴分析，找到引起业务总分降低的关键指标；提供同时间轴数据分析能力截图；</w:t>
      </w:r>
    </w:p>
    <w:p>
      <w:pPr>
        <w:pStyle w:val="506"/>
        <w:spacing w:line="5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（4）具有数据库运维知识库，实现智能诊断分析功能：当某个运维场景告警时，可以通过知识图谱推荐的诊断路径进行自动化分析，并输出诊断报告；提供智能诊断分析功能和诊断分析报告能力截图。</w:t>
      </w:r>
    </w:p>
    <w:p>
      <w:pPr>
        <w:pStyle w:val="4"/>
        <w:numPr>
          <w:ilvl w:val="4"/>
          <w:numId w:val="9"/>
        </w:numPr>
        <w:ind w:firstLine="335" w:firstLineChars="139"/>
        <w:contextualSpacing/>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运维要求</w:t>
      </w:r>
    </w:p>
    <w:p>
      <w:pPr>
        <w:pStyle w:val="506"/>
        <w:spacing w:line="5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投标人需编制运维服务制度、规范、流程，需利用监控系统或人工对机房环境、硬件设备及应用系统的运行情况进行7*24小时的监控，及时发现安全隐患，通知相关人员及时处理，并形成监控报告。</w:t>
      </w:r>
    </w:p>
    <w:p>
      <w:pPr>
        <w:pStyle w:val="506"/>
        <w:spacing w:line="5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负责设立技术支持热线，并安排专人值守，为运维工作提供7*24小时热线支持服务。投标人针对采购人要求的运维服务相关内容，需指定专业技术能力较强的工程师，根据采购人要求配合开展相关维护服务。</w:t>
      </w:r>
    </w:p>
    <w:p>
      <w:pPr>
        <w:pStyle w:val="4"/>
        <w:numPr>
          <w:ilvl w:val="4"/>
          <w:numId w:val="9"/>
        </w:numPr>
        <w:ind w:firstLine="335" w:firstLineChars="139"/>
        <w:contextualSpacing/>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安全及保密要求</w:t>
      </w:r>
    </w:p>
    <w:p>
      <w:pPr>
        <w:pStyle w:val="506"/>
        <w:spacing w:line="5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投标人须严格遵守采购人的相关信息安全规定，不得利用系统维护服务时的便利对采购人数据及其他信息擅自修改或透漏给第三方。</w:t>
      </w:r>
    </w:p>
    <w:p>
      <w:pPr>
        <w:pStyle w:val="4"/>
        <w:numPr>
          <w:ilvl w:val="4"/>
          <w:numId w:val="9"/>
        </w:numPr>
        <w:ind w:firstLine="335" w:firstLineChars="139"/>
        <w:contextualSpacing/>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响应的及时性要求</w:t>
      </w:r>
    </w:p>
    <w:p>
      <w:pPr>
        <w:pStyle w:val="506"/>
        <w:spacing w:line="5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应当提供高效的系统维护服务，有效防范系统风险，系统对应负责人7*24小时电话畅通，能够在系统发生除宕机外的其他故障问题时，投标人应在5分钟内响应，在30分钟之内开始处理故障，能够协调人力资源在1小时内到达运维现场提供服务。系统发生宕机问题时，投标人应在30分钟内响应，在4个小时之内使系统恢复正常，故障处理完毕后提供相关系统宕机报告。</w:t>
      </w:r>
    </w:p>
    <w:p>
      <w:pPr>
        <w:outlineLvl w:val="9"/>
        <w:rPr>
          <w:rFonts w:hint="eastAsia" w:ascii="宋体" w:hAnsi="宋体" w:eastAsia="宋体" w:cs="宋体"/>
          <w:sz w:val="24"/>
          <w:szCs w:val="24"/>
          <w:highlight w:val="none"/>
        </w:rPr>
      </w:pPr>
      <w:bookmarkStart w:id="31" w:name="_Toc176186883"/>
      <w:bookmarkStart w:id="32" w:name="_Toc4760"/>
      <w:r>
        <w:rPr>
          <w:rFonts w:hint="eastAsia" w:ascii="宋体" w:hAnsi="宋体" w:eastAsia="宋体" w:cs="宋体"/>
          <w:sz w:val="24"/>
          <w:szCs w:val="24"/>
          <w:highlight w:val="none"/>
        </w:rPr>
        <w:t>服务团队要求</w:t>
      </w:r>
      <w:bookmarkEnd w:id="31"/>
      <w:bookmarkEnd w:id="32"/>
    </w:p>
    <w:p>
      <w:pPr>
        <w:pStyle w:val="506"/>
        <w:spacing w:line="5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须根据项目要求安排具备相应资质和经验的专业人员从事本项目工作，提供不少于10人的服务团队，须确保项目实施队伍的稳定。投标人需提供项目团队组织架构、成员名单、成员职责，保证担任重要岗位的人员具备相应专业资质。</w:t>
      </w:r>
    </w:p>
    <w:p>
      <w:pPr>
        <w:pStyle w:val="506"/>
        <w:spacing w:line="5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项目经理1名，需具有5年及以上项目管理工作经验（提供个人简历、项目经历），需具备有效期内的高级信息系统项目管理师证书（计算机技术与软件专业技术资格）、信息安全保障人员认证证书（应急服务专业级或以上）、信息安全保障人员认证证书（安全运维专业级或以上）、重要信息系统安全等级保护等。 </w:t>
      </w:r>
    </w:p>
    <w:p>
      <w:pPr>
        <w:pStyle w:val="506"/>
        <w:spacing w:line="5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安全（技术）负责人员1名（不能与项目经理为同一人），需具有五年</w:t>
      </w:r>
      <w:r>
        <w:rPr>
          <w:rFonts w:hint="eastAsia" w:ascii="宋体" w:hAnsi="宋体" w:eastAsia="宋体" w:cs="宋体"/>
          <w:sz w:val="24"/>
          <w:highlight w:val="none"/>
          <w:lang w:val="en-US" w:eastAsia="zh-CN"/>
        </w:rPr>
        <w:t>及</w:t>
      </w:r>
      <w:r>
        <w:rPr>
          <w:rFonts w:hint="eastAsia" w:ascii="宋体" w:hAnsi="宋体" w:eastAsia="宋体" w:cs="宋体"/>
          <w:sz w:val="24"/>
          <w:szCs w:val="24"/>
          <w:highlight w:val="none"/>
          <w:lang w:val="en-US" w:eastAsia="zh-CN"/>
        </w:rPr>
        <w:t>以上工作经验，需具有在有效期内的信息安全保障人员认证证书（安全集成专业级或以上）、信息安全保障人员认证证书（应急服务专业级或以上）、注册信息安全工程师（CISE）认证证书等。</w:t>
      </w:r>
    </w:p>
    <w:p>
      <w:pPr>
        <w:pStyle w:val="506"/>
        <w:spacing w:line="5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技术服务人员不少于8名（不包含项目经理和安全技术负责人），人员至少包括以下不同的技术人员：系统架构设计师1名、系统规划与管理师1名、系统分析师1名、网络规划设计师1名，以上4名须通过计算机技术与软件专业技术资格（水平）考试，并取得相应高级证书；数据库系统工程师1名，需通过计算机技术与软件专业技术资格（水平）考试，并取得相应证书。</w:t>
      </w:r>
    </w:p>
    <w:p>
      <w:pPr>
        <w:pStyle w:val="2"/>
        <w:numPr>
          <w:ilvl w:val="3"/>
          <w:numId w:val="9"/>
        </w:numPr>
        <w:ind w:firstLine="335" w:firstLineChars="139"/>
        <w:contextualSpacing/>
        <w:jc w:val="left"/>
        <w:rPr>
          <w:rFonts w:hint="eastAsia" w:ascii="宋体" w:hAnsi="宋体" w:eastAsia="宋体" w:cs="宋体"/>
          <w:sz w:val="24"/>
          <w:szCs w:val="24"/>
          <w:highlight w:val="none"/>
        </w:rPr>
      </w:pPr>
      <w:bookmarkStart w:id="33" w:name="_Toc28669"/>
      <w:bookmarkStart w:id="34" w:name="_Toc176186884"/>
      <w:r>
        <w:rPr>
          <w:rFonts w:hint="eastAsia" w:ascii="宋体" w:hAnsi="宋体" w:eastAsia="宋体" w:cs="宋体"/>
          <w:sz w:val="24"/>
          <w:szCs w:val="24"/>
          <w:highlight w:val="none"/>
        </w:rPr>
        <w:t>验收标准</w:t>
      </w:r>
      <w:bookmarkEnd w:id="33"/>
      <w:bookmarkEnd w:id="34"/>
    </w:p>
    <w:p>
      <w:pPr>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中标人为采购人提供的服务质量应符合国家或相关行业，以及《北京市市级政务云管理办法》及北京市财政局运维管理相关要求。</w:t>
      </w:r>
    </w:p>
    <w:p>
      <w:pPr>
        <w:spacing w:line="560" w:lineRule="exact"/>
        <w:ind w:firstLine="480"/>
        <w:rPr>
          <w:rFonts w:hint="eastAsia" w:ascii="宋体" w:hAnsi="宋体" w:eastAsia="宋体" w:cs="宋体"/>
          <w:b/>
          <w:sz w:val="24"/>
          <w:szCs w:val="24"/>
          <w:highlight w:val="none"/>
        </w:rPr>
      </w:pPr>
      <w:r>
        <w:rPr>
          <w:rFonts w:hint="eastAsia" w:ascii="宋体" w:hAnsi="宋体" w:eastAsia="宋体" w:cs="宋体"/>
          <w:sz w:val="24"/>
          <w:szCs w:val="24"/>
          <w:highlight w:val="none"/>
        </w:rPr>
        <w:t>中标人在按合同要求提供各项服务并形成服务报告文档后，在系统运行正常的前提下，由采购人进行验收。中标人需提供最终签署的合同中约定的相关文档并配合采购人验收工作。</w:t>
      </w:r>
    </w:p>
    <w:p>
      <w:pPr>
        <w:pStyle w:val="2"/>
        <w:numPr>
          <w:ilvl w:val="3"/>
          <w:numId w:val="9"/>
        </w:numPr>
        <w:ind w:firstLine="335" w:firstLineChars="139"/>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政策性采购需求</w:t>
      </w:r>
    </w:p>
    <w:p>
      <w:pPr>
        <w:spacing w:line="560" w:lineRule="exact"/>
        <w:ind w:firstLine="480" w:firstLineChars="0"/>
        <w:rPr>
          <w:rFonts w:hint="eastAsia" w:ascii="宋体" w:hAnsi="宋体" w:eastAsia="宋体" w:cs="宋体"/>
          <w:sz w:val="24"/>
          <w:highlight w:val="none"/>
        </w:rPr>
      </w:pPr>
      <w:r>
        <w:rPr>
          <w:rFonts w:hint="eastAsia" w:ascii="宋体" w:hAnsi="宋体" w:eastAsia="宋体" w:cs="宋体"/>
          <w:sz w:val="24"/>
          <w:highlight w:val="none"/>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Sim Sun+ 2">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3514758"/>
    </w:sdtPr>
    <w:sdtContent>
      <w:p>
        <w:pPr>
          <w:pStyle w:val="33"/>
          <w:jc w:val="center"/>
        </w:pPr>
        <w:r>
          <w:fldChar w:fldCharType="begin"/>
        </w:r>
        <w:r>
          <w:instrText xml:space="preserve">PAGE   \* MERGEFORMAT</w:instrText>
        </w:r>
        <w:r>
          <w:fldChar w:fldCharType="separate"/>
        </w:r>
        <w:r>
          <w:rPr>
            <w:lang w:val="zh-CN"/>
          </w:rPr>
          <w:t>13</w:t>
        </w:r>
        <w:r>
          <w:fldChar w:fldCharType="end"/>
        </w:r>
      </w:p>
    </w:sdtContent>
  </w:sdt>
  <w:p>
    <w:pPr>
      <w:pStyle w:val="3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E5125C"/>
    <w:multiLevelType w:val="multilevel"/>
    <w:tmpl w:val="9FE5125C"/>
    <w:lvl w:ilvl="0" w:tentative="0">
      <w:start w:val="1"/>
      <w:numFmt w:val="chineseCounting"/>
      <w:suff w:val="nothing"/>
      <w:lvlText w:val="%1、"/>
      <w:lvlJc w:val="left"/>
      <w:rPr>
        <w:rFonts w:hint="eastAsia"/>
      </w:rPr>
    </w:lvl>
    <w:lvl w:ilvl="1" w:tentative="0">
      <w:start w:val="1"/>
      <w:numFmt w:val="chineseCounting"/>
      <w:suff w:val="nothing"/>
      <w:lvlText w:val="（%2）"/>
      <w:lvlJc w:val="left"/>
      <w:rPr>
        <w:rFonts w:hint="default"/>
      </w:rPr>
    </w:lvl>
    <w:lvl w:ilvl="2" w:tentative="0">
      <w:start w:val="1"/>
      <w:numFmt w:val="decimal"/>
      <w:suff w:val="nothing"/>
      <w:lvlText w:val="%3．"/>
      <w:lvlJc w:val="left"/>
      <w:rPr>
        <w:rFonts w:hint="default"/>
      </w:rPr>
    </w:lvl>
    <w:lvl w:ilvl="3" w:tentative="0">
      <w:start w:val="1"/>
      <w:numFmt w:val="decimal"/>
      <w:suff w:val="nothing"/>
      <w:lvlText w:val="（%4）"/>
      <w:lvlJc w:val="left"/>
      <w:rPr>
        <w:rFonts w:hint="default"/>
      </w:rPr>
    </w:lvl>
    <w:lvl w:ilvl="4" w:tentative="0">
      <w:start w:val="1"/>
      <w:numFmt w:val="decimalEnclosedCircleChinese"/>
      <w:suff w:val="nothing"/>
      <w:lvlText w:val="%5"/>
      <w:lvlJc w:val="left"/>
      <w:rPr>
        <w:rFonts w:hint="default"/>
      </w:rPr>
    </w:lvl>
    <w:lvl w:ilvl="5" w:tentative="0">
      <w:start w:val="1"/>
      <w:numFmt w:val="upperLetter"/>
      <w:suff w:val="nothing"/>
      <w:lvlText w:val="%6."/>
      <w:lvlJc w:val="left"/>
      <w:rPr>
        <w:rFonts w:hint="default"/>
      </w:rPr>
    </w:lvl>
    <w:lvl w:ilvl="6" w:tentative="0">
      <w:start w:val="1"/>
      <w:numFmt w:val="lowerLetter"/>
      <w:suff w:val="nothing"/>
      <w:lvlText w:val="%7．"/>
      <w:lvlJc w:val="left"/>
      <w:rPr>
        <w:rFonts w:hint="default"/>
      </w:rPr>
    </w:lvl>
    <w:lvl w:ilvl="7" w:tentative="0">
      <w:start w:val="1"/>
      <w:numFmt w:val="upperLetter"/>
      <w:suff w:val="nothing"/>
      <w:lvlText w:val="（%8）"/>
      <w:lvlJc w:val="left"/>
      <w:rPr>
        <w:rFonts w:hint="default"/>
      </w:rPr>
    </w:lvl>
    <w:lvl w:ilvl="8" w:tentative="0">
      <w:start w:val="1"/>
      <w:numFmt w:val="lowerLetter"/>
      <w:suff w:val="nothing"/>
      <w:lvlText w:val="（%9）"/>
      <w:lvlJc w:val="left"/>
      <w:rPr>
        <w:rFonts w:hint="default"/>
      </w:rPr>
    </w:lvl>
  </w:abstractNum>
  <w:abstractNum w:abstractNumId="1">
    <w:nsid w:val="B26A25E4"/>
    <w:multiLevelType w:val="multilevel"/>
    <w:tmpl w:val="B26A25E4"/>
    <w:lvl w:ilvl="0" w:tentative="0">
      <w:start w:val="1"/>
      <w:numFmt w:val="chineseCounting"/>
      <w:suff w:val="nothing"/>
      <w:lvlText w:val="%1、"/>
      <w:lvlJc w:val="left"/>
      <w:rPr>
        <w:rFonts w:hint="eastAsia"/>
      </w:rPr>
    </w:lvl>
    <w:lvl w:ilvl="1" w:tentative="0">
      <w:start w:val="1"/>
      <w:numFmt w:val="chineseCounting"/>
      <w:suff w:val="nothing"/>
      <w:lvlText w:val="（%2）"/>
      <w:lvlJc w:val="left"/>
      <w:rPr>
        <w:rFonts w:hint="default"/>
      </w:rPr>
    </w:lvl>
    <w:lvl w:ilvl="2" w:tentative="0">
      <w:start w:val="1"/>
      <w:numFmt w:val="decimal"/>
      <w:suff w:val="nothing"/>
      <w:lvlText w:val="%3．"/>
      <w:lvlJc w:val="left"/>
      <w:rPr>
        <w:rFonts w:hint="default"/>
      </w:rPr>
    </w:lvl>
    <w:lvl w:ilvl="3" w:tentative="0">
      <w:start w:val="1"/>
      <w:numFmt w:val="decimal"/>
      <w:suff w:val="nothing"/>
      <w:lvlText w:val="（%4）"/>
      <w:lvlJc w:val="left"/>
      <w:rPr>
        <w:rFonts w:hint="default"/>
      </w:rPr>
    </w:lvl>
    <w:lvl w:ilvl="4" w:tentative="0">
      <w:start w:val="1"/>
      <w:numFmt w:val="decimalEnclosedCircleChinese"/>
      <w:suff w:val="nothing"/>
      <w:lvlText w:val="%5"/>
      <w:lvlJc w:val="left"/>
      <w:rPr>
        <w:rFonts w:hint="default"/>
      </w:rPr>
    </w:lvl>
    <w:lvl w:ilvl="5" w:tentative="0">
      <w:start w:val="1"/>
      <w:numFmt w:val="upperLetter"/>
      <w:suff w:val="nothing"/>
      <w:lvlText w:val="%6."/>
      <w:lvlJc w:val="left"/>
      <w:rPr>
        <w:rFonts w:hint="default"/>
      </w:rPr>
    </w:lvl>
    <w:lvl w:ilvl="6" w:tentative="0">
      <w:start w:val="1"/>
      <w:numFmt w:val="lowerLetter"/>
      <w:suff w:val="nothing"/>
      <w:lvlText w:val="%7．"/>
      <w:lvlJc w:val="left"/>
      <w:rPr>
        <w:rFonts w:hint="default"/>
      </w:rPr>
    </w:lvl>
    <w:lvl w:ilvl="7" w:tentative="0">
      <w:start w:val="1"/>
      <w:numFmt w:val="upperLetter"/>
      <w:suff w:val="nothing"/>
      <w:lvlText w:val="（%8）"/>
      <w:lvlJc w:val="left"/>
      <w:rPr>
        <w:rFonts w:hint="default"/>
      </w:rPr>
    </w:lvl>
    <w:lvl w:ilvl="8" w:tentative="0">
      <w:start w:val="1"/>
      <w:numFmt w:val="lowerLetter"/>
      <w:suff w:val="nothing"/>
      <w:lvlText w:val="（%9）"/>
      <w:lvlJc w:val="left"/>
      <w:rPr>
        <w:rFonts w:hint="default"/>
      </w:rPr>
    </w:lvl>
  </w:abstractNum>
  <w:abstractNum w:abstractNumId="2">
    <w:nsid w:val="BF7F0A4D"/>
    <w:multiLevelType w:val="singleLevel"/>
    <w:tmpl w:val="BF7F0A4D"/>
    <w:lvl w:ilvl="0" w:tentative="0">
      <w:start w:val="1"/>
      <w:numFmt w:val="lowerLetter"/>
      <w:lvlText w:val="%1)"/>
      <w:lvlJc w:val="left"/>
      <w:pPr>
        <w:tabs>
          <w:tab w:val="left" w:pos="312"/>
        </w:tabs>
      </w:pPr>
    </w:lvl>
  </w:abstractNum>
  <w:abstractNum w:abstractNumId="3">
    <w:nsid w:val="EB14BA07"/>
    <w:multiLevelType w:val="multilevel"/>
    <w:tmpl w:val="EB14BA07"/>
    <w:lvl w:ilvl="0" w:tentative="0">
      <w:start w:val="1"/>
      <w:numFmt w:val="chineseCounting"/>
      <w:suff w:val="nothing"/>
      <w:lvlText w:val="%1、"/>
      <w:lvlJc w:val="left"/>
      <w:rPr>
        <w:rFonts w:hint="eastAsia"/>
      </w:rPr>
    </w:lvl>
    <w:lvl w:ilvl="1" w:tentative="0">
      <w:start w:val="1"/>
      <w:numFmt w:val="chineseCounting"/>
      <w:suff w:val="nothing"/>
      <w:lvlText w:val="（%2）"/>
      <w:lvlJc w:val="left"/>
      <w:rPr>
        <w:rFonts w:hint="default"/>
      </w:rPr>
    </w:lvl>
    <w:lvl w:ilvl="2" w:tentative="0">
      <w:start w:val="1"/>
      <w:numFmt w:val="decimal"/>
      <w:suff w:val="nothing"/>
      <w:lvlText w:val="%3．"/>
      <w:lvlJc w:val="left"/>
      <w:rPr>
        <w:rFonts w:hint="default"/>
      </w:rPr>
    </w:lvl>
    <w:lvl w:ilvl="3" w:tentative="0">
      <w:start w:val="1"/>
      <w:numFmt w:val="decimal"/>
      <w:suff w:val="nothing"/>
      <w:lvlText w:val="（%4）"/>
      <w:lvlJc w:val="left"/>
      <w:rPr>
        <w:rFonts w:hint="default"/>
      </w:rPr>
    </w:lvl>
    <w:lvl w:ilvl="4" w:tentative="0">
      <w:start w:val="1"/>
      <w:numFmt w:val="decimalEnclosedCircleChinese"/>
      <w:suff w:val="nothing"/>
      <w:lvlText w:val="%5"/>
      <w:lvlJc w:val="left"/>
      <w:rPr>
        <w:rFonts w:hint="default"/>
      </w:rPr>
    </w:lvl>
    <w:lvl w:ilvl="5" w:tentative="0">
      <w:start w:val="1"/>
      <w:numFmt w:val="upperLetter"/>
      <w:suff w:val="nothing"/>
      <w:lvlText w:val="%6."/>
      <w:lvlJc w:val="left"/>
      <w:rPr>
        <w:rFonts w:hint="default"/>
      </w:rPr>
    </w:lvl>
    <w:lvl w:ilvl="6" w:tentative="0">
      <w:start w:val="1"/>
      <w:numFmt w:val="lowerLetter"/>
      <w:suff w:val="nothing"/>
      <w:lvlText w:val="%7．"/>
      <w:lvlJc w:val="left"/>
      <w:rPr>
        <w:rFonts w:hint="default"/>
      </w:rPr>
    </w:lvl>
    <w:lvl w:ilvl="7" w:tentative="0">
      <w:start w:val="1"/>
      <w:numFmt w:val="upperLetter"/>
      <w:suff w:val="nothing"/>
      <w:lvlText w:val="（%8）"/>
      <w:lvlJc w:val="left"/>
      <w:rPr>
        <w:rFonts w:hint="default"/>
      </w:rPr>
    </w:lvl>
    <w:lvl w:ilvl="8" w:tentative="0">
      <w:start w:val="1"/>
      <w:numFmt w:val="lowerLetter"/>
      <w:suff w:val="nothing"/>
      <w:lvlText w:val="（%9）"/>
      <w:lvlJc w:val="left"/>
      <w:rPr>
        <w:rFonts w:hint="default"/>
      </w:rPr>
    </w:lvl>
  </w:abstractNum>
  <w:abstractNum w:abstractNumId="4">
    <w:nsid w:val="EEFF06A7"/>
    <w:multiLevelType w:val="singleLevel"/>
    <w:tmpl w:val="EEFF06A7"/>
    <w:lvl w:ilvl="0" w:tentative="0">
      <w:start w:val="1"/>
      <w:numFmt w:val="lowerLetter"/>
      <w:lvlText w:val="%1)"/>
      <w:lvlJc w:val="left"/>
      <w:pPr>
        <w:tabs>
          <w:tab w:val="left" w:pos="312"/>
        </w:tabs>
      </w:pPr>
    </w:lvl>
  </w:abstractNum>
  <w:abstractNum w:abstractNumId="5">
    <w:nsid w:val="FCFFA0F0"/>
    <w:multiLevelType w:val="singleLevel"/>
    <w:tmpl w:val="FCFFA0F0"/>
    <w:lvl w:ilvl="0" w:tentative="0">
      <w:start w:val="1"/>
      <w:numFmt w:val="decimal"/>
      <w:lvlText w:val="%1."/>
      <w:lvlJc w:val="left"/>
      <w:pPr>
        <w:tabs>
          <w:tab w:val="left" w:pos="312"/>
        </w:tabs>
      </w:pPr>
    </w:lvl>
  </w:abstractNum>
  <w:abstractNum w:abstractNumId="6">
    <w:nsid w:val="0000000A"/>
    <w:multiLevelType w:val="multilevel"/>
    <w:tmpl w:val="0000000A"/>
    <w:lvl w:ilvl="0" w:tentative="0">
      <w:start w:val="1"/>
      <w:numFmt w:val="decimal"/>
      <w:pStyle w:val="15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D"/>
    <w:multiLevelType w:val="multilevel"/>
    <w:tmpl w:val="0000000D"/>
    <w:lvl w:ilvl="0" w:tentative="0">
      <w:start w:val="1"/>
      <w:numFmt w:val="lowerLetter"/>
      <w:pStyle w:val="25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8">
    <w:nsid w:val="00000013"/>
    <w:multiLevelType w:val="singleLevel"/>
    <w:tmpl w:val="00000013"/>
    <w:lvl w:ilvl="0" w:tentative="0">
      <w:start w:val="1"/>
      <w:numFmt w:val="decimal"/>
      <w:pStyle w:val="224"/>
      <w:lvlText w:val="%1."/>
      <w:lvlJc w:val="left"/>
      <w:pPr>
        <w:tabs>
          <w:tab w:val="left" w:pos="360"/>
        </w:tabs>
        <w:ind w:left="360" w:hanging="360"/>
      </w:pPr>
      <w:rPr>
        <w:rFonts w:hint="default"/>
      </w:rPr>
    </w:lvl>
  </w:abstractNum>
  <w:abstractNum w:abstractNumId="9">
    <w:nsid w:val="00000026"/>
    <w:multiLevelType w:val="multilevel"/>
    <w:tmpl w:val="00000026"/>
    <w:lvl w:ilvl="0" w:tentative="0">
      <w:start w:val="1"/>
      <w:numFmt w:val="decimal"/>
      <w:pStyle w:val="15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5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5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1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0">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4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1">
    <w:nsid w:val="0000002F"/>
    <w:multiLevelType w:val="multilevel"/>
    <w:tmpl w:val="0000002F"/>
    <w:lvl w:ilvl="0" w:tentative="0">
      <w:start w:val="1"/>
      <w:numFmt w:val="decimal"/>
      <w:pStyle w:val="15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36CA569"/>
    <w:multiLevelType w:val="multilevel"/>
    <w:tmpl w:val="036CA569"/>
    <w:lvl w:ilvl="0" w:tentative="0">
      <w:start w:val="1"/>
      <w:numFmt w:val="chineseCounting"/>
      <w:suff w:val="nothing"/>
      <w:lvlText w:val="%1、"/>
      <w:lvlJc w:val="left"/>
      <w:rPr>
        <w:rFonts w:hint="eastAsia"/>
      </w:rPr>
    </w:lvl>
    <w:lvl w:ilvl="1" w:tentative="0">
      <w:start w:val="1"/>
      <w:numFmt w:val="chineseCounting"/>
      <w:suff w:val="nothing"/>
      <w:lvlText w:val="（%2）"/>
      <w:lvlJc w:val="left"/>
      <w:rPr>
        <w:rFonts w:hint="default"/>
      </w:rPr>
    </w:lvl>
    <w:lvl w:ilvl="2" w:tentative="0">
      <w:start w:val="1"/>
      <w:numFmt w:val="decimal"/>
      <w:suff w:val="nothing"/>
      <w:lvlText w:val="%3．"/>
      <w:lvlJc w:val="left"/>
      <w:rPr>
        <w:rFonts w:hint="default"/>
      </w:rPr>
    </w:lvl>
    <w:lvl w:ilvl="3" w:tentative="0">
      <w:start w:val="1"/>
      <w:numFmt w:val="decimal"/>
      <w:suff w:val="nothing"/>
      <w:lvlText w:val="（%4）"/>
      <w:lvlJc w:val="left"/>
      <w:rPr>
        <w:rFonts w:hint="default"/>
      </w:rPr>
    </w:lvl>
    <w:lvl w:ilvl="4" w:tentative="0">
      <w:start w:val="1"/>
      <w:numFmt w:val="decimalEnclosedCircleChinese"/>
      <w:suff w:val="nothing"/>
      <w:lvlText w:val="%5"/>
      <w:lvlJc w:val="left"/>
      <w:rPr>
        <w:rFonts w:hint="default"/>
      </w:rPr>
    </w:lvl>
    <w:lvl w:ilvl="5" w:tentative="0">
      <w:start w:val="1"/>
      <w:numFmt w:val="upperLetter"/>
      <w:suff w:val="nothing"/>
      <w:lvlText w:val="%6."/>
      <w:lvlJc w:val="left"/>
      <w:rPr>
        <w:rFonts w:hint="default"/>
      </w:rPr>
    </w:lvl>
    <w:lvl w:ilvl="6" w:tentative="0">
      <w:start w:val="1"/>
      <w:numFmt w:val="lowerLetter"/>
      <w:suff w:val="nothing"/>
      <w:lvlText w:val="%7．"/>
      <w:lvlJc w:val="left"/>
      <w:rPr>
        <w:rFonts w:hint="default"/>
      </w:rPr>
    </w:lvl>
    <w:lvl w:ilvl="7" w:tentative="0">
      <w:start w:val="1"/>
      <w:numFmt w:val="upperLetter"/>
      <w:suff w:val="nothing"/>
      <w:lvlText w:val="（%8）"/>
      <w:lvlJc w:val="left"/>
      <w:rPr>
        <w:rFonts w:hint="default"/>
      </w:rPr>
    </w:lvl>
    <w:lvl w:ilvl="8" w:tentative="0">
      <w:start w:val="1"/>
      <w:numFmt w:val="lowerLetter"/>
      <w:suff w:val="nothing"/>
      <w:lvlText w:val="（%9）"/>
      <w:lvlJc w:val="left"/>
      <w:rPr>
        <w:rFonts w:hint="default"/>
      </w:rPr>
    </w:lvl>
  </w:abstractNum>
  <w:abstractNum w:abstractNumId="13">
    <w:nsid w:val="0C49531E"/>
    <w:multiLevelType w:val="multilevel"/>
    <w:tmpl w:val="0C49531E"/>
    <w:lvl w:ilvl="0" w:tentative="0">
      <w:start w:val="1"/>
      <w:numFmt w:val="decimal"/>
      <w:pStyle w:val="504"/>
      <w:suff w:val="nothing"/>
      <w:lvlText w:val="%1"/>
      <w:lvlJc w:val="left"/>
      <w:pPr>
        <w:tabs>
          <w:tab w:val="left" w:pos="0"/>
        </w:tabs>
        <w:ind w:left="0" w:firstLine="0"/>
      </w:pPr>
      <w:rPr>
        <w:rFonts w:hint="default" w:ascii="宋体" w:hAnsi="宋体" w:eastAsia="宋体" w:cs="宋体"/>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4">
    <w:nsid w:val="0E230849"/>
    <w:multiLevelType w:val="multilevel"/>
    <w:tmpl w:val="0E230849"/>
    <w:lvl w:ilvl="0" w:tentative="0">
      <w:start w:val="1"/>
      <w:numFmt w:val="decimal"/>
      <w:pStyle w:val="267"/>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5">
    <w:nsid w:val="10A13D8E"/>
    <w:multiLevelType w:val="singleLevel"/>
    <w:tmpl w:val="10A13D8E"/>
    <w:lvl w:ilvl="0" w:tentative="0">
      <w:start w:val="1"/>
      <w:numFmt w:val="decimal"/>
      <w:lvlText w:val="%1)"/>
      <w:lvlJc w:val="left"/>
      <w:pPr>
        <w:ind w:left="425" w:hanging="425"/>
      </w:pPr>
      <w:rPr>
        <w:rFonts w:hint="default"/>
      </w:rPr>
    </w:lvl>
  </w:abstractNum>
  <w:abstractNum w:abstractNumId="16">
    <w:nsid w:val="649F717B"/>
    <w:multiLevelType w:val="multilevel"/>
    <w:tmpl w:val="649F717B"/>
    <w:lvl w:ilvl="0" w:tentative="0">
      <w:start w:val="1"/>
      <w:numFmt w:val="decimal"/>
      <w:suff w:val="nothing"/>
      <w:lvlText w:val="%1"/>
      <w:lvlJc w:val="left"/>
      <w:pPr>
        <w:tabs>
          <w:tab w:val="left" w:pos="0"/>
        </w:tabs>
        <w:ind w:left="0" w:firstLine="0"/>
      </w:pPr>
      <w:rPr>
        <w:rFonts w:hint="default" w:ascii="宋体" w:hAnsi="宋体" w:eastAsia="宋体" w:cs="宋体"/>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9"/>
  </w:num>
  <w:num w:numId="2">
    <w:abstractNumId w:val="11"/>
  </w:num>
  <w:num w:numId="3">
    <w:abstractNumId w:val="6"/>
  </w:num>
  <w:num w:numId="4">
    <w:abstractNumId w:val="14"/>
  </w:num>
  <w:num w:numId="5">
    <w:abstractNumId w:val="8"/>
  </w:num>
  <w:num w:numId="6">
    <w:abstractNumId w:val="10"/>
  </w:num>
  <w:num w:numId="7">
    <w:abstractNumId w:val="7"/>
  </w:num>
  <w:num w:numId="8">
    <w:abstractNumId w:val="13"/>
  </w:num>
  <w:num w:numId="9">
    <w:abstractNumId w:val="1"/>
  </w:num>
  <w:num w:numId="10">
    <w:abstractNumId w:val="15"/>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4"/>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5"/>
  </w:num>
  <w:num w:numId="17">
    <w:abstractNumId w:val="3"/>
  </w:num>
  <w:num w:numId="18">
    <w:abstractNumId w:val="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7B"/>
    <w:rsid w:val="000242CC"/>
    <w:rsid w:val="00060A75"/>
    <w:rsid w:val="00076538"/>
    <w:rsid w:val="000932E8"/>
    <w:rsid w:val="000E2776"/>
    <w:rsid w:val="000F1FFF"/>
    <w:rsid w:val="00121300"/>
    <w:rsid w:val="00124E53"/>
    <w:rsid w:val="001D6FE2"/>
    <w:rsid w:val="001F117D"/>
    <w:rsid w:val="002E329E"/>
    <w:rsid w:val="003009B4"/>
    <w:rsid w:val="003212FB"/>
    <w:rsid w:val="00324BD9"/>
    <w:rsid w:val="00334048"/>
    <w:rsid w:val="00351252"/>
    <w:rsid w:val="003A3CB0"/>
    <w:rsid w:val="003B7BFC"/>
    <w:rsid w:val="00512599"/>
    <w:rsid w:val="00575B2C"/>
    <w:rsid w:val="005B4E82"/>
    <w:rsid w:val="005E743E"/>
    <w:rsid w:val="00603467"/>
    <w:rsid w:val="00683975"/>
    <w:rsid w:val="006A7765"/>
    <w:rsid w:val="006B5F5E"/>
    <w:rsid w:val="006D4ACE"/>
    <w:rsid w:val="006E1B60"/>
    <w:rsid w:val="00755D7B"/>
    <w:rsid w:val="00762FB0"/>
    <w:rsid w:val="00787B64"/>
    <w:rsid w:val="00795E42"/>
    <w:rsid w:val="007971D2"/>
    <w:rsid w:val="007977A7"/>
    <w:rsid w:val="00834FD7"/>
    <w:rsid w:val="00846841"/>
    <w:rsid w:val="00864014"/>
    <w:rsid w:val="00865AD3"/>
    <w:rsid w:val="008B0C6C"/>
    <w:rsid w:val="008B1476"/>
    <w:rsid w:val="008F1811"/>
    <w:rsid w:val="008F568F"/>
    <w:rsid w:val="00907CCF"/>
    <w:rsid w:val="00961719"/>
    <w:rsid w:val="0099669F"/>
    <w:rsid w:val="009B3175"/>
    <w:rsid w:val="009C5AEE"/>
    <w:rsid w:val="009E5A27"/>
    <w:rsid w:val="009E61BB"/>
    <w:rsid w:val="00A078E7"/>
    <w:rsid w:val="00A14CCB"/>
    <w:rsid w:val="00A26FC5"/>
    <w:rsid w:val="00A36130"/>
    <w:rsid w:val="00AC3B52"/>
    <w:rsid w:val="00AF5803"/>
    <w:rsid w:val="00B35AAA"/>
    <w:rsid w:val="00B76128"/>
    <w:rsid w:val="00B85D11"/>
    <w:rsid w:val="00B91176"/>
    <w:rsid w:val="00C1655F"/>
    <w:rsid w:val="00C54DC2"/>
    <w:rsid w:val="00C71F6F"/>
    <w:rsid w:val="00CC39D9"/>
    <w:rsid w:val="00CD29C5"/>
    <w:rsid w:val="00CD7D81"/>
    <w:rsid w:val="00D76B4C"/>
    <w:rsid w:val="00D870BC"/>
    <w:rsid w:val="00DA0267"/>
    <w:rsid w:val="00DD67EB"/>
    <w:rsid w:val="00E178D8"/>
    <w:rsid w:val="00EC701B"/>
    <w:rsid w:val="00F0039D"/>
    <w:rsid w:val="00F17F9B"/>
    <w:rsid w:val="00F2627B"/>
    <w:rsid w:val="00F41BBB"/>
    <w:rsid w:val="00F87650"/>
    <w:rsid w:val="00F9787B"/>
    <w:rsid w:val="00FA558B"/>
    <w:rsid w:val="012E0C79"/>
    <w:rsid w:val="0342650F"/>
    <w:rsid w:val="03567BA9"/>
    <w:rsid w:val="0FE61D4E"/>
    <w:rsid w:val="151C29F3"/>
    <w:rsid w:val="1CEE5DFA"/>
    <w:rsid w:val="29D20428"/>
    <w:rsid w:val="37AC2D77"/>
    <w:rsid w:val="39184CEB"/>
    <w:rsid w:val="44EC1D67"/>
    <w:rsid w:val="45964E2C"/>
    <w:rsid w:val="499646CD"/>
    <w:rsid w:val="4C7B1D33"/>
    <w:rsid w:val="52510A99"/>
    <w:rsid w:val="555F5B42"/>
    <w:rsid w:val="5DC35C7F"/>
    <w:rsid w:val="62C958C2"/>
    <w:rsid w:val="779F12EB"/>
    <w:rsid w:val="79236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1"/>
    <w:link w:val="10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10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78"/>
    <w:qFormat/>
    <w:uiPriority w:val="0"/>
    <w:pPr>
      <w:keepNext/>
      <w:keepLines/>
      <w:adjustRightInd w:val="0"/>
      <w:spacing w:before="280" w:after="290" w:line="376" w:lineRule="atLeast"/>
      <w:textAlignment w:val="baseline"/>
      <w:outlineLvl w:val="3"/>
    </w:pPr>
    <w:rPr>
      <w:kern w:val="0"/>
      <w:sz w:val="24"/>
      <w:szCs w:val="20"/>
    </w:rPr>
  </w:style>
  <w:style w:type="paragraph" w:styleId="6">
    <w:name w:val="heading 5"/>
    <w:basedOn w:val="1"/>
    <w:next w:val="1"/>
    <w:link w:val="79"/>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8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81"/>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8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8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6">
    <w:name w:val="Default Paragraph Font"/>
    <w:semiHidden/>
    <w:unhideWhenUsed/>
    <w:uiPriority w:val="1"/>
  </w:style>
  <w:style w:type="table" w:default="1" w:styleId="53">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index 8"/>
    <w:basedOn w:val="1"/>
    <w:next w:val="1"/>
    <w:qFormat/>
    <w:uiPriority w:val="0"/>
    <w:pPr>
      <w:ind w:left="1400" w:leftChars="1400"/>
    </w:pPr>
  </w:style>
  <w:style w:type="paragraph" w:styleId="13">
    <w:name w:val="Normal Indent"/>
    <w:basedOn w:val="1"/>
    <w:next w:val="1"/>
    <w:link w:val="119"/>
    <w:qFormat/>
    <w:uiPriority w:val="0"/>
    <w:pPr>
      <w:autoSpaceDE w:val="0"/>
      <w:autoSpaceDN w:val="0"/>
      <w:adjustRightInd w:val="0"/>
      <w:ind w:firstLine="420"/>
      <w:jc w:val="left"/>
    </w:pPr>
    <w:rPr>
      <w:rFonts w:ascii="宋体"/>
      <w:sz w:val="24"/>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84"/>
    <w:qFormat/>
    <w:uiPriority w:val="0"/>
    <w:pPr>
      <w:shd w:val="clear" w:color="auto" w:fill="000080"/>
    </w:pPr>
  </w:style>
  <w:style w:type="paragraph" w:styleId="16">
    <w:name w:val="annotation text"/>
    <w:basedOn w:val="1"/>
    <w:link w:val="116"/>
    <w:qFormat/>
    <w:uiPriority w:val="99"/>
    <w:pPr>
      <w:jc w:val="left"/>
    </w:pPr>
  </w:style>
  <w:style w:type="paragraph" w:styleId="17">
    <w:name w:val="index 6"/>
    <w:basedOn w:val="1"/>
    <w:next w:val="1"/>
    <w:unhideWhenUsed/>
    <w:qFormat/>
    <w:uiPriority w:val="0"/>
    <w:pPr>
      <w:ind w:left="1000" w:leftChars="1000"/>
    </w:pPr>
    <w:rPr>
      <w:szCs w:val="20"/>
    </w:rPr>
  </w:style>
  <w:style w:type="paragraph" w:styleId="18">
    <w:name w:val="Salutation"/>
    <w:basedOn w:val="1"/>
    <w:next w:val="1"/>
    <w:link w:val="291"/>
    <w:qFormat/>
    <w:uiPriority w:val="0"/>
  </w:style>
  <w:style w:type="paragraph" w:styleId="19">
    <w:name w:val="Body Text 3"/>
    <w:basedOn w:val="1"/>
    <w:link w:val="86"/>
    <w:qFormat/>
    <w:uiPriority w:val="0"/>
    <w:pPr>
      <w:spacing w:after="120"/>
    </w:pPr>
    <w:rPr>
      <w:sz w:val="16"/>
      <w:szCs w:val="16"/>
    </w:rPr>
  </w:style>
  <w:style w:type="paragraph" w:styleId="20">
    <w:name w:val="List Bullet 3"/>
    <w:basedOn w:val="1"/>
    <w:unhideWhenUsed/>
    <w:qFormat/>
    <w:uiPriority w:val="0"/>
    <w:pPr>
      <w:widowControl/>
      <w:tabs>
        <w:tab w:val="left" w:pos="435"/>
      </w:tabs>
      <w:spacing w:after="120" w:line="360" w:lineRule="auto"/>
      <w:ind w:left="435" w:hanging="454"/>
      <w:jc w:val="left"/>
    </w:pPr>
    <w:rPr>
      <w:rFonts w:cs="Arial"/>
      <w:kern w:val="0"/>
      <w:sz w:val="20"/>
      <w:szCs w:val="20"/>
    </w:rPr>
  </w:style>
  <w:style w:type="paragraph" w:styleId="21">
    <w:name w:val="Body Text"/>
    <w:basedOn w:val="1"/>
    <w:next w:val="22"/>
    <w:link w:val="142"/>
    <w:qFormat/>
    <w:uiPriority w:val="0"/>
    <w:pPr>
      <w:tabs>
        <w:tab w:val="left" w:pos="567"/>
      </w:tabs>
      <w:spacing w:before="120" w:line="22" w:lineRule="atLeast"/>
    </w:pPr>
    <w:rPr>
      <w:rFonts w:ascii="宋体" w:hAnsi="宋体"/>
      <w:sz w:val="24"/>
    </w:rPr>
  </w:style>
  <w:style w:type="paragraph" w:customStyle="1" w:styleId="22">
    <w:name w:val="目录 11"/>
    <w:next w:val="1"/>
    <w:qFormat/>
    <w:uiPriority w:val="0"/>
    <w:pPr>
      <w:wordWrap w:val="0"/>
      <w:jc w:val="both"/>
    </w:pPr>
    <w:rPr>
      <w:rFonts w:ascii="Calibri" w:hAnsi="Calibri" w:eastAsia="宋体" w:cs="Calibri"/>
      <w:sz w:val="21"/>
      <w:szCs w:val="22"/>
      <w:lang w:val="en-US" w:eastAsia="zh-CN" w:bidi="ar-SA"/>
    </w:rPr>
  </w:style>
  <w:style w:type="paragraph" w:styleId="23">
    <w:name w:val="Body Text Indent"/>
    <w:basedOn w:val="1"/>
    <w:next w:val="1"/>
    <w:link w:val="144"/>
    <w:qFormat/>
    <w:uiPriority w:val="0"/>
    <w:pPr>
      <w:spacing w:line="360" w:lineRule="auto"/>
      <w:ind w:firstLine="570"/>
    </w:pPr>
    <w:rPr>
      <w:sz w:val="24"/>
    </w:rPr>
  </w:style>
  <w:style w:type="paragraph" w:styleId="24">
    <w:name w:val="List 2"/>
    <w:basedOn w:val="1"/>
    <w:qFormat/>
    <w:uiPriority w:val="0"/>
    <w:pPr>
      <w:ind w:left="100" w:leftChars="200" w:hanging="200" w:hangingChars="200"/>
    </w:pPr>
  </w:style>
  <w:style w:type="paragraph" w:styleId="25">
    <w:name w:val="Block Text"/>
    <w:basedOn w:val="1"/>
    <w:qFormat/>
    <w:uiPriority w:val="0"/>
    <w:pPr>
      <w:widowControl/>
      <w:ind w:left="480" w:right="-341" w:firstLine="513"/>
    </w:pPr>
    <w:rPr>
      <w:kern w:val="0"/>
      <w:sz w:val="24"/>
      <w:szCs w:val="20"/>
    </w:rPr>
  </w:style>
  <w:style w:type="paragraph" w:styleId="26">
    <w:name w:val="toc 5"/>
    <w:basedOn w:val="1"/>
    <w:next w:val="1"/>
    <w:qFormat/>
    <w:uiPriority w:val="0"/>
    <w:pPr>
      <w:ind w:left="1680" w:leftChars="800"/>
    </w:pPr>
  </w:style>
  <w:style w:type="paragraph" w:styleId="27">
    <w:name w:val="toc 3"/>
    <w:basedOn w:val="1"/>
    <w:next w:val="1"/>
    <w:qFormat/>
    <w:uiPriority w:val="39"/>
    <w:pPr>
      <w:ind w:left="840" w:leftChars="400"/>
    </w:pPr>
  </w:style>
  <w:style w:type="paragraph" w:styleId="28">
    <w:name w:val="Plain Text"/>
    <w:basedOn w:val="1"/>
    <w:link w:val="111"/>
    <w:qFormat/>
    <w:uiPriority w:val="0"/>
    <w:rPr>
      <w:rFonts w:ascii="宋体" w:hAnsi="Courier New"/>
      <w:szCs w:val="20"/>
    </w:rPr>
  </w:style>
  <w:style w:type="paragraph" w:styleId="29">
    <w:name w:val="toc 8"/>
    <w:basedOn w:val="1"/>
    <w:next w:val="1"/>
    <w:qFormat/>
    <w:uiPriority w:val="0"/>
    <w:pPr>
      <w:ind w:left="2940" w:leftChars="1400"/>
    </w:pPr>
  </w:style>
  <w:style w:type="paragraph" w:styleId="30">
    <w:name w:val="Date"/>
    <w:basedOn w:val="1"/>
    <w:next w:val="1"/>
    <w:link w:val="88"/>
    <w:qFormat/>
    <w:uiPriority w:val="0"/>
    <w:pPr>
      <w:ind w:left="100" w:leftChars="2500"/>
    </w:pPr>
    <w:rPr>
      <w:rFonts w:ascii="仿宋_GB2312" w:hAnsi="宋体" w:eastAsia="仿宋_GB2312"/>
      <w:color w:val="000000"/>
      <w:sz w:val="24"/>
    </w:rPr>
  </w:style>
  <w:style w:type="paragraph" w:styleId="31">
    <w:name w:val="Body Text Indent 2"/>
    <w:basedOn w:val="1"/>
    <w:link w:val="89"/>
    <w:qFormat/>
    <w:uiPriority w:val="0"/>
    <w:pPr>
      <w:ind w:firstLine="480" w:firstLineChars="200"/>
    </w:pPr>
    <w:rPr>
      <w:rFonts w:ascii="仿宋_GB2312" w:eastAsia="仿宋_GB2312"/>
      <w:sz w:val="24"/>
    </w:rPr>
  </w:style>
  <w:style w:type="paragraph" w:styleId="32">
    <w:name w:val="Balloon Text"/>
    <w:basedOn w:val="1"/>
    <w:link w:val="90"/>
    <w:qFormat/>
    <w:uiPriority w:val="0"/>
    <w:rPr>
      <w:sz w:val="18"/>
      <w:szCs w:val="18"/>
    </w:rPr>
  </w:style>
  <w:style w:type="paragraph" w:styleId="33">
    <w:name w:val="footer"/>
    <w:basedOn w:val="1"/>
    <w:link w:val="9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4">
    <w:name w:val="envelope return"/>
    <w:basedOn w:val="1"/>
    <w:unhideWhenUsed/>
    <w:qFormat/>
    <w:uiPriority w:val="99"/>
    <w:rPr>
      <w:rFonts w:ascii="Arial" w:hAnsi="Arial" w:cs="Arial"/>
      <w:kern w:val="1"/>
    </w:rPr>
  </w:style>
  <w:style w:type="paragraph" w:styleId="35">
    <w:name w:val="header"/>
    <w:basedOn w:val="1"/>
    <w:link w:val="92"/>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link w:val="342"/>
    <w:qFormat/>
    <w:uiPriority w:val="39"/>
    <w:pPr>
      <w:tabs>
        <w:tab w:val="left" w:pos="1050"/>
        <w:tab w:val="right" w:leader="dot" w:pos="8937"/>
      </w:tabs>
      <w:spacing w:line="300" w:lineRule="auto"/>
    </w:pPr>
    <w:rPr>
      <w:rFonts w:ascii="宋体" w:hAnsi="宋体"/>
      <w:b/>
      <w:sz w:val="24"/>
    </w:rPr>
  </w:style>
  <w:style w:type="paragraph" w:styleId="37">
    <w:name w:val="toc 4"/>
    <w:basedOn w:val="1"/>
    <w:next w:val="1"/>
    <w:qFormat/>
    <w:uiPriority w:val="0"/>
    <w:pPr>
      <w:ind w:left="1260" w:leftChars="600"/>
    </w:pPr>
  </w:style>
  <w:style w:type="paragraph" w:styleId="38">
    <w:name w:val="Subtitle"/>
    <w:basedOn w:val="1"/>
    <w:next w:val="1"/>
    <w:link w:val="302"/>
    <w:qFormat/>
    <w:uiPriority w:val="0"/>
    <w:pPr>
      <w:spacing w:before="240" w:after="60" w:line="312" w:lineRule="auto"/>
      <w:jc w:val="center"/>
      <w:outlineLvl w:val="1"/>
    </w:pPr>
    <w:rPr>
      <w:rFonts w:ascii="Calibri Light" w:hAnsi="Calibri Light" w:cs="黑体"/>
      <w:b/>
      <w:bCs/>
      <w:kern w:val="28"/>
      <w:sz w:val="32"/>
      <w:szCs w:val="32"/>
    </w:rPr>
  </w:style>
  <w:style w:type="paragraph" w:styleId="39">
    <w:name w:val="List"/>
    <w:basedOn w:val="1"/>
    <w:unhideWhenUsed/>
    <w:qFormat/>
    <w:uiPriority w:val="0"/>
    <w:pPr>
      <w:adjustRightInd w:val="0"/>
      <w:spacing w:line="360" w:lineRule="atLeast"/>
      <w:ind w:left="420" w:hanging="420"/>
      <w:jc w:val="left"/>
    </w:pPr>
    <w:rPr>
      <w:rFonts w:ascii="宋体"/>
      <w:kern w:val="0"/>
      <w:sz w:val="24"/>
      <w:szCs w:val="20"/>
    </w:rPr>
  </w:style>
  <w:style w:type="paragraph" w:styleId="40">
    <w:name w:val="footnote text"/>
    <w:basedOn w:val="1"/>
    <w:unhideWhenUsed/>
    <w:qFormat/>
    <w:uiPriority w:val="99"/>
    <w:pPr>
      <w:snapToGrid w:val="0"/>
      <w:jc w:val="left"/>
    </w:pPr>
    <w:rPr>
      <w:sz w:val="18"/>
    </w:rPr>
  </w:style>
  <w:style w:type="paragraph" w:styleId="41">
    <w:name w:val="toc 6"/>
    <w:basedOn w:val="1"/>
    <w:next w:val="1"/>
    <w:qFormat/>
    <w:uiPriority w:val="0"/>
    <w:pPr>
      <w:ind w:left="2100" w:leftChars="1000"/>
    </w:pPr>
  </w:style>
  <w:style w:type="paragraph" w:styleId="42">
    <w:name w:val="Body Text Indent 3"/>
    <w:basedOn w:val="1"/>
    <w:link w:val="9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3">
    <w:name w:val="toc 2"/>
    <w:basedOn w:val="1"/>
    <w:next w:val="1"/>
    <w:qFormat/>
    <w:uiPriority w:val="39"/>
    <w:pPr>
      <w:tabs>
        <w:tab w:val="right" w:leader="dot" w:pos="8937"/>
      </w:tabs>
      <w:spacing w:line="312" w:lineRule="auto"/>
      <w:ind w:left="420" w:leftChars="200"/>
    </w:pPr>
  </w:style>
  <w:style w:type="paragraph" w:styleId="44">
    <w:name w:val="toc 9"/>
    <w:basedOn w:val="1"/>
    <w:next w:val="1"/>
    <w:qFormat/>
    <w:uiPriority w:val="0"/>
    <w:pPr>
      <w:ind w:left="3360" w:leftChars="1600"/>
    </w:pPr>
  </w:style>
  <w:style w:type="paragraph" w:styleId="45">
    <w:name w:val="Body Text 2"/>
    <w:basedOn w:val="1"/>
    <w:link w:val="328"/>
    <w:unhideWhenUsed/>
    <w:qFormat/>
    <w:uiPriority w:val="0"/>
    <w:pPr>
      <w:spacing w:line="300" w:lineRule="auto"/>
    </w:pPr>
    <w:rPr>
      <w:rFonts w:ascii="幼圆" w:hAnsi="Calibri" w:eastAsia="幼圆"/>
      <w:sz w:val="24"/>
    </w:rPr>
  </w:style>
  <w:style w:type="paragraph" w:styleId="46">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8">
    <w:name w:val="index 1"/>
    <w:basedOn w:val="1"/>
    <w:next w:val="1"/>
    <w:qFormat/>
    <w:uiPriority w:val="0"/>
    <w:rPr>
      <w:szCs w:val="20"/>
    </w:rPr>
  </w:style>
  <w:style w:type="paragraph" w:styleId="49">
    <w:name w:val="Title"/>
    <w:basedOn w:val="1"/>
    <w:link w:val="95"/>
    <w:qFormat/>
    <w:uiPriority w:val="0"/>
    <w:pPr>
      <w:jc w:val="center"/>
      <w:outlineLvl w:val="0"/>
    </w:pPr>
    <w:rPr>
      <w:b/>
      <w:sz w:val="32"/>
      <w:szCs w:val="20"/>
    </w:rPr>
  </w:style>
  <w:style w:type="paragraph" w:styleId="50">
    <w:name w:val="annotation subject"/>
    <w:basedOn w:val="16"/>
    <w:next w:val="16"/>
    <w:link w:val="96"/>
    <w:qFormat/>
    <w:uiPriority w:val="0"/>
    <w:rPr>
      <w:b/>
      <w:bCs/>
    </w:rPr>
  </w:style>
  <w:style w:type="paragraph" w:styleId="51">
    <w:name w:val="Body Text First Indent"/>
    <w:basedOn w:val="21"/>
    <w:link w:val="280"/>
    <w:qFormat/>
    <w:uiPriority w:val="99"/>
    <w:pPr>
      <w:tabs>
        <w:tab w:val="clear" w:pos="567"/>
      </w:tabs>
      <w:spacing w:before="0" w:after="120" w:line="240" w:lineRule="auto"/>
      <w:ind w:firstLine="420" w:firstLineChars="100"/>
    </w:pPr>
    <w:rPr>
      <w:rFonts w:ascii="Times New Roman" w:hAnsi="Times New Roman"/>
      <w:sz w:val="21"/>
    </w:rPr>
  </w:style>
  <w:style w:type="paragraph" w:styleId="52">
    <w:name w:val="Body Text First Indent 2"/>
    <w:basedOn w:val="23"/>
    <w:link w:val="131"/>
    <w:qFormat/>
    <w:uiPriority w:val="0"/>
    <w:pPr>
      <w:spacing w:after="120" w:line="480" w:lineRule="exact"/>
      <w:ind w:left="420" w:leftChars="200" w:firstLine="420" w:firstLineChars="200"/>
    </w:pPr>
    <w:rPr>
      <w:szCs w:val="20"/>
    </w:rPr>
  </w:style>
  <w:style w:type="table" w:styleId="54">
    <w:name w:val="Table Grid"/>
    <w:basedOn w:val="5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55">
    <w:name w:val="Medium Grid 1 Accent 2"/>
    <w:basedOn w:val="5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7">
    <w:name w:val="Strong"/>
    <w:qFormat/>
    <w:uiPriority w:val="0"/>
    <w:rPr>
      <w:b/>
      <w:bCs/>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color w:val="CC0033"/>
    </w:rPr>
  </w:style>
  <w:style w:type="character" w:styleId="61">
    <w:name w:val="Hyperlink"/>
    <w:qFormat/>
    <w:uiPriority w:val="99"/>
    <w:rPr>
      <w:color w:val="0000FF"/>
      <w:u w:val="single"/>
    </w:rPr>
  </w:style>
  <w:style w:type="character" w:styleId="62">
    <w:name w:val="annotation reference"/>
    <w:qFormat/>
    <w:uiPriority w:val="0"/>
    <w:rPr>
      <w:sz w:val="21"/>
      <w:szCs w:val="21"/>
    </w:rPr>
  </w:style>
  <w:style w:type="character" w:styleId="63">
    <w:name w:val="HTML Cite"/>
    <w:qFormat/>
    <w:uiPriority w:val="0"/>
    <w:rPr>
      <w:i/>
      <w:iCs/>
    </w:rPr>
  </w:style>
  <w:style w:type="character" w:styleId="64">
    <w:name w:val="footnote reference"/>
    <w:basedOn w:val="56"/>
    <w:unhideWhenUsed/>
    <w:qFormat/>
    <w:uiPriority w:val="99"/>
    <w:rPr>
      <w:vertAlign w:val="superscript"/>
    </w:rPr>
  </w:style>
  <w:style w:type="paragraph" w:customStyle="1" w:styleId="65">
    <w:name w:val="_Style 6"/>
    <w:basedOn w:val="1"/>
    <w:qFormat/>
    <w:uiPriority w:val="0"/>
    <w:pPr>
      <w:ind w:firstLine="420" w:firstLineChars="200"/>
    </w:pPr>
    <w:rPr>
      <w:rFonts w:ascii="Calibri" w:hAnsi="Calibri"/>
      <w:szCs w:val="22"/>
    </w:rPr>
  </w:style>
  <w:style w:type="paragraph" w:styleId="66">
    <w:name w:val="List Paragraph"/>
    <w:basedOn w:val="1"/>
    <w:link w:val="124"/>
    <w:qFormat/>
    <w:uiPriority w:val="34"/>
    <w:pPr>
      <w:ind w:firstLine="420" w:firstLineChars="200"/>
    </w:pPr>
    <w:rPr>
      <w:rFonts w:ascii="Calibri" w:hAnsi="Calibri"/>
      <w:szCs w:val="22"/>
    </w:rPr>
  </w:style>
  <w:style w:type="paragraph" w:customStyle="1" w:styleId="6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68">
    <w:name w:val="font71"/>
    <w:basedOn w:val="56"/>
    <w:qFormat/>
    <w:uiPriority w:val="0"/>
    <w:rPr>
      <w:rFonts w:hint="default" w:ascii="Arial" w:hAnsi="Arial" w:cs="Arial"/>
      <w:b/>
      <w:color w:val="000000"/>
      <w:sz w:val="40"/>
      <w:szCs w:val="40"/>
      <w:u w:val="none"/>
    </w:rPr>
  </w:style>
  <w:style w:type="character" w:customStyle="1" w:styleId="69">
    <w:name w:val="font61"/>
    <w:basedOn w:val="56"/>
    <w:qFormat/>
    <w:uiPriority w:val="0"/>
    <w:rPr>
      <w:rFonts w:hint="eastAsia" w:ascii="宋体" w:hAnsi="宋体" w:eastAsia="宋体" w:cs="宋体"/>
      <w:b/>
      <w:color w:val="000000"/>
      <w:sz w:val="40"/>
      <w:szCs w:val="40"/>
      <w:u w:val="none"/>
    </w:rPr>
  </w:style>
  <w:style w:type="character" w:customStyle="1" w:styleId="70">
    <w:name w:val="font91"/>
    <w:basedOn w:val="56"/>
    <w:qFormat/>
    <w:uiPriority w:val="0"/>
    <w:rPr>
      <w:rFonts w:hint="eastAsia" w:ascii="宋体" w:hAnsi="宋体" w:eastAsia="宋体" w:cs="宋体"/>
      <w:color w:val="000000"/>
      <w:sz w:val="20"/>
      <w:szCs w:val="20"/>
      <w:u w:val="none"/>
      <w:vertAlign w:val="superscript"/>
    </w:rPr>
  </w:style>
  <w:style w:type="character" w:customStyle="1" w:styleId="71">
    <w:name w:val="font121"/>
    <w:basedOn w:val="56"/>
    <w:qFormat/>
    <w:uiPriority w:val="0"/>
    <w:rPr>
      <w:rFonts w:hint="eastAsia" w:ascii="宋体" w:hAnsi="宋体" w:eastAsia="宋体" w:cs="宋体"/>
      <w:color w:val="FF0000"/>
      <w:sz w:val="20"/>
      <w:szCs w:val="20"/>
      <w:u w:val="none"/>
    </w:rPr>
  </w:style>
  <w:style w:type="character" w:customStyle="1" w:styleId="72">
    <w:name w:val="font31"/>
    <w:basedOn w:val="56"/>
    <w:qFormat/>
    <w:uiPriority w:val="0"/>
    <w:rPr>
      <w:rFonts w:hint="eastAsia" w:ascii="宋体" w:hAnsi="宋体" w:eastAsia="宋体" w:cs="宋体"/>
      <w:b/>
      <w:color w:val="000000"/>
      <w:sz w:val="20"/>
      <w:szCs w:val="20"/>
      <w:u w:val="none"/>
    </w:rPr>
  </w:style>
  <w:style w:type="character" w:customStyle="1" w:styleId="73">
    <w:name w:val="font111"/>
    <w:basedOn w:val="56"/>
    <w:qFormat/>
    <w:uiPriority w:val="0"/>
    <w:rPr>
      <w:rFonts w:hint="eastAsia" w:ascii="宋体" w:hAnsi="宋体" w:eastAsia="宋体" w:cs="宋体"/>
      <w:color w:val="000000"/>
      <w:sz w:val="20"/>
      <w:szCs w:val="20"/>
      <w:u w:val="none"/>
      <w:vertAlign w:val="superscript"/>
    </w:rPr>
  </w:style>
  <w:style w:type="character" w:customStyle="1" w:styleId="74">
    <w:name w:val="font01"/>
    <w:basedOn w:val="56"/>
    <w:qFormat/>
    <w:uiPriority w:val="0"/>
    <w:rPr>
      <w:rFonts w:hint="eastAsia" w:ascii="宋体" w:hAnsi="宋体" w:eastAsia="宋体" w:cs="宋体"/>
      <w:color w:val="000000"/>
      <w:sz w:val="24"/>
      <w:szCs w:val="24"/>
      <w:u w:val="none"/>
    </w:rPr>
  </w:style>
  <w:style w:type="character" w:customStyle="1" w:styleId="75">
    <w:name w:val="font101"/>
    <w:basedOn w:val="56"/>
    <w:qFormat/>
    <w:uiPriority w:val="0"/>
    <w:rPr>
      <w:rFonts w:hint="eastAsia" w:ascii="宋体" w:hAnsi="宋体" w:eastAsia="宋体" w:cs="宋体"/>
      <w:color w:val="000000"/>
      <w:sz w:val="24"/>
      <w:szCs w:val="24"/>
      <w:u w:val="none"/>
      <w:vertAlign w:val="superscript"/>
    </w:rPr>
  </w:style>
  <w:style w:type="character" w:customStyle="1" w:styleId="76">
    <w:name w:val="font11"/>
    <w:qFormat/>
    <w:uiPriority w:val="0"/>
    <w:rPr>
      <w:rFonts w:hint="eastAsia" w:ascii="宋体" w:hAnsi="宋体" w:eastAsia="宋体" w:cs="宋体"/>
      <w:color w:val="000000"/>
      <w:sz w:val="21"/>
      <w:szCs w:val="21"/>
      <w:u w:val="none"/>
    </w:rPr>
  </w:style>
  <w:style w:type="character" w:customStyle="1" w:styleId="77">
    <w:name w:val="标题 1 字符"/>
    <w:basedOn w:val="56"/>
    <w:link w:val="3"/>
    <w:qFormat/>
    <w:uiPriority w:val="0"/>
    <w:rPr>
      <w:rFonts w:ascii="宋体" w:hAnsi="Times New Roman"/>
      <w:b/>
      <w:kern w:val="44"/>
      <w:sz w:val="32"/>
    </w:rPr>
  </w:style>
  <w:style w:type="character" w:customStyle="1" w:styleId="78">
    <w:name w:val="标题 4 字符"/>
    <w:basedOn w:val="56"/>
    <w:link w:val="5"/>
    <w:qFormat/>
    <w:uiPriority w:val="0"/>
    <w:rPr>
      <w:rFonts w:ascii="Times New Roman" w:hAnsi="Times New Roman"/>
      <w:sz w:val="24"/>
    </w:rPr>
  </w:style>
  <w:style w:type="character" w:customStyle="1" w:styleId="79">
    <w:name w:val="标题 5 字符"/>
    <w:basedOn w:val="56"/>
    <w:link w:val="6"/>
    <w:qFormat/>
    <w:uiPriority w:val="9"/>
    <w:rPr>
      <w:rFonts w:ascii="Times New Roman" w:hAnsi="Times New Roman"/>
      <w:b/>
      <w:sz w:val="28"/>
    </w:rPr>
  </w:style>
  <w:style w:type="character" w:customStyle="1" w:styleId="80">
    <w:name w:val="标题 6 字符"/>
    <w:basedOn w:val="56"/>
    <w:link w:val="7"/>
    <w:qFormat/>
    <w:uiPriority w:val="9"/>
    <w:rPr>
      <w:rFonts w:ascii="Arial" w:hAnsi="Arial" w:eastAsia="黑体"/>
      <w:b/>
      <w:sz w:val="24"/>
    </w:rPr>
  </w:style>
  <w:style w:type="character" w:customStyle="1" w:styleId="81">
    <w:name w:val="标题 7 字符"/>
    <w:basedOn w:val="56"/>
    <w:link w:val="8"/>
    <w:qFormat/>
    <w:uiPriority w:val="9"/>
    <w:rPr>
      <w:rFonts w:ascii="Times New Roman" w:hAnsi="Times New Roman"/>
      <w:b/>
      <w:sz w:val="24"/>
    </w:rPr>
  </w:style>
  <w:style w:type="character" w:customStyle="1" w:styleId="82">
    <w:name w:val="标题 8 字符"/>
    <w:basedOn w:val="56"/>
    <w:link w:val="9"/>
    <w:qFormat/>
    <w:uiPriority w:val="0"/>
    <w:rPr>
      <w:rFonts w:ascii="Arial" w:hAnsi="Arial" w:eastAsia="黑体"/>
      <w:sz w:val="24"/>
    </w:rPr>
  </w:style>
  <w:style w:type="character" w:customStyle="1" w:styleId="83">
    <w:name w:val="标题 9 字符"/>
    <w:basedOn w:val="56"/>
    <w:link w:val="10"/>
    <w:qFormat/>
    <w:uiPriority w:val="0"/>
    <w:rPr>
      <w:rFonts w:ascii="Arial" w:hAnsi="Arial" w:eastAsia="黑体"/>
      <w:sz w:val="21"/>
    </w:rPr>
  </w:style>
  <w:style w:type="character" w:customStyle="1" w:styleId="84">
    <w:name w:val="文档结构图 字符"/>
    <w:basedOn w:val="56"/>
    <w:link w:val="15"/>
    <w:qFormat/>
    <w:uiPriority w:val="99"/>
    <w:rPr>
      <w:rFonts w:ascii="Times New Roman" w:hAnsi="Times New Roman"/>
      <w:kern w:val="2"/>
      <w:sz w:val="21"/>
      <w:szCs w:val="24"/>
      <w:shd w:val="clear" w:color="auto" w:fill="000080"/>
    </w:rPr>
  </w:style>
  <w:style w:type="character" w:customStyle="1" w:styleId="85">
    <w:name w:val="批注文字 字符"/>
    <w:basedOn w:val="56"/>
    <w:qFormat/>
    <w:uiPriority w:val="0"/>
    <w:rPr>
      <w:rFonts w:ascii="Times New Roman" w:hAnsi="Times New Roman"/>
      <w:kern w:val="2"/>
      <w:sz w:val="21"/>
      <w:szCs w:val="24"/>
    </w:rPr>
  </w:style>
  <w:style w:type="character" w:customStyle="1" w:styleId="86">
    <w:name w:val="正文文本 3 字符"/>
    <w:basedOn w:val="56"/>
    <w:link w:val="19"/>
    <w:qFormat/>
    <w:uiPriority w:val="0"/>
    <w:rPr>
      <w:rFonts w:ascii="Times New Roman" w:hAnsi="Times New Roman"/>
      <w:kern w:val="2"/>
      <w:sz w:val="16"/>
      <w:szCs w:val="16"/>
    </w:rPr>
  </w:style>
  <w:style w:type="character" w:customStyle="1" w:styleId="87">
    <w:name w:val="纯文本 字符"/>
    <w:basedOn w:val="56"/>
    <w:qFormat/>
    <w:uiPriority w:val="99"/>
    <w:rPr>
      <w:rFonts w:hAnsi="Courier New" w:cs="Courier New" w:asciiTheme="minorEastAsia" w:eastAsiaTheme="minorEastAsia"/>
      <w:kern w:val="2"/>
      <w:sz w:val="21"/>
      <w:szCs w:val="24"/>
    </w:rPr>
  </w:style>
  <w:style w:type="character" w:customStyle="1" w:styleId="88">
    <w:name w:val="日期 字符"/>
    <w:basedOn w:val="56"/>
    <w:link w:val="30"/>
    <w:qFormat/>
    <w:uiPriority w:val="99"/>
    <w:rPr>
      <w:rFonts w:ascii="仿宋_GB2312" w:hAnsi="宋体" w:eastAsia="仿宋_GB2312"/>
      <w:color w:val="000000"/>
      <w:kern w:val="2"/>
      <w:sz w:val="24"/>
      <w:szCs w:val="24"/>
    </w:rPr>
  </w:style>
  <w:style w:type="character" w:customStyle="1" w:styleId="89">
    <w:name w:val="正文文本缩进 2 字符"/>
    <w:basedOn w:val="56"/>
    <w:link w:val="31"/>
    <w:qFormat/>
    <w:uiPriority w:val="99"/>
    <w:rPr>
      <w:rFonts w:ascii="仿宋_GB2312" w:hAnsi="Times New Roman" w:eastAsia="仿宋_GB2312"/>
      <w:kern w:val="2"/>
      <w:sz w:val="24"/>
      <w:szCs w:val="24"/>
    </w:rPr>
  </w:style>
  <w:style w:type="character" w:customStyle="1" w:styleId="90">
    <w:name w:val="批注框文本 字符"/>
    <w:basedOn w:val="56"/>
    <w:link w:val="32"/>
    <w:qFormat/>
    <w:uiPriority w:val="99"/>
    <w:rPr>
      <w:rFonts w:ascii="Times New Roman" w:hAnsi="Times New Roman"/>
      <w:kern w:val="2"/>
      <w:sz w:val="18"/>
      <w:szCs w:val="18"/>
    </w:rPr>
  </w:style>
  <w:style w:type="character" w:customStyle="1" w:styleId="91">
    <w:name w:val="页脚 字符"/>
    <w:basedOn w:val="56"/>
    <w:link w:val="33"/>
    <w:qFormat/>
    <w:uiPriority w:val="99"/>
    <w:rPr>
      <w:rFonts w:ascii="宋体" w:hAnsi="Times New Roman"/>
      <w:sz w:val="18"/>
    </w:rPr>
  </w:style>
  <w:style w:type="character" w:customStyle="1" w:styleId="92">
    <w:name w:val="页眉 字符"/>
    <w:basedOn w:val="56"/>
    <w:link w:val="35"/>
    <w:qFormat/>
    <w:uiPriority w:val="99"/>
    <w:rPr>
      <w:rFonts w:ascii="Times New Roman" w:hAnsi="Times New Roman"/>
      <w:kern w:val="2"/>
      <w:sz w:val="18"/>
      <w:szCs w:val="18"/>
    </w:rPr>
  </w:style>
  <w:style w:type="character" w:customStyle="1" w:styleId="93">
    <w:name w:val="正文文本缩进 3 字符"/>
    <w:basedOn w:val="56"/>
    <w:link w:val="42"/>
    <w:qFormat/>
    <w:uiPriority w:val="99"/>
    <w:rPr>
      <w:rFonts w:ascii="宋体" w:hAnsi="Times New Roman"/>
      <w:sz w:val="24"/>
    </w:rPr>
  </w:style>
  <w:style w:type="character" w:customStyle="1" w:styleId="94">
    <w:name w:val="HTML 预设格式 字符"/>
    <w:basedOn w:val="56"/>
    <w:link w:val="46"/>
    <w:qFormat/>
    <w:uiPriority w:val="0"/>
    <w:rPr>
      <w:rFonts w:ascii="宋体" w:hAnsi="宋体" w:cs="宋体"/>
      <w:sz w:val="24"/>
      <w:szCs w:val="24"/>
    </w:rPr>
  </w:style>
  <w:style w:type="character" w:customStyle="1" w:styleId="95">
    <w:name w:val="标题 字符"/>
    <w:basedOn w:val="56"/>
    <w:link w:val="49"/>
    <w:qFormat/>
    <w:uiPriority w:val="0"/>
    <w:rPr>
      <w:rFonts w:ascii="Times New Roman" w:hAnsi="Times New Roman"/>
      <w:b/>
      <w:kern w:val="2"/>
      <w:sz w:val="32"/>
    </w:rPr>
  </w:style>
  <w:style w:type="character" w:customStyle="1" w:styleId="96">
    <w:name w:val="批注主题 字符"/>
    <w:basedOn w:val="85"/>
    <w:link w:val="50"/>
    <w:qFormat/>
    <w:uiPriority w:val="99"/>
    <w:rPr>
      <w:rFonts w:ascii="Times New Roman" w:hAnsi="Times New Roman"/>
      <w:b/>
      <w:bCs/>
      <w:kern w:val="2"/>
      <w:sz w:val="21"/>
      <w:szCs w:val="24"/>
    </w:rPr>
  </w:style>
  <w:style w:type="character" w:customStyle="1" w:styleId="97">
    <w:name w:val="chanpin拷贝"/>
    <w:qFormat/>
    <w:uiPriority w:val="0"/>
  </w:style>
  <w:style w:type="character" w:customStyle="1" w:styleId="98">
    <w:name w:val="段1 Char"/>
    <w:qFormat/>
    <w:uiPriority w:val="0"/>
    <w:rPr>
      <w:rFonts w:ascii="宋体" w:eastAsia="宋体"/>
      <w:sz w:val="24"/>
      <w:lang w:val="en-US" w:eastAsia="zh-CN" w:bidi="ar-SA"/>
    </w:rPr>
  </w:style>
  <w:style w:type="character" w:customStyle="1" w:styleId="99">
    <w:name w:val="正文格式 Char"/>
    <w:link w:val="100"/>
    <w:qFormat/>
    <w:locked/>
    <w:uiPriority w:val="0"/>
    <w:rPr>
      <w:rFonts w:ascii="宋体" w:hAnsi="宋体"/>
      <w:sz w:val="24"/>
      <w:szCs w:val="24"/>
      <w:lang w:val="en-GB"/>
    </w:rPr>
  </w:style>
  <w:style w:type="paragraph" w:customStyle="1" w:styleId="100">
    <w:name w:val="正文格式"/>
    <w:basedOn w:val="1"/>
    <w:link w:val="99"/>
    <w:qFormat/>
    <w:uiPriority w:val="0"/>
    <w:pPr>
      <w:spacing w:beforeLines="50" w:line="360" w:lineRule="auto"/>
      <w:ind w:firstLine="480" w:firstLineChars="200"/>
    </w:pPr>
    <w:rPr>
      <w:rFonts w:ascii="宋体" w:hAnsi="宋体"/>
      <w:kern w:val="0"/>
      <w:sz w:val="24"/>
      <w:lang w:val="en-GB"/>
    </w:rPr>
  </w:style>
  <w:style w:type="character" w:customStyle="1" w:styleId="101">
    <w:name w:val="正文表格 Char"/>
    <w:link w:val="102"/>
    <w:qFormat/>
    <w:uiPriority w:val="0"/>
    <w:rPr>
      <w:rFonts w:ascii="宋体" w:hAnsi="宋体"/>
      <w:color w:val="000000"/>
      <w:kern w:val="2"/>
      <w:sz w:val="21"/>
      <w:szCs w:val="21"/>
    </w:rPr>
  </w:style>
  <w:style w:type="paragraph" w:customStyle="1" w:styleId="102">
    <w:name w:val="正文表格"/>
    <w:basedOn w:val="1"/>
    <w:link w:val="101"/>
    <w:qFormat/>
    <w:uiPriority w:val="0"/>
    <w:pPr>
      <w:adjustRightInd w:val="0"/>
      <w:snapToGrid w:val="0"/>
      <w:jc w:val="left"/>
    </w:pPr>
    <w:rPr>
      <w:rFonts w:ascii="宋体" w:hAnsi="宋体"/>
      <w:color w:val="000000"/>
      <w:szCs w:val="21"/>
    </w:rPr>
  </w:style>
  <w:style w:type="character" w:customStyle="1" w:styleId="103">
    <w:name w:val="页脚 Char"/>
    <w:qFormat/>
    <w:uiPriority w:val="0"/>
    <w:rPr>
      <w:rFonts w:ascii="宋体" w:eastAsia="宋体"/>
      <w:sz w:val="18"/>
      <w:lang w:val="en-US" w:eastAsia="zh-CN" w:bidi="ar-SA"/>
    </w:rPr>
  </w:style>
  <w:style w:type="character" w:customStyle="1" w:styleId="104">
    <w:name w:val="标题 3 字符"/>
    <w:link w:val="4"/>
    <w:qFormat/>
    <w:uiPriority w:val="0"/>
    <w:rPr>
      <w:rFonts w:ascii="宋体" w:hAnsi="Times New Roman"/>
      <w:b/>
      <w:sz w:val="24"/>
      <w:u w:val="single"/>
    </w:rPr>
  </w:style>
  <w:style w:type="character" w:customStyle="1" w:styleId="105">
    <w:name w:val="标题 2 字符"/>
    <w:link w:val="2"/>
    <w:qFormat/>
    <w:uiPriority w:val="0"/>
    <w:rPr>
      <w:rFonts w:ascii="Arial" w:hAnsi="Arial" w:eastAsia="黑体"/>
      <w:b/>
      <w:sz w:val="30"/>
    </w:rPr>
  </w:style>
  <w:style w:type="character" w:customStyle="1" w:styleId="106">
    <w:name w:val="页眉 Char"/>
    <w:qFormat/>
    <w:uiPriority w:val="0"/>
    <w:rPr>
      <w:rFonts w:eastAsia="宋体"/>
      <w:kern w:val="2"/>
      <w:sz w:val="18"/>
      <w:szCs w:val="18"/>
      <w:lang w:val="en-US" w:eastAsia="zh-CN" w:bidi="ar-SA"/>
    </w:rPr>
  </w:style>
  <w:style w:type="character" w:customStyle="1" w:styleId="107">
    <w:name w:val="注释 Char"/>
    <w:link w:val="108"/>
    <w:qFormat/>
    <w:uiPriority w:val="0"/>
    <w:rPr>
      <w:rFonts w:ascii="宋体" w:hAnsi="宋体"/>
      <w:kern w:val="2"/>
      <w:sz w:val="21"/>
      <w:szCs w:val="21"/>
    </w:rPr>
  </w:style>
  <w:style w:type="paragraph" w:customStyle="1" w:styleId="108">
    <w:name w:val="注释"/>
    <w:basedOn w:val="1"/>
    <w:link w:val="107"/>
    <w:qFormat/>
    <w:uiPriority w:val="0"/>
    <w:pPr>
      <w:adjustRightInd w:val="0"/>
      <w:snapToGrid w:val="0"/>
      <w:ind w:left="420" w:hanging="420" w:hangingChars="200"/>
      <w:jc w:val="left"/>
    </w:pPr>
    <w:rPr>
      <w:rFonts w:ascii="宋体" w:hAnsi="宋体"/>
      <w:szCs w:val="21"/>
    </w:rPr>
  </w:style>
  <w:style w:type="character" w:customStyle="1" w:styleId="109">
    <w:name w:val="正文文本缩进 Char"/>
    <w:qFormat/>
    <w:uiPriority w:val="0"/>
    <w:rPr>
      <w:rFonts w:eastAsia="宋体"/>
      <w:kern w:val="2"/>
      <w:sz w:val="24"/>
      <w:szCs w:val="24"/>
      <w:lang w:val="en-US" w:eastAsia="zh-CN" w:bidi="ar-SA"/>
    </w:rPr>
  </w:style>
  <w:style w:type="character" w:customStyle="1" w:styleId="110">
    <w:name w:val="标题 3 Char"/>
    <w:qFormat/>
    <w:uiPriority w:val="0"/>
    <w:rPr>
      <w:rFonts w:ascii="宋体" w:eastAsia="宋体"/>
      <w:b/>
      <w:sz w:val="24"/>
      <w:u w:val="single"/>
      <w:lang w:val="en-US" w:eastAsia="zh-CN" w:bidi="ar-SA"/>
    </w:rPr>
  </w:style>
  <w:style w:type="character" w:customStyle="1" w:styleId="111">
    <w:name w:val="纯文本 字符2"/>
    <w:link w:val="28"/>
    <w:qFormat/>
    <w:uiPriority w:val="0"/>
    <w:rPr>
      <w:rFonts w:ascii="宋体" w:hAnsi="Courier New"/>
      <w:kern w:val="2"/>
      <w:sz w:val="21"/>
    </w:rPr>
  </w:style>
  <w:style w:type="character" w:customStyle="1" w:styleId="112">
    <w:name w:val="普通文字1 Char1"/>
    <w:qFormat/>
    <w:uiPriority w:val="0"/>
    <w:rPr>
      <w:rFonts w:ascii="宋体" w:hAnsi="Courier New" w:eastAsia="宋体"/>
      <w:kern w:val="2"/>
      <w:sz w:val="21"/>
      <w:lang w:val="en-US" w:eastAsia="zh-CN" w:bidi="ar-SA"/>
    </w:rPr>
  </w:style>
  <w:style w:type="character" w:customStyle="1" w:styleId="113">
    <w:name w:val="locality"/>
    <w:qFormat/>
    <w:uiPriority w:val="0"/>
  </w:style>
  <w:style w:type="character" w:customStyle="1" w:styleId="114">
    <w:name w:val="正文重点 Char"/>
    <w:link w:val="115"/>
    <w:qFormat/>
    <w:uiPriority w:val="0"/>
    <w:rPr>
      <w:b/>
      <w:sz w:val="24"/>
    </w:rPr>
  </w:style>
  <w:style w:type="paragraph" w:customStyle="1" w:styleId="115">
    <w:name w:val="正文重点"/>
    <w:basedOn w:val="1"/>
    <w:link w:val="114"/>
    <w:qFormat/>
    <w:uiPriority w:val="0"/>
    <w:pPr>
      <w:adjustRightInd w:val="0"/>
      <w:spacing w:line="360" w:lineRule="auto"/>
      <w:ind w:firstLine="482" w:firstLineChars="200"/>
      <w:jc w:val="left"/>
      <w:textAlignment w:val="baseline"/>
    </w:pPr>
    <w:rPr>
      <w:rFonts w:ascii="Calibri" w:hAnsi="Calibri"/>
      <w:b/>
      <w:kern w:val="0"/>
      <w:sz w:val="24"/>
      <w:szCs w:val="20"/>
    </w:rPr>
  </w:style>
  <w:style w:type="character" w:customStyle="1" w:styleId="116">
    <w:name w:val="批注文字 字符1"/>
    <w:link w:val="16"/>
    <w:qFormat/>
    <w:uiPriority w:val="0"/>
    <w:rPr>
      <w:rFonts w:ascii="Times New Roman" w:hAnsi="Times New Roman"/>
      <w:kern w:val="2"/>
      <w:sz w:val="21"/>
      <w:szCs w:val="24"/>
    </w:rPr>
  </w:style>
  <w:style w:type="character" w:customStyle="1" w:styleId="117">
    <w:name w:val="正文小标题 Char"/>
    <w:link w:val="118"/>
    <w:qFormat/>
    <w:uiPriority w:val="0"/>
    <w:rPr>
      <w:rFonts w:ascii="宋体" w:hAnsi="宋体"/>
      <w:b/>
      <w:i/>
      <w:color w:val="FF0000"/>
      <w:kern w:val="2"/>
      <w:sz w:val="24"/>
    </w:rPr>
  </w:style>
  <w:style w:type="paragraph" w:customStyle="1" w:styleId="118">
    <w:name w:val="正文小标题"/>
    <w:basedOn w:val="1"/>
    <w:next w:val="13"/>
    <w:link w:val="11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19">
    <w:name w:val="正文缩进 字符"/>
    <w:link w:val="13"/>
    <w:qFormat/>
    <w:uiPriority w:val="0"/>
    <w:rPr>
      <w:rFonts w:ascii="宋体" w:hAnsi="Times New Roman"/>
      <w:kern w:val="2"/>
      <w:sz w:val="24"/>
      <w:szCs w:val="24"/>
    </w:rPr>
  </w:style>
  <w:style w:type="character" w:customStyle="1" w:styleId="120">
    <w:name w:val="列出段落 Char"/>
    <w:qFormat/>
    <w:uiPriority w:val="34"/>
    <w:rPr>
      <w:rFonts w:ascii="Calibri" w:hAnsi="Calibri" w:eastAsia="宋体"/>
      <w:kern w:val="2"/>
      <w:sz w:val="21"/>
      <w:szCs w:val="22"/>
      <w:lang w:val="en-US" w:eastAsia="zh-CN" w:bidi="ar-SA"/>
    </w:rPr>
  </w:style>
  <w:style w:type="character" w:customStyle="1" w:styleId="121">
    <w:name w:val="black1"/>
    <w:qFormat/>
    <w:uiPriority w:val="0"/>
    <w:rPr>
      <w:color w:val="000000"/>
    </w:rPr>
  </w:style>
  <w:style w:type="character" w:customStyle="1" w:styleId="122">
    <w:name w:val="apple-style-span"/>
    <w:qFormat/>
    <w:uiPriority w:val="0"/>
    <w:rPr>
      <w:rFonts w:cs="Times New Roman"/>
    </w:rPr>
  </w:style>
  <w:style w:type="character" w:customStyle="1" w:styleId="123">
    <w:name w:val="正文缩进 Char"/>
    <w:qFormat/>
    <w:uiPriority w:val="0"/>
    <w:rPr>
      <w:rFonts w:ascii="宋体" w:eastAsia="宋体"/>
      <w:kern w:val="2"/>
      <w:sz w:val="24"/>
      <w:szCs w:val="24"/>
      <w:lang w:val="en-US" w:eastAsia="zh-CN" w:bidi="ar-SA"/>
    </w:rPr>
  </w:style>
  <w:style w:type="character" w:customStyle="1" w:styleId="124">
    <w:name w:val="列出段落 字符"/>
    <w:link w:val="66"/>
    <w:qFormat/>
    <w:uiPriority w:val="34"/>
    <w:rPr>
      <w:kern w:val="2"/>
      <w:sz w:val="21"/>
      <w:szCs w:val="22"/>
    </w:rPr>
  </w:style>
  <w:style w:type="character" w:customStyle="1" w:styleId="125">
    <w:name w:val="标题 Char"/>
    <w:qFormat/>
    <w:uiPriority w:val="99"/>
    <w:rPr>
      <w:b/>
      <w:kern w:val="2"/>
      <w:sz w:val="32"/>
    </w:rPr>
  </w:style>
  <w:style w:type="character" w:customStyle="1" w:styleId="126">
    <w:name w:val="纯文本 字符1"/>
    <w:qFormat/>
    <w:uiPriority w:val="0"/>
    <w:rPr>
      <w:rFonts w:ascii="宋体" w:hAnsi="Courier New"/>
    </w:rPr>
  </w:style>
  <w:style w:type="character" w:customStyle="1" w:styleId="127">
    <w:name w:val="标题 2 Char"/>
    <w:qFormat/>
    <w:uiPriority w:val="0"/>
    <w:rPr>
      <w:rFonts w:ascii="Arial" w:hAnsi="Arial" w:eastAsia="黑体"/>
      <w:b/>
      <w:sz w:val="30"/>
      <w:lang w:val="en-US" w:eastAsia="zh-CN" w:bidi="ar-SA"/>
    </w:rPr>
  </w:style>
  <w:style w:type="character" w:customStyle="1" w:styleId="128">
    <w:name w:val="标题 3 Char Char"/>
    <w:qFormat/>
    <w:uiPriority w:val="0"/>
    <w:rPr>
      <w:rFonts w:eastAsia="宋体"/>
      <w:b/>
      <w:bCs/>
      <w:kern w:val="2"/>
      <w:sz w:val="32"/>
      <w:szCs w:val="32"/>
      <w:lang w:val="en-US" w:eastAsia="zh-CN" w:bidi="ar-SA"/>
    </w:rPr>
  </w:style>
  <w:style w:type="character" w:customStyle="1" w:styleId="129">
    <w:name w:val="正文大标题 Char"/>
    <w:link w:val="130"/>
    <w:qFormat/>
    <w:uiPriority w:val="0"/>
    <w:rPr>
      <w:rFonts w:ascii="宋体" w:hAnsi="宋体"/>
      <w:b/>
      <w:color w:val="000000"/>
      <w:kern w:val="2"/>
      <w:sz w:val="28"/>
      <w:szCs w:val="21"/>
    </w:rPr>
  </w:style>
  <w:style w:type="paragraph" w:customStyle="1" w:styleId="130">
    <w:name w:val="正文大标题"/>
    <w:basedOn w:val="118"/>
    <w:next w:val="13"/>
    <w:link w:val="129"/>
    <w:qFormat/>
    <w:uiPriority w:val="0"/>
    <w:pPr>
      <w:jc w:val="center"/>
    </w:pPr>
    <w:rPr>
      <w:i w:val="0"/>
      <w:color w:val="000000"/>
      <w:sz w:val="28"/>
      <w:szCs w:val="21"/>
    </w:rPr>
  </w:style>
  <w:style w:type="character" w:customStyle="1" w:styleId="131">
    <w:name w:val="正文首行缩进 2 字符"/>
    <w:link w:val="52"/>
    <w:qFormat/>
    <w:uiPriority w:val="99"/>
    <w:rPr>
      <w:rFonts w:ascii="Times New Roman" w:hAnsi="Times New Roman"/>
      <w:kern w:val="2"/>
      <w:sz w:val="24"/>
    </w:rPr>
  </w:style>
  <w:style w:type="character" w:customStyle="1" w:styleId="132">
    <w:name w:val="title4"/>
    <w:qFormat/>
    <w:uiPriority w:val="0"/>
    <w:rPr>
      <w:b/>
      <w:bCs/>
      <w:color w:val="1D87B3"/>
      <w:sz w:val="15"/>
      <w:szCs w:val="15"/>
    </w:rPr>
  </w:style>
  <w:style w:type="character" w:customStyle="1" w:styleId="133">
    <w:name w:val="Char Char11"/>
    <w:qFormat/>
    <w:uiPriority w:val="0"/>
    <w:rPr>
      <w:rFonts w:ascii="宋体" w:eastAsia="宋体"/>
      <w:b/>
      <w:sz w:val="24"/>
      <w:u w:val="single"/>
      <w:lang w:val="en-US" w:eastAsia="zh-CN" w:bidi="ar-SA"/>
    </w:rPr>
  </w:style>
  <w:style w:type="character" w:customStyle="1" w:styleId="134">
    <w:name w:val="正文缩进 Char Char"/>
    <w:link w:val="135"/>
    <w:qFormat/>
    <w:uiPriority w:val="0"/>
    <w:rPr>
      <w:rFonts w:ascii="宋体"/>
      <w:snapToGrid w:val="0"/>
      <w:color w:val="000000"/>
      <w:kern w:val="28"/>
      <w:sz w:val="28"/>
    </w:rPr>
  </w:style>
  <w:style w:type="paragraph" w:customStyle="1" w:styleId="135">
    <w:name w:val="正文缩进1"/>
    <w:basedOn w:val="1"/>
    <w:link w:val="134"/>
    <w:qFormat/>
    <w:uiPriority w:val="0"/>
    <w:pPr>
      <w:widowControl/>
      <w:adjustRightInd w:val="0"/>
      <w:snapToGrid w:val="0"/>
      <w:spacing w:line="480" w:lineRule="exact"/>
      <w:ind w:firstLine="567"/>
    </w:pPr>
    <w:rPr>
      <w:rFonts w:ascii="宋体" w:hAnsi="Calibri"/>
      <w:snapToGrid w:val="0"/>
      <w:color w:val="000000"/>
      <w:kern w:val="28"/>
      <w:sz w:val="28"/>
      <w:szCs w:val="20"/>
    </w:rPr>
  </w:style>
  <w:style w:type="character" w:customStyle="1" w:styleId="136">
    <w:name w:val="批注文字 Char"/>
    <w:qFormat/>
    <w:uiPriority w:val="99"/>
    <w:rPr>
      <w:kern w:val="2"/>
      <w:sz w:val="21"/>
      <w:szCs w:val="24"/>
    </w:rPr>
  </w:style>
  <w:style w:type="character" w:customStyle="1" w:styleId="137">
    <w:name w:val="txt"/>
    <w:qFormat/>
    <w:uiPriority w:val="0"/>
  </w:style>
  <w:style w:type="character" w:customStyle="1" w:styleId="138">
    <w:name w:val="标题 2 Char Char"/>
    <w:qFormat/>
    <w:uiPriority w:val="0"/>
    <w:rPr>
      <w:rFonts w:ascii="Arial" w:hAnsi="Arial" w:eastAsia="黑体"/>
      <w:b/>
      <w:bCs/>
      <w:kern w:val="2"/>
      <w:sz w:val="32"/>
      <w:szCs w:val="32"/>
      <w:lang w:val="en-US" w:eastAsia="zh-CN" w:bidi="ar-SA"/>
    </w:rPr>
  </w:style>
  <w:style w:type="character" w:customStyle="1" w:styleId="139">
    <w:name w:val="chanpin1"/>
    <w:qFormat/>
    <w:uiPriority w:val="0"/>
    <w:rPr>
      <w:rFonts w:hint="default" w:ascii="ˎ̥" w:hAnsi="ˎ̥"/>
      <w:color w:val="000000"/>
      <w:sz w:val="20"/>
      <w:szCs w:val="20"/>
      <w:u w:val="none"/>
    </w:rPr>
  </w:style>
  <w:style w:type="character" w:customStyle="1" w:styleId="140">
    <w:name w:val="正文文本缩进 Char1"/>
    <w:link w:val="141"/>
    <w:qFormat/>
    <w:uiPriority w:val="0"/>
    <w:rPr>
      <w:rFonts w:ascii="宋体" w:hAnsi="宋体"/>
      <w:sz w:val="24"/>
      <w:szCs w:val="24"/>
    </w:rPr>
  </w:style>
  <w:style w:type="paragraph" w:customStyle="1" w:styleId="141">
    <w:name w:val="正文文本缩进1"/>
    <w:basedOn w:val="1"/>
    <w:link w:val="140"/>
    <w:qFormat/>
    <w:uiPriority w:val="0"/>
    <w:pPr>
      <w:spacing w:line="480" w:lineRule="exact"/>
      <w:ind w:firstLine="480" w:firstLineChars="200"/>
    </w:pPr>
    <w:rPr>
      <w:rFonts w:ascii="宋体" w:hAnsi="宋体"/>
      <w:kern w:val="0"/>
      <w:sz w:val="24"/>
    </w:rPr>
  </w:style>
  <w:style w:type="character" w:customStyle="1" w:styleId="142">
    <w:name w:val="正文文本 字符"/>
    <w:link w:val="21"/>
    <w:qFormat/>
    <w:uiPriority w:val="99"/>
    <w:rPr>
      <w:rFonts w:ascii="宋体" w:hAnsi="宋体"/>
      <w:kern w:val="2"/>
      <w:sz w:val="24"/>
      <w:szCs w:val="24"/>
    </w:rPr>
  </w:style>
  <w:style w:type="character" w:customStyle="1" w:styleId="143">
    <w:name w:val="c21"/>
    <w:qFormat/>
    <w:uiPriority w:val="0"/>
    <w:rPr>
      <w:rFonts w:hint="default" w:ascii="ˎ̥" w:hAnsi="ˎ̥"/>
      <w:color w:val="000000"/>
      <w:sz w:val="20"/>
      <w:szCs w:val="20"/>
      <w:u w:val="none"/>
    </w:rPr>
  </w:style>
  <w:style w:type="character" w:customStyle="1" w:styleId="144">
    <w:name w:val="正文文本缩进 字符"/>
    <w:link w:val="23"/>
    <w:qFormat/>
    <w:uiPriority w:val="99"/>
    <w:rPr>
      <w:rFonts w:ascii="Times New Roman" w:hAnsi="Times New Roman"/>
      <w:kern w:val="2"/>
      <w:sz w:val="24"/>
      <w:szCs w:val="24"/>
    </w:rPr>
  </w:style>
  <w:style w:type="character" w:customStyle="1" w:styleId="145">
    <w:name w:val="中等深浅网格 1 - 强调文字颜色 2 Char"/>
    <w:link w:val="146"/>
    <w:qFormat/>
    <w:uiPriority w:val="0"/>
    <w:rPr>
      <w:kern w:val="2"/>
      <w:sz w:val="21"/>
      <w:szCs w:val="24"/>
      <w:lang w:val="zh-CN"/>
    </w:rPr>
  </w:style>
  <w:style w:type="paragraph" w:customStyle="1" w:styleId="146">
    <w:name w:val="1"/>
    <w:link w:val="145"/>
    <w:qFormat/>
    <w:uiPriority w:val="0"/>
    <w:rPr>
      <w:rFonts w:ascii="Calibri" w:hAnsi="Calibri" w:eastAsia="宋体" w:cs="Times New Roman"/>
      <w:kern w:val="2"/>
      <w:sz w:val="21"/>
      <w:szCs w:val="24"/>
      <w:lang w:val="zh-CN" w:eastAsia="zh-CN" w:bidi="ar-SA"/>
    </w:rPr>
  </w:style>
  <w:style w:type="character" w:customStyle="1" w:styleId="147">
    <w:name w:val="street-address"/>
    <w:qFormat/>
    <w:uiPriority w:val="0"/>
  </w:style>
  <w:style w:type="character" w:customStyle="1" w:styleId="148">
    <w:name w:val="Char Char111"/>
    <w:qFormat/>
    <w:uiPriority w:val="0"/>
    <w:rPr>
      <w:rFonts w:ascii="宋体" w:eastAsia="宋体"/>
      <w:b/>
      <w:sz w:val="24"/>
      <w:u w:val="single"/>
      <w:lang w:val="en-US" w:eastAsia="zh-CN" w:bidi="ar-SA"/>
    </w:rPr>
  </w:style>
  <w:style w:type="character" w:customStyle="1" w:styleId="149">
    <w:name w:val="bjh-p"/>
    <w:qFormat/>
    <w:uiPriority w:val="0"/>
  </w:style>
  <w:style w:type="character" w:customStyle="1" w:styleId="150">
    <w:name w:val="纯文本 Char1"/>
    <w:qFormat/>
    <w:uiPriority w:val="99"/>
    <w:rPr>
      <w:rFonts w:ascii="宋体" w:hAnsi="Courier New" w:eastAsia="宋体"/>
      <w:kern w:val="2"/>
      <w:sz w:val="21"/>
      <w:lang w:val="en-US" w:eastAsia="zh-CN" w:bidi="ar-SA"/>
    </w:rPr>
  </w:style>
  <w:style w:type="paragraph" w:customStyle="1" w:styleId="15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52">
    <w:name w:val="一级条标题"/>
    <w:basedOn w:val="153"/>
    <w:next w:val="1"/>
    <w:qFormat/>
    <w:uiPriority w:val="0"/>
    <w:pPr>
      <w:numPr>
        <w:ilvl w:val="1"/>
      </w:numPr>
      <w:tabs>
        <w:tab w:val="left" w:pos="360"/>
        <w:tab w:val="left" w:pos="840"/>
      </w:tabs>
      <w:ind w:left="0" w:hanging="840"/>
      <w:outlineLvl w:val="1"/>
    </w:pPr>
  </w:style>
  <w:style w:type="paragraph" w:customStyle="1" w:styleId="15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5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图中文字"/>
    <w:basedOn w:val="1"/>
    <w:qFormat/>
    <w:uiPriority w:val="0"/>
    <w:pPr>
      <w:adjustRightInd w:val="0"/>
      <w:snapToGrid w:val="0"/>
      <w:spacing w:line="0" w:lineRule="atLeast"/>
      <w:jc w:val="center"/>
    </w:pPr>
    <w:rPr>
      <w:sz w:val="24"/>
      <w:szCs w:val="20"/>
    </w:rPr>
  </w:style>
  <w:style w:type="paragraph" w:customStyle="1" w:styleId="157">
    <w:name w:val="Char3 Char Char Char1"/>
    <w:basedOn w:val="1"/>
    <w:qFormat/>
    <w:uiPriority w:val="0"/>
    <w:rPr>
      <w:rFonts w:ascii="Tahoma" w:hAnsi="Tahoma"/>
      <w:sz w:val="24"/>
      <w:szCs w:val="20"/>
    </w:rPr>
  </w:style>
  <w:style w:type="paragraph" w:customStyle="1" w:styleId="158">
    <w:name w:val="项目编号2"/>
    <w:basedOn w:val="159"/>
    <w:qFormat/>
    <w:uiPriority w:val="0"/>
    <w:pPr>
      <w:numPr>
        <w:numId w:val="2"/>
      </w:numPr>
    </w:pPr>
  </w:style>
  <w:style w:type="paragraph" w:customStyle="1" w:styleId="15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0">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6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6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64">
    <w:name w:val="五级条标题"/>
    <w:basedOn w:val="165"/>
    <w:next w:val="1"/>
    <w:qFormat/>
    <w:uiPriority w:val="0"/>
    <w:pPr>
      <w:numPr>
        <w:ilvl w:val="5"/>
      </w:numPr>
      <w:tabs>
        <w:tab w:val="left" w:pos="360"/>
        <w:tab w:val="left" w:pos="840"/>
      </w:tabs>
      <w:ind w:left="0" w:hanging="840"/>
      <w:outlineLvl w:val="5"/>
    </w:pPr>
  </w:style>
  <w:style w:type="paragraph" w:customStyle="1" w:styleId="165">
    <w:name w:val="四级条标题"/>
    <w:basedOn w:val="166"/>
    <w:next w:val="1"/>
    <w:qFormat/>
    <w:uiPriority w:val="0"/>
    <w:pPr>
      <w:numPr>
        <w:ilvl w:val="4"/>
      </w:numPr>
      <w:tabs>
        <w:tab w:val="left" w:pos="360"/>
        <w:tab w:val="left" w:pos="840"/>
      </w:tabs>
      <w:ind w:left="0" w:hanging="840"/>
      <w:outlineLvl w:val="4"/>
    </w:pPr>
  </w:style>
  <w:style w:type="paragraph" w:customStyle="1" w:styleId="166">
    <w:name w:val="三级条标题"/>
    <w:basedOn w:val="167"/>
    <w:next w:val="1"/>
    <w:qFormat/>
    <w:uiPriority w:val="0"/>
    <w:pPr>
      <w:numPr>
        <w:ilvl w:val="3"/>
        <w:numId w:val="1"/>
      </w:numPr>
      <w:tabs>
        <w:tab w:val="left" w:pos="360"/>
        <w:tab w:val="left" w:pos="840"/>
      </w:tabs>
      <w:ind w:left="0" w:hanging="840"/>
      <w:outlineLvl w:val="3"/>
    </w:pPr>
  </w:style>
  <w:style w:type="paragraph" w:customStyle="1" w:styleId="167">
    <w:name w:val="二级条标题"/>
    <w:basedOn w:val="152"/>
    <w:next w:val="1"/>
    <w:qFormat/>
    <w:uiPriority w:val="0"/>
    <w:pPr>
      <w:numPr>
        <w:ilvl w:val="0"/>
        <w:numId w:val="0"/>
      </w:numPr>
      <w:ind w:hanging="840"/>
      <w:outlineLvl w:val="2"/>
    </w:pPr>
    <w:rPr>
      <w:rFonts w:ascii="宋体" w:eastAsia="宋体"/>
      <w:b w:val="0"/>
    </w:rPr>
  </w:style>
  <w:style w:type="paragraph" w:customStyle="1" w:styleId="168">
    <w:name w:val="font8"/>
    <w:basedOn w:val="1"/>
    <w:qFormat/>
    <w:uiPriority w:val="0"/>
    <w:pPr>
      <w:widowControl/>
      <w:spacing w:before="100" w:beforeAutospacing="1" w:after="100" w:afterAutospacing="1"/>
      <w:jc w:val="left"/>
    </w:pPr>
    <w:rPr>
      <w:kern w:val="0"/>
      <w:sz w:val="36"/>
      <w:szCs w:val="36"/>
    </w:rPr>
  </w:style>
  <w:style w:type="paragraph" w:customStyle="1" w:styleId="169">
    <w:name w:val="Char3 Char Char Char"/>
    <w:basedOn w:val="1"/>
    <w:qFormat/>
    <w:uiPriority w:val="0"/>
    <w:rPr>
      <w:rFonts w:ascii="Tahoma" w:hAnsi="Tahoma"/>
      <w:sz w:val="24"/>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字元 字元"/>
    <w:basedOn w:val="1"/>
    <w:qFormat/>
    <w:uiPriority w:val="0"/>
    <w:rPr>
      <w:rFonts w:ascii="Tahoma" w:hAnsi="Tahoma"/>
      <w:sz w:val="24"/>
      <w:szCs w:val="20"/>
    </w:rPr>
  </w:style>
  <w:style w:type="paragraph" w:customStyle="1" w:styleId="173">
    <w:name w:val="Char Char Char1 Char2"/>
    <w:basedOn w:val="1"/>
    <w:qFormat/>
    <w:uiPriority w:val="0"/>
    <w:rPr>
      <w:rFonts w:ascii="Tahoma" w:hAnsi="Tahoma"/>
      <w:sz w:val="24"/>
      <w:szCs w:val="20"/>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78">
    <w:name w:val="Char2"/>
    <w:basedOn w:val="1"/>
    <w:qFormat/>
    <w:uiPriority w:val="0"/>
    <w:rPr>
      <w:rFonts w:ascii="Tahoma" w:hAnsi="Tahoma"/>
      <w:sz w:val="24"/>
      <w:szCs w:val="20"/>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Char1"/>
    <w:basedOn w:val="1"/>
    <w:qFormat/>
    <w:uiPriority w:val="0"/>
    <w:pPr>
      <w:tabs>
        <w:tab w:val="left" w:pos="360"/>
      </w:tabs>
    </w:pPr>
    <w:rPr>
      <w:sz w:val="24"/>
    </w:rPr>
  </w:style>
  <w:style w:type="paragraph" w:customStyle="1" w:styleId="181">
    <w:name w:val="Char2 Char Char Char Char Char Char1"/>
    <w:basedOn w:val="1"/>
    <w:qFormat/>
    <w:uiPriority w:val="0"/>
    <w:pPr>
      <w:widowControl/>
      <w:spacing w:line="400" w:lineRule="exact"/>
      <w:jc w:val="center"/>
    </w:pPr>
  </w:style>
  <w:style w:type="paragraph" w:customStyle="1" w:styleId="18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3">
    <w:name w:val="文档正文"/>
    <w:basedOn w:val="1"/>
    <w:qFormat/>
    <w:uiPriority w:val="0"/>
    <w:pPr>
      <w:snapToGrid w:val="0"/>
      <w:spacing w:before="120" w:after="120" w:line="180" w:lineRule="auto"/>
    </w:pPr>
    <w:rPr>
      <w:rFonts w:ascii="Arial" w:hAnsi="Arial"/>
      <w:szCs w:val="20"/>
    </w:rPr>
  </w:style>
  <w:style w:type="paragraph" w:customStyle="1" w:styleId="184">
    <w:name w:val="Char Char Char Char Char Char Char Char Char Char"/>
    <w:basedOn w:val="1"/>
    <w:qFormat/>
    <w:uiPriority w:val="0"/>
  </w:style>
  <w:style w:type="paragraph" w:customStyle="1" w:styleId="18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89">
    <w:name w:val="字元 字元2"/>
    <w:basedOn w:val="1"/>
    <w:qFormat/>
    <w:uiPriority w:val="0"/>
    <w:rPr>
      <w:rFonts w:ascii="Tahoma" w:hAnsi="Tahoma"/>
      <w:sz w:val="24"/>
      <w:szCs w:val="20"/>
    </w:rPr>
  </w:style>
  <w:style w:type="paragraph" w:customStyle="1" w:styleId="190">
    <w:name w:val="List Paragraph1"/>
    <w:basedOn w:val="1"/>
    <w:qFormat/>
    <w:uiPriority w:val="34"/>
    <w:pPr>
      <w:ind w:firstLine="420" w:firstLineChars="200"/>
    </w:pPr>
    <w:rPr>
      <w:rFonts w:ascii="Calibri" w:hAnsi="Calibri"/>
      <w:szCs w:val="22"/>
    </w:rPr>
  </w:style>
  <w:style w:type="paragraph" w:customStyle="1" w:styleId="191">
    <w:name w:val="1 Char Char Char Char"/>
    <w:basedOn w:val="1"/>
    <w:qFormat/>
    <w:uiPriority w:val="0"/>
    <w:rPr>
      <w:rFonts w:ascii="Tahoma" w:hAnsi="Tahoma"/>
      <w:sz w:val="24"/>
      <w:szCs w:val="20"/>
    </w:rPr>
  </w:style>
  <w:style w:type="paragraph" w:customStyle="1" w:styleId="1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3">
    <w:name w:val="Char Char Char1 Char"/>
    <w:basedOn w:val="1"/>
    <w:qFormat/>
    <w:uiPriority w:val="0"/>
    <w:rPr>
      <w:rFonts w:ascii="Tahoma" w:hAnsi="Tahoma"/>
      <w:sz w:val="24"/>
      <w:szCs w:val="20"/>
    </w:rPr>
  </w:style>
  <w:style w:type="paragraph" w:customStyle="1" w:styleId="1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95">
    <w:name w:val="列出段落1"/>
    <w:basedOn w:val="1"/>
    <w:qFormat/>
    <w:uiPriority w:val="34"/>
    <w:pPr>
      <w:ind w:firstLine="420" w:firstLineChars="200"/>
    </w:pPr>
    <w:rPr>
      <w:rFonts w:ascii="Calibri" w:hAnsi="Calibri"/>
      <w:szCs w:val="22"/>
    </w:rPr>
  </w:style>
  <w:style w:type="paragraph" w:customStyle="1" w:styleId="196">
    <w:name w:val="样式2"/>
    <w:basedOn w:val="48"/>
    <w:qFormat/>
    <w:uiPriority w:val="0"/>
    <w:pPr>
      <w:spacing w:line="360" w:lineRule="auto"/>
      <w:jc w:val="center"/>
    </w:pPr>
    <w:rPr>
      <w:sz w:val="24"/>
    </w:rPr>
  </w:style>
  <w:style w:type="paragraph" w:customStyle="1" w:styleId="197">
    <w:name w:val="正文文本样式 加粗"/>
    <w:basedOn w:val="198"/>
    <w:qFormat/>
    <w:uiPriority w:val="0"/>
    <w:rPr>
      <w:b/>
    </w:rPr>
  </w:style>
  <w:style w:type="paragraph" w:customStyle="1" w:styleId="198">
    <w:name w:val="正文文本样式"/>
    <w:basedOn w:val="1"/>
    <w:qFormat/>
    <w:uiPriority w:val="0"/>
    <w:pPr>
      <w:spacing w:line="360" w:lineRule="auto"/>
      <w:ind w:firstLine="482"/>
    </w:pPr>
    <w:rPr>
      <w:rFonts w:cs="宋体"/>
      <w:sz w:val="24"/>
      <w:szCs w:val="20"/>
    </w:rPr>
  </w:style>
  <w:style w:type="paragraph" w:customStyle="1" w:styleId="1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0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0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7">
    <w:name w:val="Char Char Char2"/>
    <w:basedOn w:val="1"/>
    <w:qFormat/>
    <w:uiPriority w:val="0"/>
    <w:rPr>
      <w:rFonts w:ascii="Tahoma" w:hAnsi="Tahoma"/>
      <w:sz w:val="24"/>
      <w:szCs w:val="20"/>
    </w:rPr>
  </w:style>
  <w:style w:type="paragraph" w:customStyle="1" w:styleId="208">
    <w:name w:val="Char21"/>
    <w:basedOn w:val="1"/>
    <w:qFormat/>
    <w:uiPriority w:val="0"/>
    <w:rPr>
      <w:rFonts w:ascii="Tahoma" w:hAnsi="Tahoma"/>
      <w:sz w:val="24"/>
      <w:szCs w:val="20"/>
    </w:rPr>
  </w:style>
  <w:style w:type="paragraph" w:customStyle="1" w:styleId="209">
    <w:name w:val="正文 + 楷体_GB2312"/>
    <w:basedOn w:val="1"/>
    <w:qFormat/>
    <w:uiPriority w:val="0"/>
    <w:pPr>
      <w:widowControl/>
      <w:jc w:val="left"/>
    </w:pPr>
    <w:rPr>
      <w:rFonts w:ascii="楷体_GB2312" w:eastAsia="楷体_GB2312" w:cs="Arial"/>
      <w:kern w:val="0"/>
      <w:sz w:val="24"/>
    </w:rPr>
  </w:style>
  <w:style w:type="paragraph" w:customStyle="1" w:styleId="21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12">
    <w:name w:val="Char Char Char"/>
    <w:basedOn w:val="1"/>
    <w:qFormat/>
    <w:uiPriority w:val="0"/>
    <w:rPr>
      <w:rFonts w:ascii="Tahoma" w:hAnsi="Tahoma"/>
      <w:sz w:val="24"/>
      <w:szCs w:val="20"/>
    </w:rPr>
  </w:style>
  <w:style w:type="paragraph" w:customStyle="1" w:styleId="213">
    <w:name w:val="修订1"/>
    <w:qFormat/>
    <w:uiPriority w:val="99"/>
    <w:rPr>
      <w:rFonts w:ascii="Times New Roman" w:hAnsi="Times New Roman" w:eastAsia="宋体" w:cs="Times New Roman"/>
      <w:kern w:val="2"/>
      <w:sz w:val="21"/>
      <w:szCs w:val="24"/>
      <w:lang w:val="en-US" w:eastAsia="zh-CN" w:bidi="ar-SA"/>
    </w:rPr>
  </w:style>
  <w:style w:type="paragraph" w:customStyle="1" w:styleId="214">
    <w:name w:val="正文须知-2级"/>
    <w:basedOn w:val="1"/>
    <w:qFormat/>
    <w:uiPriority w:val="0"/>
    <w:pPr>
      <w:numPr>
        <w:ilvl w:val="1"/>
        <w:numId w:val="4"/>
      </w:numPr>
      <w:adjustRightInd w:val="0"/>
      <w:snapToGrid w:val="0"/>
      <w:spacing w:line="300" w:lineRule="auto"/>
    </w:pPr>
    <w:rPr>
      <w:rFonts w:ascii="宋体" w:hAnsi="Calibri"/>
      <w:sz w:val="24"/>
      <w:szCs w:val="21"/>
    </w:rPr>
  </w:style>
  <w:style w:type="paragraph" w:customStyle="1" w:styleId="215">
    <w:name w:val="Char2 Char Char Char Char Char Char"/>
    <w:basedOn w:val="1"/>
    <w:qFormat/>
    <w:uiPriority w:val="0"/>
    <w:pPr>
      <w:widowControl/>
      <w:spacing w:line="400" w:lineRule="exact"/>
      <w:jc w:val="center"/>
    </w:pPr>
  </w:style>
  <w:style w:type="paragraph" w:customStyle="1" w:styleId="216">
    <w:name w:val="正文须知-3级"/>
    <w:basedOn w:val="1"/>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217">
    <w:name w:val="字元 字元1"/>
    <w:basedOn w:val="1"/>
    <w:qFormat/>
    <w:uiPriority w:val="0"/>
    <w:rPr>
      <w:rFonts w:ascii="Tahoma" w:hAnsi="Tahoma"/>
      <w:sz w:val="24"/>
      <w:szCs w:val="20"/>
    </w:rPr>
  </w:style>
  <w:style w:type="paragraph" w:customStyle="1" w:styleId="2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1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Char3"/>
    <w:basedOn w:val="1"/>
    <w:qFormat/>
    <w:uiPriority w:val="0"/>
    <w:pPr>
      <w:tabs>
        <w:tab w:val="left" w:pos="360"/>
      </w:tabs>
    </w:pPr>
    <w:rPr>
      <w:sz w:val="24"/>
    </w:rPr>
  </w:style>
  <w:style w:type="paragraph" w:customStyle="1" w:styleId="22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4">
    <w:name w:val="1名"/>
    <w:basedOn w:val="1"/>
    <w:qFormat/>
    <w:uiPriority w:val="0"/>
    <w:pPr>
      <w:numPr>
        <w:ilvl w:val="0"/>
        <w:numId w:val="5"/>
      </w:numPr>
      <w:spacing w:before="120"/>
    </w:pPr>
    <w:rPr>
      <w:rFonts w:ascii="宋体"/>
      <w:sz w:val="28"/>
      <w:szCs w:val="20"/>
    </w:rPr>
  </w:style>
  <w:style w:type="paragraph" w:customStyle="1" w:styleId="225">
    <w:name w:val="Char"/>
    <w:basedOn w:val="1"/>
    <w:qFormat/>
    <w:uiPriority w:val="0"/>
    <w:pPr>
      <w:tabs>
        <w:tab w:val="left" w:pos="360"/>
      </w:tabs>
    </w:pPr>
    <w:rPr>
      <w:sz w:val="24"/>
    </w:rPr>
  </w:style>
  <w:style w:type="paragraph" w:styleId="2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1">
    <w:name w:val="列出段落2"/>
    <w:basedOn w:val="1"/>
    <w:qFormat/>
    <w:uiPriority w:val="0"/>
    <w:pPr>
      <w:ind w:firstLine="420" w:firstLineChars="200"/>
    </w:pPr>
    <w:rPr>
      <w:rFonts w:ascii="Calibri" w:hAnsi="Calibri"/>
      <w:szCs w:val="22"/>
    </w:rPr>
  </w:style>
  <w:style w:type="paragraph" w:customStyle="1" w:styleId="232">
    <w:name w:val="Char Char Char Char Char Char Char Char Char Char1"/>
    <w:basedOn w:val="1"/>
    <w:qFormat/>
    <w:uiPriority w:val="0"/>
    <w:rPr>
      <w:rFonts w:ascii="宋体" w:hAnsi="宋体" w:cs="Courier New"/>
      <w:sz w:val="32"/>
      <w:szCs w:val="32"/>
    </w:rPr>
  </w:style>
  <w:style w:type="paragraph" w:customStyle="1" w:styleId="233">
    <w:name w:val="Char Char1"/>
    <w:basedOn w:val="15"/>
    <w:qFormat/>
    <w:uiPriority w:val="0"/>
    <w:rPr>
      <w:rFonts w:ascii="Tahoma" w:hAnsi="Tahoma"/>
      <w:sz w:val="24"/>
    </w:rPr>
  </w:style>
  <w:style w:type="paragraph" w:customStyle="1" w:styleId="234">
    <w:name w:val="Char Char Char1 Char1"/>
    <w:basedOn w:val="1"/>
    <w:qFormat/>
    <w:uiPriority w:val="0"/>
    <w:rPr>
      <w:rFonts w:ascii="Tahoma" w:hAnsi="Tahoma"/>
      <w:sz w:val="24"/>
      <w:szCs w:val="20"/>
    </w:rPr>
  </w:style>
  <w:style w:type="paragraph" w:customStyle="1" w:styleId="2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6">
    <w:name w:val="表格1"/>
    <w:basedOn w:val="1"/>
    <w:qFormat/>
    <w:uiPriority w:val="0"/>
    <w:pPr>
      <w:ind w:firstLine="480" w:firstLineChars="200"/>
      <w:jc w:val="center"/>
    </w:pPr>
    <w:rPr>
      <w:sz w:val="24"/>
      <w:szCs w:val="20"/>
    </w:rPr>
  </w:style>
  <w:style w:type="paragraph" w:customStyle="1" w:styleId="2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8">
    <w:name w:val="Char1 Char Char Char1"/>
    <w:basedOn w:val="1"/>
    <w:qFormat/>
    <w:uiPriority w:val="0"/>
    <w:rPr>
      <w:rFonts w:ascii="Tahoma" w:hAnsi="Tahoma" w:cs="仿宋_GB2312"/>
      <w:sz w:val="24"/>
      <w:szCs w:val="28"/>
    </w:rPr>
  </w:style>
  <w:style w:type="paragraph" w:customStyle="1" w:styleId="23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40">
    <w:name w:val="样式 标题 2 + 宋体 五号 行距: 单倍行距"/>
    <w:basedOn w:val="2"/>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2">
    <w:name w:val="项目符号1"/>
    <w:basedOn w:val="198"/>
    <w:qFormat/>
    <w:uiPriority w:val="0"/>
    <w:pPr>
      <w:ind w:left="-25" w:firstLine="0"/>
    </w:pPr>
  </w:style>
  <w:style w:type="paragraph" w:customStyle="1" w:styleId="2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44">
    <w:name w:val="_Style 160"/>
    <w:qFormat/>
    <w:uiPriority w:val="0"/>
    <w:rPr>
      <w:rFonts w:ascii="Times New Roman" w:hAnsi="Times New Roman" w:eastAsia="宋体" w:cs="Times New Roman"/>
      <w:kern w:val="2"/>
      <w:sz w:val="21"/>
      <w:szCs w:val="24"/>
      <w:lang w:val="en-US" w:eastAsia="zh-CN" w:bidi="ar-SA"/>
    </w:rPr>
  </w:style>
  <w:style w:type="paragraph" w:customStyle="1" w:styleId="245">
    <w:name w:val="Char3 Char Char Char2"/>
    <w:basedOn w:val="1"/>
    <w:qFormat/>
    <w:uiPriority w:val="0"/>
    <w:rPr>
      <w:rFonts w:ascii="Tahoma" w:hAnsi="Tahoma"/>
      <w:sz w:val="24"/>
      <w:szCs w:val="20"/>
    </w:rPr>
  </w:style>
  <w:style w:type="paragraph" w:customStyle="1" w:styleId="246">
    <w:name w:val="表格文字"/>
    <w:basedOn w:val="23"/>
    <w:qFormat/>
    <w:uiPriority w:val="0"/>
    <w:pPr>
      <w:spacing w:before="20" w:after="20" w:line="240" w:lineRule="auto"/>
      <w:ind w:firstLine="0"/>
    </w:pPr>
    <w:rPr>
      <w:rFonts w:ascii="Century Gothic" w:hAnsi="Century Gothic"/>
      <w:sz w:val="20"/>
      <w:szCs w:val="20"/>
    </w:rPr>
  </w:style>
  <w:style w:type="paragraph" w:customStyle="1" w:styleId="24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项目编号3"/>
    <w:basedOn w:val="198"/>
    <w:qFormat/>
    <w:uiPriority w:val="0"/>
    <w:pPr>
      <w:numPr>
        <w:ilvl w:val="0"/>
        <w:numId w:val="7"/>
      </w:numPr>
    </w:pPr>
  </w:style>
  <w:style w:type="paragraph" w:customStyle="1" w:styleId="252">
    <w:name w:val="Char Char4"/>
    <w:basedOn w:val="1"/>
    <w:qFormat/>
    <w:uiPriority w:val="0"/>
    <w:pPr>
      <w:widowControl/>
      <w:spacing w:line="400" w:lineRule="exact"/>
      <w:jc w:val="center"/>
    </w:pPr>
  </w:style>
  <w:style w:type="paragraph" w:customStyle="1" w:styleId="2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55">
    <w:name w:val="标题1-附件"/>
    <w:basedOn w:val="3"/>
    <w:qFormat/>
    <w:uiPriority w:val="0"/>
    <w:pPr>
      <w:jc w:val="left"/>
    </w:pPr>
    <w:rPr>
      <w:sz w:val="24"/>
      <w:szCs w:val="24"/>
    </w:rPr>
  </w:style>
  <w:style w:type="paragraph" w:customStyle="1" w:styleId="25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5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5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59">
    <w:name w:val="Char Char Char Char Char Char Char Char Char Char2"/>
    <w:basedOn w:val="1"/>
    <w:qFormat/>
    <w:uiPriority w:val="0"/>
    <w:rPr>
      <w:rFonts w:ascii="宋体" w:hAnsi="宋体" w:cs="Courier New"/>
      <w:sz w:val="32"/>
      <w:szCs w:val="32"/>
    </w:rPr>
  </w:style>
  <w:style w:type="paragraph" w:customStyle="1" w:styleId="26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1">
    <w:name w:val="Char Char Char1"/>
    <w:basedOn w:val="1"/>
    <w:qFormat/>
    <w:uiPriority w:val="0"/>
    <w:rPr>
      <w:rFonts w:ascii="Tahoma" w:hAnsi="Tahoma"/>
      <w:sz w:val="24"/>
      <w:szCs w:val="20"/>
    </w:rPr>
  </w:style>
  <w:style w:type="paragraph" w:customStyle="1" w:styleId="26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6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4">
    <w:name w:val="Char Char41"/>
    <w:basedOn w:val="1"/>
    <w:qFormat/>
    <w:uiPriority w:val="0"/>
    <w:pPr>
      <w:widowControl/>
      <w:spacing w:line="400" w:lineRule="exact"/>
      <w:jc w:val="center"/>
    </w:pPr>
  </w:style>
  <w:style w:type="paragraph" w:customStyle="1" w:styleId="26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6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67">
    <w:name w:val="正文须知-1级"/>
    <w:basedOn w:val="1"/>
    <w:next w:val="1"/>
    <w:qFormat/>
    <w:uiPriority w:val="0"/>
    <w:pPr>
      <w:numPr>
        <w:ilvl w:val="0"/>
        <w:numId w:val="4"/>
      </w:numPr>
      <w:adjustRightInd w:val="0"/>
      <w:snapToGrid w:val="0"/>
      <w:spacing w:line="300" w:lineRule="auto"/>
    </w:pPr>
    <w:rPr>
      <w:rFonts w:ascii="宋体" w:hAnsi="Calibri"/>
      <w:sz w:val="24"/>
      <w:szCs w:val="21"/>
    </w:rPr>
  </w:style>
  <w:style w:type="paragraph" w:customStyle="1" w:styleId="268">
    <w:name w:val="Char22"/>
    <w:basedOn w:val="1"/>
    <w:qFormat/>
    <w:uiPriority w:val="0"/>
    <w:rPr>
      <w:rFonts w:ascii="Tahoma" w:hAnsi="Tahoma"/>
      <w:sz w:val="24"/>
      <w:szCs w:val="20"/>
    </w:rPr>
  </w:style>
  <w:style w:type="table" w:customStyle="1" w:styleId="269">
    <w:name w:val="Table Normal"/>
    <w:unhideWhenUsed/>
    <w:qFormat/>
    <w:uiPriority w:val="2"/>
    <w:pPr>
      <w:widowControl w:val="0"/>
      <w:autoSpaceDE w:val="0"/>
      <w:autoSpaceDN w:val="0"/>
    </w:pPr>
    <w:rPr>
      <w:sz w:val="22"/>
      <w:szCs w:val="22"/>
      <w:lang w:eastAsia="en-US"/>
    </w:rPr>
    <w:tblPr>
      <w:tblLayout w:type="fixed"/>
      <w:tblCellMar>
        <w:top w:w="0" w:type="dxa"/>
        <w:left w:w="0" w:type="dxa"/>
        <w:bottom w:w="0" w:type="dxa"/>
        <w:right w:w="0" w:type="dxa"/>
      </w:tblCellMar>
    </w:tblPr>
  </w:style>
  <w:style w:type="paragraph" w:customStyle="1" w:styleId="270">
    <w:name w:val="样式 标题 1 + 四号 居中 段前: 12 磅 段后: 12 磅 行距: 单倍行距"/>
    <w:basedOn w:val="3"/>
    <w:qFormat/>
    <w:uiPriority w:val="0"/>
    <w:pPr>
      <w:spacing w:after="240" w:line="240" w:lineRule="auto"/>
      <w:ind w:left="-288"/>
    </w:pPr>
    <w:rPr>
      <w:rFonts w:cs="宋体"/>
      <w:sz w:val="28"/>
    </w:rPr>
  </w:style>
  <w:style w:type="table" w:customStyle="1" w:styleId="271">
    <w:name w:val="网格型1"/>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2">
    <w:name w:val="网格型2"/>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3">
    <w:name w:val="网格型3"/>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4">
    <w:name w:val="网格型4"/>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5">
    <w:name w:val="网格型5"/>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6">
    <w:name w:val="网格型6"/>
    <w:basedOn w:val="5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7">
    <w:name w:val="网格型7"/>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78">
    <w:name w:val="修订2"/>
    <w:hidden/>
    <w:qFormat/>
    <w:uiPriority w:val="99"/>
    <w:rPr>
      <w:rFonts w:ascii="Times New Roman" w:hAnsi="Times New Roman" w:eastAsia="宋体" w:cs="Times New Roman"/>
      <w:kern w:val="2"/>
      <w:sz w:val="21"/>
      <w:szCs w:val="24"/>
      <w:lang w:val="en-US" w:eastAsia="zh-CN" w:bidi="ar-SA"/>
    </w:rPr>
  </w:style>
  <w:style w:type="paragraph" w:customStyle="1" w:styleId="279">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character" w:customStyle="1" w:styleId="280">
    <w:name w:val="正文首行缩进 字符"/>
    <w:basedOn w:val="142"/>
    <w:link w:val="51"/>
    <w:qFormat/>
    <w:uiPriority w:val="0"/>
    <w:rPr>
      <w:rFonts w:ascii="Times New Roman" w:hAnsi="Times New Roman"/>
      <w:kern w:val="2"/>
      <w:sz w:val="21"/>
      <w:szCs w:val="24"/>
    </w:rPr>
  </w:style>
  <w:style w:type="character" w:customStyle="1" w:styleId="281">
    <w:name w:val="font21"/>
    <w:qFormat/>
    <w:uiPriority w:val="0"/>
    <w:rPr>
      <w:rFonts w:hint="default" w:ascii="Calibri" w:hAnsi="Calibri" w:cs="Calibri"/>
      <w:color w:val="000000"/>
      <w:sz w:val="21"/>
      <w:szCs w:val="21"/>
      <w:u w:val="none"/>
    </w:rPr>
  </w:style>
  <w:style w:type="paragraph" w:customStyle="1" w:styleId="28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列出段落11"/>
    <w:basedOn w:val="1"/>
    <w:qFormat/>
    <w:uiPriority w:val="34"/>
    <w:pPr>
      <w:ind w:firstLine="420" w:firstLineChars="200"/>
    </w:pPr>
    <w:rPr>
      <w:rFonts w:ascii="Calibri" w:hAnsi="Calibri"/>
      <w:szCs w:val="22"/>
    </w:rPr>
  </w:style>
  <w:style w:type="paragraph" w:customStyle="1" w:styleId="284">
    <w:name w:val="引言二级条标题"/>
    <w:basedOn w:val="1"/>
    <w:next w:val="1"/>
    <w:qFormat/>
    <w:uiPriority w:val="0"/>
    <w:pPr>
      <w:tabs>
        <w:tab w:val="left" w:pos="1140"/>
      </w:tabs>
      <w:ind w:firstLine="360"/>
    </w:pPr>
    <w:rPr>
      <w:rFonts w:ascii="Calibri" w:hAnsi="Calibri" w:eastAsia="黑体"/>
      <w:b/>
      <w:bCs/>
      <w:sz w:val="22"/>
      <w:szCs w:val="21"/>
      <w:lang w:bidi="en-US"/>
    </w:rPr>
  </w:style>
  <w:style w:type="paragraph" w:customStyle="1" w:styleId="285">
    <w:name w:val="_Style 7"/>
    <w:basedOn w:val="1"/>
    <w:next w:val="195"/>
    <w:qFormat/>
    <w:uiPriority w:val="34"/>
    <w:pPr>
      <w:spacing w:line="360" w:lineRule="auto"/>
      <w:ind w:firstLine="420" w:firstLineChars="200"/>
    </w:pPr>
  </w:style>
  <w:style w:type="paragraph" w:customStyle="1" w:styleId="28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7">
    <w:name w:val="样式 样式 样式 四号 行距: 1.5 倍行距 + 首行缩进:  2 字符 + (西文) 宋体 (中文) 仿宋_GB2312..."/>
    <w:basedOn w:val="1"/>
    <w:qFormat/>
    <w:uiPriority w:val="0"/>
    <w:pPr>
      <w:spacing w:line="500" w:lineRule="atLeast"/>
      <w:ind w:firstLine="560" w:firstLineChars="200"/>
    </w:pPr>
    <w:rPr>
      <w:rFonts w:ascii="Calibri" w:hAnsi="Calibri"/>
      <w:sz w:val="28"/>
      <w:lang w:val="zh-CN"/>
    </w:rPr>
  </w:style>
  <w:style w:type="character" w:customStyle="1" w:styleId="288">
    <w:name w:val="ql-font-songti"/>
    <w:basedOn w:val="56"/>
    <w:qFormat/>
    <w:uiPriority w:val="0"/>
  </w:style>
  <w:style w:type="paragraph" w:customStyle="1" w:styleId="289">
    <w:name w:val="Table Text"/>
    <w:basedOn w:val="1"/>
    <w:semiHidden/>
    <w:qFormat/>
    <w:uiPriority w:val="0"/>
    <w:rPr>
      <w:rFonts w:ascii="黑体" w:hAnsi="黑体" w:eastAsia="黑体" w:cs="黑体"/>
      <w:sz w:val="18"/>
      <w:szCs w:val="18"/>
      <w:lang w:eastAsia="en-US"/>
    </w:rPr>
  </w:style>
  <w:style w:type="paragraph" w:customStyle="1" w:styleId="290">
    <w:name w:val="样式 样式 样式 样式 标题 2 + 宋体 五号 非加粗 黑色 + 段前: 6 磅 段后: 0 磅 行距: 单倍行距 + 段前:..."/>
    <w:basedOn w:val="1"/>
    <w:qFormat/>
    <w:uiPriority w:val="0"/>
    <w:pPr>
      <w:keepNext/>
      <w:keepLines/>
      <w:autoSpaceDE w:val="0"/>
      <w:autoSpaceDN w:val="0"/>
      <w:adjustRightInd w:val="0"/>
      <w:spacing w:before="240"/>
      <w:jc w:val="center"/>
      <w:outlineLvl w:val="1"/>
    </w:pPr>
    <w:rPr>
      <w:rFonts w:ascii="宋体" w:hAnsi="宋体"/>
      <w:b/>
      <w:bCs/>
      <w:color w:val="000000"/>
      <w:kern w:val="0"/>
      <w:szCs w:val="20"/>
    </w:rPr>
  </w:style>
  <w:style w:type="character" w:customStyle="1" w:styleId="291">
    <w:name w:val="称呼 字符"/>
    <w:basedOn w:val="56"/>
    <w:link w:val="18"/>
    <w:qFormat/>
    <w:uiPriority w:val="99"/>
    <w:rPr>
      <w:rFonts w:ascii="Times New Roman" w:hAnsi="Times New Roman"/>
      <w:kern w:val="2"/>
      <w:sz w:val="21"/>
      <w:szCs w:val="24"/>
    </w:rPr>
  </w:style>
  <w:style w:type="paragraph" w:customStyle="1" w:styleId="292">
    <w:name w:val="标书正文"/>
    <w:basedOn w:val="1"/>
    <w:qFormat/>
    <w:uiPriority w:val="0"/>
    <w:pPr>
      <w:suppressAutoHyphens/>
      <w:spacing w:line="360" w:lineRule="auto"/>
      <w:ind w:firstLine="200" w:firstLineChars="200"/>
    </w:pPr>
    <w:rPr>
      <w:rFonts w:ascii="Calibri" w:hAnsi="Calibri"/>
      <w:sz w:val="24"/>
    </w:rPr>
  </w:style>
  <w:style w:type="paragraph" w:customStyle="1" w:styleId="293">
    <w:name w:val="仿宋正文"/>
    <w:basedOn w:val="1"/>
    <w:qFormat/>
    <w:uiPriority w:val="0"/>
    <w:pPr>
      <w:adjustRightInd w:val="0"/>
      <w:spacing w:line="360" w:lineRule="auto"/>
      <w:ind w:firstLine="560" w:firstLineChars="200"/>
      <w:jc w:val="left"/>
      <w:textAlignment w:val="baseline"/>
    </w:pPr>
    <w:rPr>
      <w:rFonts w:ascii="仿宋" w:hAnsi="仿宋" w:eastAsia="仿宋" w:cs="仿宋"/>
      <w:kern w:val="0"/>
      <w:sz w:val="28"/>
      <w:szCs w:val="28"/>
    </w:rPr>
  </w:style>
  <w:style w:type="paragraph" w:customStyle="1" w:styleId="294">
    <w:name w:val="标准文件_段"/>
    <w:qFormat/>
    <w:uiPriority w:val="0"/>
    <w:pPr>
      <w:autoSpaceDE w:val="0"/>
      <w:autoSpaceDN w:val="0"/>
      <w:ind w:firstLine="200" w:firstLineChars="200"/>
      <w:jc w:val="both"/>
    </w:pPr>
    <w:rPr>
      <w:rFonts w:ascii="宋体" w:hAnsi="Times New Roman" w:eastAsia="宋体" w:cs="Times New Roman"/>
      <w:sz w:val="24"/>
      <w:lang w:val="en-US" w:eastAsia="zh-CN" w:bidi="ar-SA"/>
    </w:rPr>
  </w:style>
  <w:style w:type="paragraph" w:customStyle="1" w:styleId="295">
    <w:name w:val="_Style 289"/>
    <w:qFormat/>
    <w:uiPriority w:val="0"/>
    <w:rPr>
      <w:rFonts w:ascii="Times New Roman" w:hAnsi="Times New Roman" w:eastAsia="宋体" w:cs="Times New Roman"/>
      <w:kern w:val="2"/>
      <w:sz w:val="21"/>
      <w:szCs w:val="24"/>
      <w:lang w:val="en-US" w:eastAsia="zh-CN" w:bidi="ar-SA"/>
    </w:rPr>
  </w:style>
  <w:style w:type="character" w:customStyle="1" w:styleId="296">
    <w:name w:val="A2 Char"/>
    <w:link w:val="297"/>
    <w:qFormat/>
    <w:uiPriority w:val="0"/>
    <w:rPr>
      <w:rFonts w:ascii="Arial" w:hAnsi="Arial" w:eastAsia="黑体"/>
      <w:b/>
      <w:bCs/>
      <w:sz w:val="28"/>
      <w:szCs w:val="32"/>
      <w:lang w:val="zh-CN"/>
    </w:rPr>
  </w:style>
  <w:style w:type="paragraph" w:customStyle="1" w:styleId="297">
    <w:name w:val="A2"/>
    <w:basedOn w:val="2"/>
    <w:link w:val="296"/>
    <w:qFormat/>
    <w:uiPriority w:val="0"/>
    <w:pPr>
      <w:autoSpaceDE/>
      <w:autoSpaceDN/>
      <w:adjustRightInd/>
      <w:spacing w:before="260" w:after="260" w:line="360" w:lineRule="auto"/>
      <w:ind w:left="-25"/>
      <w:jc w:val="both"/>
    </w:pPr>
    <w:rPr>
      <w:bCs/>
      <w:sz w:val="28"/>
      <w:szCs w:val="32"/>
      <w:lang w:val="zh-CN"/>
    </w:rPr>
  </w:style>
  <w:style w:type="character" w:customStyle="1" w:styleId="298">
    <w:name w:val="正文首行缩进 2 Char"/>
    <w:qFormat/>
    <w:uiPriority w:val="0"/>
    <w:rPr>
      <w:rFonts w:eastAsia="宋体"/>
      <w:kern w:val="2"/>
      <w:sz w:val="24"/>
      <w:szCs w:val="24"/>
      <w:lang w:val="en-US" w:eastAsia="zh-CN" w:bidi="ar-SA"/>
    </w:rPr>
  </w:style>
  <w:style w:type="character" w:customStyle="1" w:styleId="299">
    <w:name w:val="正文文本缩进 3 Char"/>
    <w:qFormat/>
    <w:uiPriority w:val="0"/>
    <w:rPr>
      <w:rFonts w:ascii="宋体"/>
      <w:sz w:val="24"/>
    </w:rPr>
  </w:style>
  <w:style w:type="character" w:customStyle="1" w:styleId="300">
    <w:name w:val="标题 1 Char Char Char Char"/>
    <w:qFormat/>
    <w:uiPriority w:val="0"/>
    <w:rPr>
      <w:rFonts w:eastAsia="宋体"/>
      <w:b/>
      <w:bCs/>
      <w:kern w:val="44"/>
      <w:sz w:val="44"/>
      <w:szCs w:val="44"/>
      <w:lang w:val="en-US" w:eastAsia="zh-CN" w:bidi="ar-SA"/>
    </w:rPr>
  </w:style>
  <w:style w:type="character" w:customStyle="1" w:styleId="301">
    <w:name w:val="批注框文本 Char1"/>
    <w:semiHidden/>
    <w:uiPriority w:val="99"/>
    <w:rPr>
      <w:rFonts w:ascii="Times New Roman" w:hAnsi="Times New Roman" w:eastAsia="宋体" w:cs="Times New Roman"/>
      <w:sz w:val="18"/>
      <w:szCs w:val="18"/>
    </w:rPr>
  </w:style>
  <w:style w:type="character" w:customStyle="1" w:styleId="302">
    <w:name w:val="副标题 字符1"/>
    <w:link w:val="38"/>
    <w:qFormat/>
    <w:uiPriority w:val="0"/>
    <w:rPr>
      <w:rFonts w:ascii="Calibri Light" w:hAnsi="Calibri Light" w:cs="黑体"/>
      <w:b/>
      <w:bCs/>
      <w:kern w:val="28"/>
      <w:sz w:val="32"/>
      <w:szCs w:val="32"/>
    </w:rPr>
  </w:style>
  <w:style w:type="character" w:customStyle="1" w:styleId="303">
    <w:name w:val="日期 Char1"/>
    <w:qFormat/>
    <w:uiPriority w:val="99"/>
    <w:rPr>
      <w:rFonts w:ascii="Times New Roman" w:hAnsi="Times New Roman" w:eastAsia="宋体" w:cs="Times New Roman"/>
      <w:szCs w:val="24"/>
    </w:rPr>
  </w:style>
  <w:style w:type="character" w:customStyle="1" w:styleId="304">
    <w:name w:val="批注主题 Char1"/>
    <w:semiHidden/>
    <w:qFormat/>
    <w:uiPriority w:val="99"/>
    <w:rPr>
      <w:rFonts w:ascii="Times New Roman" w:hAnsi="Times New Roman" w:eastAsia="宋体" w:cs="Times New Roman"/>
      <w:b/>
      <w:bCs/>
      <w:szCs w:val="24"/>
    </w:rPr>
  </w:style>
  <w:style w:type="character" w:customStyle="1" w:styleId="305">
    <w:name w:val="正文文本缩进 2 Char"/>
    <w:qFormat/>
    <w:uiPriority w:val="0"/>
    <w:rPr>
      <w:rFonts w:ascii="仿宋_GB2312" w:eastAsia="仿宋_GB2312"/>
      <w:kern w:val="2"/>
      <w:sz w:val="24"/>
      <w:szCs w:val="24"/>
    </w:rPr>
  </w:style>
  <w:style w:type="character" w:customStyle="1" w:styleId="306">
    <w:name w:val="称呼 Char1"/>
    <w:qFormat/>
    <w:locked/>
    <w:uiPriority w:val="0"/>
    <w:rPr>
      <w:kern w:val="2"/>
      <w:sz w:val="24"/>
      <w:lang w:val="zh-CN"/>
    </w:rPr>
  </w:style>
  <w:style w:type="character" w:customStyle="1" w:styleId="307">
    <w:name w:val="apple-converted-space"/>
    <w:qFormat/>
    <w:uiPriority w:val="0"/>
    <w:rPr>
      <w:rFonts w:cs="Times New Roman"/>
    </w:rPr>
  </w:style>
  <w:style w:type="character" w:customStyle="1" w:styleId="308">
    <w:name w:val="正文文本缩进 字符1"/>
    <w:qFormat/>
    <w:uiPriority w:val="0"/>
    <w:rPr>
      <w:rFonts w:eastAsia="宋体"/>
      <w:sz w:val="24"/>
      <w:szCs w:val="24"/>
    </w:rPr>
  </w:style>
  <w:style w:type="character" w:customStyle="1" w:styleId="309">
    <w:name w:val="HTML 预设格式 Char1"/>
    <w:semiHidden/>
    <w:qFormat/>
    <w:uiPriority w:val="99"/>
    <w:rPr>
      <w:rFonts w:ascii="Courier New" w:hAnsi="Courier New" w:eastAsia="宋体" w:cs="Courier New"/>
      <w:sz w:val="20"/>
      <w:szCs w:val="20"/>
    </w:rPr>
  </w:style>
  <w:style w:type="character" w:customStyle="1" w:styleId="310">
    <w:name w:val="正文文本缩进 Char3"/>
    <w:semiHidden/>
    <w:qFormat/>
    <w:uiPriority w:val="99"/>
    <w:rPr>
      <w:rFonts w:ascii="Times New Roman" w:hAnsi="Times New Roman" w:eastAsia="宋体" w:cs="Times New Roman"/>
      <w:szCs w:val="24"/>
    </w:rPr>
  </w:style>
  <w:style w:type="character" w:customStyle="1" w:styleId="311">
    <w:name w:val="标题 4 Char"/>
    <w:qFormat/>
    <w:uiPriority w:val="0"/>
    <w:rPr>
      <w:sz w:val="24"/>
    </w:rPr>
  </w:style>
  <w:style w:type="character" w:customStyle="1" w:styleId="312">
    <w:name w:val="15"/>
    <w:qFormat/>
    <w:uiPriority w:val="0"/>
    <w:rPr>
      <w:rFonts w:hint="eastAsia" w:ascii="宋体" w:hAnsi="宋体" w:eastAsia="宋体"/>
      <w:color w:val="000000"/>
      <w:sz w:val="20"/>
      <w:szCs w:val="20"/>
    </w:rPr>
  </w:style>
  <w:style w:type="character" w:customStyle="1" w:styleId="313">
    <w:name w:val="标题 2 字符1"/>
    <w:qFormat/>
    <w:locked/>
    <w:uiPriority w:val="0"/>
    <w:rPr>
      <w:rFonts w:ascii="Arial" w:hAnsi="Arial" w:eastAsia="宋体" w:cs="Times New Roman"/>
      <w:b/>
      <w:bCs/>
      <w:sz w:val="28"/>
      <w:szCs w:val="32"/>
    </w:rPr>
  </w:style>
  <w:style w:type="character" w:customStyle="1" w:styleId="314">
    <w:name w:val="标题 3 Char1"/>
    <w:qFormat/>
    <w:uiPriority w:val="0"/>
    <w:rPr>
      <w:rFonts w:ascii="宋体" w:eastAsia="宋体"/>
      <w:b/>
      <w:sz w:val="24"/>
      <w:u w:val="single"/>
      <w:lang w:val="en-US" w:eastAsia="zh-CN" w:bidi="ar-SA"/>
    </w:rPr>
  </w:style>
  <w:style w:type="character" w:customStyle="1" w:styleId="315">
    <w:name w:val="样式 宋体 四号"/>
    <w:qFormat/>
    <w:uiPriority w:val="0"/>
    <w:rPr>
      <w:rFonts w:hint="eastAsia" w:ascii="宋体" w:hAnsi="宋体" w:eastAsia="仿宋_GB2312"/>
      <w:sz w:val="28"/>
    </w:rPr>
  </w:style>
  <w:style w:type="character" w:customStyle="1" w:styleId="316">
    <w:name w:val="标题 3 字符1"/>
    <w:qFormat/>
    <w:locked/>
    <w:uiPriority w:val="0"/>
    <w:rPr>
      <w:rFonts w:ascii="Times New Roman" w:hAnsi="Times New Roman" w:eastAsia="宋体" w:cs="Times New Roman"/>
      <w:b/>
      <w:bCs/>
      <w:sz w:val="32"/>
      <w:szCs w:val="32"/>
    </w:rPr>
  </w:style>
  <w:style w:type="character" w:customStyle="1" w:styleId="317">
    <w:name w:val="称呼 Char"/>
    <w:qFormat/>
    <w:uiPriority w:val="0"/>
    <w:rPr>
      <w:rFonts w:ascii="Times New Roman" w:hAnsi="Times New Roman" w:eastAsia="宋体" w:cs="Times New Roman"/>
      <w:szCs w:val="24"/>
    </w:rPr>
  </w:style>
  <w:style w:type="character" w:customStyle="1" w:styleId="318">
    <w:name w:val="标题 Char2"/>
    <w:qFormat/>
    <w:uiPriority w:val="10"/>
    <w:rPr>
      <w:rFonts w:ascii="Cambria" w:hAnsi="Cambria" w:eastAsia="宋体" w:cs="Times New Roman"/>
      <w:b/>
      <w:bCs/>
      <w:sz w:val="32"/>
      <w:szCs w:val="32"/>
    </w:rPr>
  </w:style>
  <w:style w:type="character" w:customStyle="1" w:styleId="319">
    <w:name w:val="正文文本 3 Char1"/>
    <w:semiHidden/>
    <w:qFormat/>
    <w:uiPriority w:val="99"/>
    <w:rPr>
      <w:rFonts w:ascii="Times New Roman" w:hAnsi="Times New Roman" w:eastAsia="宋体" w:cs="Times New Roman"/>
      <w:sz w:val="16"/>
      <w:szCs w:val="16"/>
    </w:rPr>
  </w:style>
  <w:style w:type="character" w:customStyle="1" w:styleId="320">
    <w:name w:val="middle1"/>
    <w:qFormat/>
    <w:uiPriority w:val="0"/>
    <w:rPr>
      <w:rFonts w:hint="default"/>
      <w:sz w:val="21"/>
      <w:szCs w:val="21"/>
    </w:rPr>
  </w:style>
  <w:style w:type="character" w:customStyle="1" w:styleId="321">
    <w:name w:val="cf21"/>
    <w:qFormat/>
    <w:uiPriority w:val="0"/>
    <w:rPr>
      <w:rFonts w:hint="eastAsia" w:ascii="Microsoft YaHei UI" w:hAnsi="Microsoft YaHei UI" w:eastAsia="Microsoft YaHei UI"/>
      <w:sz w:val="18"/>
      <w:szCs w:val="18"/>
      <w:shd w:val="clear" w:color="auto" w:fill="FFFFFF"/>
    </w:rPr>
  </w:style>
  <w:style w:type="character" w:customStyle="1" w:styleId="322">
    <w:name w:val="页眉 Char1"/>
    <w:qFormat/>
    <w:uiPriority w:val="0"/>
    <w:rPr>
      <w:rFonts w:eastAsia="宋体"/>
      <w:kern w:val="2"/>
      <w:sz w:val="18"/>
      <w:szCs w:val="18"/>
      <w:lang w:val="en-US" w:eastAsia="zh-CN" w:bidi="ar-SA"/>
    </w:rPr>
  </w:style>
  <w:style w:type="character" w:customStyle="1" w:styleId="323">
    <w:name w:val="日期 Char"/>
    <w:qFormat/>
    <w:uiPriority w:val="0"/>
    <w:rPr>
      <w:rFonts w:ascii="仿宋_GB2312" w:hAnsi="宋体" w:eastAsia="仿宋_GB2312"/>
      <w:color w:val="000000"/>
      <w:kern w:val="2"/>
      <w:sz w:val="24"/>
      <w:szCs w:val="24"/>
    </w:rPr>
  </w:style>
  <w:style w:type="character" w:customStyle="1" w:styleId="324">
    <w:name w:val="正文文本 3 Char"/>
    <w:qFormat/>
    <w:uiPriority w:val="0"/>
    <w:rPr>
      <w:kern w:val="2"/>
      <w:sz w:val="16"/>
      <w:szCs w:val="16"/>
    </w:rPr>
  </w:style>
  <w:style w:type="character" w:customStyle="1" w:styleId="325">
    <w:name w:val="cf11"/>
    <w:qFormat/>
    <w:uiPriority w:val="0"/>
    <w:rPr>
      <w:rFonts w:hint="eastAsia" w:ascii="Microsoft YaHei UI" w:hAnsi="Microsoft YaHei UI" w:eastAsia="Microsoft YaHei UI"/>
      <w:sz w:val="18"/>
      <w:szCs w:val="18"/>
    </w:rPr>
  </w:style>
  <w:style w:type="character" w:customStyle="1" w:styleId="326">
    <w:name w:val="文档结构图 Char"/>
    <w:qFormat/>
    <w:uiPriority w:val="0"/>
    <w:rPr>
      <w:kern w:val="2"/>
      <w:sz w:val="21"/>
      <w:szCs w:val="24"/>
      <w:shd w:val="clear" w:color="auto" w:fill="000080"/>
    </w:rPr>
  </w:style>
  <w:style w:type="character" w:customStyle="1" w:styleId="327">
    <w:name w:val="Char Char Char Char Char"/>
    <w:qFormat/>
    <w:uiPriority w:val="0"/>
    <w:rPr>
      <w:rFonts w:hint="eastAsia" w:ascii="宋体" w:hAnsi="宋体" w:eastAsia="宋体"/>
      <w:kern w:val="2"/>
      <w:sz w:val="24"/>
      <w:szCs w:val="24"/>
      <w:lang w:val="en-US" w:eastAsia="zh-CN" w:bidi="ar-SA"/>
    </w:rPr>
  </w:style>
  <w:style w:type="character" w:customStyle="1" w:styleId="328">
    <w:name w:val="正文文本 2 字符1"/>
    <w:link w:val="45"/>
    <w:qFormat/>
    <w:uiPriority w:val="0"/>
    <w:rPr>
      <w:rFonts w:ascii="幼圆" w:eastAsia="幼圆"/>
      <w:kern w:val="2"/>
      <w:sz w:val="24"/>
      <w:szCs w:val="24"/>
    </w:rPr>
  </w:style>
  <w:style w:type="character" w:customStyle="1" w:styleId="329">
    <w:name w:val="批注框文本 Char"/>
    <w:qFormat/>
    <w:uiPriority w:val="0"/>
    <w:rPr>
      <w:kern w:val="2"/>
      <w:sz w:val="18"/>
      <w:szCs w:val="18"/>
    </w:rPr>
  </w:style>
  <w:style w:type="character" w:customStyle="1" w:styleId="330">
    <w:name w:val="Para head"/>
    <w:qFormat/>
    <w:uiPriority w:val="0"/>
    <w:rPr>
      <w:rFonts w:hint="default" w:ascii="Arial" w:hAnsi="Arial" w:eastAsia="Times New Roman" w:cs="Arial"/>
      <w:sz w:val="20"/>
    </w:rPr>
  </w:style>
  <w:style w:type="character" w:customStyle="1" w:styleId="331">
    <w:name w:val="标题 1 字符1"/>
    <w:qFormat/>
    <w:locked/>
    <w:uiPriority w:val="0"/>
    <w:rPr>
      <w:rFonts w:ascii="Times New Roman" w:hAnsi="Times New Roman" w:eastAsia="宋体" w:cs="Times New Roman"/>
      <w:b/>
      <w:bCs/>
      <w:sz w:val="28"/>
      <w:szCs w:val="44"/>
    </w:rPr>
  </w:style>
  <w:style w:type="character" w:customStyle="1" w:styleId="332">
    <w:name w:val="纯文本 Char2"/>
    <w:semiHidden/>
    <w:uiPriority w:val="99"/>
    <w:rPr>
      <w:rFonts w:ascii="宋体" w:hAnsi="Courier New" w:eastAsia="宋体" w:cs="Courier New"/>
      <w:szCs w:val="21"/>
    </w:rPr>
  </w:style>
  <w:style w:type="character" w:customStyle="1" w:styleId="333">
    <w:name w:val="副标题 Char2"/>
    <w:qFormat/>
    <w:uiPriority w:val="11"/>
    <w:rPr>
      <w:rFonts w:ascii="Cambria" w:hAnsi="Cambria" w:eastAsia="宋体" w:cs="黑体"/>
      <w:b/>
      <w:bCs/>
      <w:kern w:val="28"/>
      <w:sz w:val="32"/>
      <w:szCs w:val="32"/>
    </w:rPr>
  </w:style>
  <w:style w:type="character" w:customStyle="1" w:styleId="334">
    <w:name w:val="副标题 Char1"/>
    <w:qFormat/>
    <w:uiPriority w:val="0"/>
    <w:rPr>
      <w:rFonts w:ascii="Calibri Light" w:hAnsi="Calibri Light" w:eastAsia="宋体" w:cs="Times New Roman"/>
      <w:b/>
      <w:bCs/>
      <w:kern w:val="28"/>
      <w:sz w:val="32"/>
      <w:szCs w:val="32"/>
    </w:rPr>
  </w:style>
  <w:style w:type="character" w:customStyle="1" w:styleId="335">
    <w:name w:val="正文文本缩进 2 Char1"/>
    <w:qFormat/>
    <w:uiPriority w:val="0"/>
    <w:rPr>
      <w:rFonts w:ascii="Times New Roman" w:hAnsi="Times New Roman" w:eastAsia="宋体" w:cs="Times New Roman"/>
      <w:szCs w:val="24"/>
    </w:rPr>
  </w:style>
  <w:style w:type="character" w:customStyle="1" w:styleId="336">
    <w:name w:val="批注文字 字符2"/>
    <w:qFormat/>
    <w:uiPriority w:val="99"/>
    <w:rPr>
      <w:szCs w:val="24"/>
    </w:rPr>
  </w:style>
  <w:style w:type="character" w:customStyle="1" w:styleId="337">
    <w:name w:val="正文文本缩进 2 字符1"/>
    <w:qFormat/>
    <w:uiPriority w:val="0"/>
    <w:rPr>
      <w:rFonts w:ascii="仿宋_GB2312" w:eastAsia="仿宋_GB2312"/>
      <w:sz w:val="24"/>
      <w:szCs w:val="24"/>
    </w:rPr>
  </w:style>
  <w:style w:type="character" w:customStyle="1" w:styleId="338">
    <w:name w:val="批注主题 字符1"/>
    <w:qFormat/>
    <w:uiPriority w:val="0"/>
    <w:rPr>
      <w:rFonts w:ascii="Times New Roman" w:hAnsi="Times New Roman" w:eastAsia="宋体" w:cs="Times New Roman"/>
      <w:b/>
      <w:bCs/>
      <w:szCs w:val="24"/>
    </w:rPr>
  </w:style>
  <w:style w:type="character" w:customStyle="1" w:styleId="339">
    <w:name w:val="font41"/>
    <w:qFormat/>
    <w:uiPriority w:val="0"/>
    <w:rPr>
      <w:rFonts w:hint="eastAsia" w:ascii="宋体" w:hAnsi="宋体" w:eastAsia="宋体" w:cs="宋体"/>
      <w:color w:val="000000"/>
      <w:sz w:val="21"/>
      <w:szCs w:val="21"/>
      <w:u w:val="none"/>
    </w:rPr>
  </w:style>
  <w:style w:type="character" w:customStyle="1" w:styleId="340">
    <w:name w:val="列出段落 Char1"/>
    <w:qFormat/>
    <w:uiPriority w:val="34"/>
    <w:rPr>
      <w:rFonts w:ascii="Calibri" w:hAnsi="Calibri" w:eastAsia="宋体"/>
      <w:kern w:val="2"/>
      <w:sz w:val="21"/>
      <w:szCs w:val="22"/>
      <w:lang w:val="en-US" w:eastAsia="zh-CN" w:bidi="ar-SA"/>
    </w:rPr>
  </w:style>
  <w:style w:type="character" w:customStyle="1" w:styleId="341">
    <w:name w:val="正文文本缩进 3 字符1"/>
    <w:qFormat/>
    <w:uiPriority w:val="0"/>
    <w:rPr>
      <w:rFonts w:ascii="宋体"/>
      <w:sz w:val="24"/>
    </w:rPr>
  </w:style>
  <w:style w:type="character" w:customStyle="1" w:styleId="342">
    <w:name w:val="目录 1 字符"/>
    <w:link w:val="36"/>
    <w:qFormat/>
    <w:locked/>
    <w:uiPriority w:val="39"/>
    <w:rPr>
      <w:rFonts w:ascii="宋体" w:hAnsi="宋体"/>
      <w:b/>
      <w:kern w:val="2"/>
      <w:sz w:val="24"/>
      <w:szCs w:val="24"/>
    </w:rPr>
  </w:style>
  <w:style w:type="character" w:customStyle="1" w:styleId="343">
    <w:name w:val="标题 1 Char"/>
    <w:qFormat/>
    <w:uiPriority w:val="0"/>
    <w:rPr>
      <w:rFonts w:ascii="宋体"/>
      <w:b/>
      <w:kern w:val="44"/>
      <w:sz w:val="32"/>
    </w:rPr>
  </w:style>
  <w:style w:type="character" w:customStyle="1" w:styleId="344">
    <w:name w:val="批注文字 Char1"/>
    <w:qFormat/>
    <w:uiPriority w:val="99"/>
    <w:rPr>
      <w:kern w:val="2"/>
      <w:sz w:val="21"/>
      <w:szCs w:val="24"/>
    </w:rPr>
  </w:style>
  <w:style w:type="character" w:customStyle="1" w:styleId="345">
    <w:name w:val="页眉 字符1"/>
    <w:qFormat/>
    <w:uiPriority w:val="99"/>
    <w:rPr>
      <w:sz w:val="18"/>
      <w:szCs w:val="18"/>
    </w:rPr>
  </w:style>
  <w:style w:type="character" w:customStyle="1" w:styleId="346">
    <w:name w:val="标题 5 Char"/>
    <w:qFormat/>
    <w:uiPriority w:val="0"/>
    <w:rPr>
      <w:b/>
      <w:sz w:val="28"/>
    </w:rPr>
  </w:style>
  <w:style w:type="character" w:customStyle="1" w:styleId="347">
    <w:name w:val="批注文字 Char2"/>
    <w:semiHidden/>
    <w:qFormat/>
    <w:uiPriority w:val="99"/>
    <w:rPr>
      <w:rFonts w:ascii="Times New Roman" w:hAnsi="Times New Roman" w:eastAsia="宋体" w:cs="Times New Roman"/>
      <w:szCs w:val="24"/>
    </w:rPr>
  </w:style>
  <w:style w:type="character" w:customStyle="1" w:styleId="348">
    <w:name w:val="标题 7 Char"/>
    <w:qFormat/>
    <w:uiPriority w:val="0"/>
    <w:rPr>
      <w:b/>
      <w:sz w:val="24"/>
    </w:rPr>
  </w:style>
  <w:style w:type="character" w:customStyle="1" w:styleId="349">
    <w:name w:val="Title Char"/>
    <w:qFormat/>
    <w:locked/>
    <w:uiPriority w:val="99"/>
    <w:rPr>
      <w:rFonts w:ascii="Arial" w:hAnsi="Arial" w:cs="Arial"/>
      <w:b/>
      <w:bCs/>
      <w:sz w:val="32"/>
      <w:szCs w:val="32"/>
    </w:rPr>
  </w:style>
  <w:style w:type="character" w:customStyle="1" w:styleId="350">
    <w:name w:val="HTML 预设格式 Char"/>
    <w:qFormat/>
    <w:uiPriority w:val="0"/>
    <w:rPr>
      <w:rFonts w:ascii="宋体" w:hAnsi="宋体" w:cs="宋体"/>
      <w:sz w:val="24"/>
      <w:szCs w:val="24"/>
    </w:rPr>
  </w:style>
  <w:style w:type="character" w:customStyle="1" w:styleId="351">
    <w:name w:val="font51"/>
    <w:qFormat/>
    <w:uiPriority w:val="0"/>
    <w:rPr>
      <w:rFonts w:ascii="Arial" w:hAnsi="Arial" w:cs="Arial"/>
      <w:b/>
      <w:color w:val="000000"/>
      <w:sz w:val="21"/>
      <w:szCs w:val="21"/>
      <w:u w:val="none"/>
    </w:rPr>
  </w:style>
  <w:style w:type="character" w:customStyle="1" w:styleId="352">
    <w:name w:val="页脚 Char1"/>
    <w:qFormat/>
    <w:uiPriority w:val="99"/>
    <w:rPr>
      <w:rFonts w:ascii="宋体" w:eastAsia="宋体"/>
      <w:sz w:val="18"/>
      <w:lang w:val="en-US" w:eastAsia="zh-CN" w:bidi="ar-SA"/>
    </w:rPr>
  </w:style>
  <w:style w:type="character" w:customStyle="1" w:styleId="353">
    <w:name w:val="px_10"/>
    <w:qFormat/>
    <w:uiPriority w:val="0"/>
  </w:style>
  <w:style w:type="character" w:customStyle="1" w:styleId="354">
    <w:name w:val="标题 Char1"/>
    <w:qFormat/>
    <w:uiPriority w:val="0"/>
    <w:rPr>
      <w:b/>
      <w:kern w:val="2"/>
      <w:sz w:val="32"/>
    </w:rPr>
  </w:style>
  <w:style w:type="character" w:customStyle="1" w:styleId="355">
    <w:name w:val="目录 1 Char"/>
    <w:qFormat/>
    <w:uiPriority w:val="0"/>
    <w:rPr>
      <w:rFonts w:hint="eastAsia" w:ascii="华文新魏" w:eastAsia="华文新魏"/>
      <w:b/>
      <w:bCs/>
      <w:iCs/>
      <w:kern w:val="2"/>
      <w:sz w:val="48"/>
      <w:szCs w:val="48"/>
      <w:lang w:val="en-US" w:eastAsia="zh-CN" w:bidi="ar-SA"/>
    </w:rPr>
  </w:style>
  <w:style w:type="character" w:customStyle="1" w:styleId="356">
    <w:name w:val="批注框文本 字符1"/>
    <w:qFormat/>
    <w:locked/>
    <w:uiPriority w:val="99"/>
    <w:rPr>
      <w:rFonts w:ascii="Times New Roman" w:hAnsi="Times New Roman" w:eastAsia="宋体" w:cs="Times New Roman"/>
      <w:sz w:val="18"/>
      <w:szCs w:val="18"/>
      <w:lang w:val="zh-CN"/>
    </w:rPr>
  </w:style>
  <w:style w:type="character" w:customStyle="1" w:styleId="357">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358">
    <w:name w:val="标题 2 Char1"/>
    <w:qFormat/>
    <w:uiPriority w:val="0"/>
    <w:rPr>
      <w:rFonts w:ascii="Arial" w:hAnsi="Arial" w:eastAsia="黑体"/>
      <w:b/>
      <w:sz w:val="30"/>
      <w:lang w:val="en-US" w:eastAsia="zh-CN" w:bidi="ar-SA"/>
    </w:rPr>
  </w:style>
  <w:style w:type="character" w:customStyle="1" w:styleId="359">
    <w:name w:val="样式1 Char"/>
    <w:link w:val="360"/>
    <w:qFormat/>
    <w:uiPriority w:val="0"/>
    <w:rPr>
      <w:rFonts w:ascii="宋体" w:hAnsi="宋体"/>
      <w:b/>
      <w:sz w:val="24"/>
    </w:rPr>
  </w:style>
  <w:style w:type="paragraph" w:customStyle="1" w:styleId="360">
    <w:name w:val="样式1"/>
    <w:basedOn w:val="1"/>
    <w:link w:val="359"/>
    <w:qFormat/>
    <w:uiPriority w:val="0"/>
    <w:pPr>
      <w:spacing w:before="120" w:after="120" w:line="300" w:lineRule="auto"/>
    </w:pPr>
    <w:rPr>
      <w:rFonts w:ascii="宋体" w:hAnsi="宋体"/>
      <w:b/>
      <w:kern w:val="0"/>
      <w:sz w:val="24"/>
      <w:szCs w:val="20"/>
    </w:rPr>
  </w:style>
  <w:style w:type="character" w:customStyle="1" w:styleId="361">
    <w:name w:val="正文文本 Char1"/>
    <w:qFormat/>
    <w:uiPriority w:val="99"/>
    <w:rPr>
      <w:rFonts w:ascii="Times New Roman" w:hAnsi="Times New Roman" w:eastAsia="宋体" w:cs="Times New Roman"/>
      <w:szCs w:val="24"/>
    </w:rPr>
  </w:style>
  <w:style w:type="character" w:customStyle="1" w:styleId="362">
    <w:name w:val="A3 Char"/>
    <w:link w:val="363"/>
    <w:qFormat/>
    <w:uiPriority w:val="0"/>
    <w:rPr>
      <w:rFonts w:ascii="Cambria" w:hAnsi="Cambria"/>
      <w:b/>
      <w:bCs/>
      <w:sz w:val="24"/>
      <w:szCs w:val="32"/>
      <w:lang w:val="zh-CN"/>
    </w:rPr>
  </w:style>
  <w:style w:type="paragraph" w:customStyle="1" w:styleId="363">
    <w:name w:val="A3"/>
    <w:basedOn w:val="4"/>
    <w:link w:val="362"/>
    <w:qFormat/>
    <w:uiPriority w:val="0"/>
    <w:pPr>
      <w:widowControl/>
      <w:autoSpaceDE/>
      <w:autoSpaceDN/>
      <w:adjustRightInd/>
      <w:spacing w:before="260" w:after="260" w:line="360" w:lineRule="auto"/>
      <w:ind w:left="-25"/>
      <w:jc w:val="both"/>
    </w:pPr>
    <w:rPr>
      <w:rFonts w:ascii="Cambria" w:hAnsi="Cambria"/>
      <w:bCs/>
      <w:szCs w:val="32"/>
      <w:u w:val="none"/>
      <w:lang w:val="zh-CN"/>
    </w:rPr>
  </w:style>
  <w:style w:type="character" w:customStyle="1" w:styleId="364">
    <w:name w:val="样式 楷体_GB2312"/>
    <w:qFormat/>
    <w:uiPriority w:val="0"/>
    <w:rPr>
      <w:rFonts w:hint="eastAsia" w:ascii="楷体_GB2312" w:hAnsi="楷体_GB2312" w:eastAsia="楷体_GB2312"/>
    </w:rPr>
  </w:style>
  <w:style w:type="character" w:customStyle="1" w:styleId="365">
    <w:name w:val="cf01"/>
    <w:qFormat/>
    <w:uiPriority w:val="0"/>
    <w:rPr>
      <w:rFonts w:hint="eastAsia" w:ascii="Microsoft YaHei UI" w:hAnsi="Microsoft YaHei UI" w:eastAsia="Microsoft YaHei UI"/>
      <w:sz w:val="18"/>
      <w:szCs w:val="18"/>
    </w:rPr>
  </w:style>
  <w:style w:type="character" w:customStyle="1" w:styleId="366">
    <w:name w:val="标题 8 Char"/>
    <w:qFormat/>
    <w:uiPriority w:val="0"/>
    <w:rPr>
      <w:rFonts w:ascii="Arial" w:hAnsi="Arial" w:eastAsia="黑体"/>
      <w:sz w:val="24"/>
    </w:rPr>
  </w:style>
  <w:style w:type="character" w:customStyle="1" w:styleId="367">
    <w:name w:val="font81"/>
    <w:qFormat/>
    <w:uiPriority w:val="0"/>
    <w:rPr>
      <w:rFonts w:hint="eastAsia" w:ascii="宋体" w:hAnsi="宋体" w:eastAsia="宋体" w:cs="宋体"/>
      <w:color w:val="000000"/>
      <w:sz w:val="21"/>
      <w:szCs w:val="21"/>
      <w:u w:val="none"/>
    </w:rPr>
  </w:style>
  <w:style w:type="character" w:customStyle="1" w:styleId="368">
    <w:name w:val="页脚 字符1"/>
    <w:qFormat/>
    <w:uiPriority w:val="99"/>
    <w:rPr>
      <w:sz w:val="18"/>
      <w:szCs w:val="18"/>
    </w:rPr>
  </w:style>
  <w:style w:type="character" w:customStyle="1" w:styleId="369">
    <w:name w:val="Title Char1"/>
    <w:qFormat/>
    <w:locked/>
    <w:uiPriority w:val="10"/>
    <w:rPr>
      <w:rFonts w:ascii="Cambria" w:hAnsi="Cambria" w:cs="Cambria"/>
      <w:b/>
      <w:bCs/>
      <w:sz w:val="32"/>
      <w:szCs w:val="32"/>
    </w:rPr>
  </w:style>
  <w:style w:type="character" w:customStyle="1" w:styleId="370">
    <w:name w:val="文档结构图 字符1"/>
    <w:qFormat/>
    <w:uiPriority w:val="99"/>
    <w:rPr>
      <w:szCs w:val="24"/>
      <w:shd w:val="clear" w:color="auto" w:fill="000080"/>
    </w:rPr>
  </w:style>
  <w:style w:type="character" w:customStyle="1" w:styleId="371">
    <w:name w:val="标题 6 Char"/>
    <w:qFormat/>
    <w:uiPriority w:val="0"/>
    <w:rPr>
      <w:rFonts w:ascii="Arial" w:hAnsi="Arial" w:eastAsia="黑体"/>
      <w:b/>
      <w:sz w:val="24"/>
    </w:rPr>
  </w:style>
  <w:style w:type="character" w:customStyle="1" w:styleId="372">
    <w:name w:val="正文首行缩进 Char"/>
    <w:qFormat/>
    <w:uiPriority w:val="99"/>
    <w:rPr>
      <w:rFonts w:ascii="宋体" w:hAnsi="宋体" w:eastAsia="等线"/>
      <w:kern w:val="2"/>
      <w:sz w:val="24"/>
      <w:szCs w:val="24"/>
    </w:rPr>
  </w:style>
  <w:style w:type="character" w:customStyle="1" w:styleId="373">
    <w:name w:val="st1"/>
    <w:qFormat/>
    <w:uiPriority w:val="0"/>
  </w:style>
  <w:style w:type="character" w:customStyle="1" w:styleId="374">
    <w:name w:val="正文文本缩进 Char2"/>
    <w:qFormat/>
    <w:uiPriority w:val="0"/>
    <w:rPr>
      <w:rFonts w:eastAsia="宋体"/>
      <w:kern w:val="2"/>
      <w:sz w:val="24"/>
      <w:szCs w:val="24"/>
      <w:lang w:val="en-US" w:eastAsia="zh-CN" w:bidi="ar-SA"/>
    </w:rPr>
  </w:style>
  <w:style w:type="character" w:customStyle="1" w:styleId="375">
    <w:name w:val="正文文本 Char"/>
    <w:qFormat/>
    <w:uiPriority w:val="0"/>
    <w:rPr>
      <w:rFonts w:ascii="宋体" w:hAnsi="宋体"/>
      <w:kern w:val="2"/>
      <w:sz w:val="24"/>
      <w:szCs w:val="24"/>
    </w:rPr>
  </w:style>
  <w:style w:type="character" w:customStyle="1" w:styleId="376">
    <w:name w:val="日期 字符1"/>
    <w:qFormat/>
    <w:uiPriority w:val="0"/>
  </w:style>
  <w:style w:type="character" w:customStyle="1" w:styleId="377">
    <w:name w:val="纯文本 Char"/>
    <w:qFormat/>
    <w:uiPriority w:val="0"/>
    <w:rPr>
      <w:rFonts w:hint="eastAsia" w:ascii="宋体" w:hAnsi="Courier New" w:eastAsia="宋体" w:cs="宋体"/>
      <w:kern w:val="2"/>
      <w:sz w:val="21"/>
    </w:rPr>
  </w:style>
  <w:style w:type="character" w:customStyle="1" w:styleId="378">
    <w:name w:val="正文缩进 Char1"/>
    <w:qFormat/>
    <w:uiPriority w:val="0"/>
    <w:rPr>
      <w:rFonts w:ascii="宋体" w:eastAsia="宋体"/>
      <w:kern w:val="2"/>
      <w:sz w:val="24"/>
      <w:szCs w:val="24"/>
      <w:lang w:val="en-US" w:eastAsia="zh-CN" w:bidi="ar-SA"/>
    </w:rPr>
  </w:style>
  <w:style w:type="character" w:customStyle="1" w:styleId="379">
    <w:name w:val="正文首行缩进 2 Char1"/>
    <w:semiHidden/>
    <w:uiPriority w:val="99"/>
  </w:style>
  <w:style w:type="character" w:customStyle="1" w:styleId="380">
    <w:name w:val="正文文本缩进 3 Char1"/>
    <w:qFormat/>
    <w:uiPriority w:val="0"/>
    <w:rPr>
      <w:rFonts w:ascii="Times New Roman" w:hAnsi="Times New Roman" w:eastAsia="宋体" w:cs="Times New Roman"/>
      <w:sz w:val="16"/>
      <w:szCs w:val="16"/>
    </w:rPr>
  </w:style>
  <w:style w:type="character" w:customStyle="1" w:styleId="381">
    <w:name w:val="标题 9 Char"/>
    <w:qFormat/>
    <w:uiPriority w:val="0"/>
    <w:rPr>
      <w:rFonts w:ascii="Arial" w:hAnsi="Arial" w:eastAsia="黑体"/>
      <w:sz w:val="21"/>
    </w:rPr>
  </w:style>
  <w:style w:type="character" w:customStyle="1" w:styleId="382">
    <w:name w:val="文档结构图 Char1"/>
    <w:semiHidden/>
    <w:uiPriority w:val="99"/>
    <w:rPr>
      <w:rFonts w:ascii="宋体" w:hAnsi="Times New Roman" w:eastAsia="宋体" w:cs="Times New Roman"/>
      <w:sz w:val="18"/>
      <w:szCs w:val="18"/>
    </w:rPr>
  </w:style>
  <w:style w:type="character" w:customStyle="1" w:styleId="383">
    <w:name w:val="hui3"/>
    <w:qFormat/>
    <w:uiPriority w:val="0"/>
    <w:rPr>
      <w:color w:val="333333"/>
    </w:rPr>
  </w:style>
  <w:style w:type="character" w:customStyle="1" w:styleId="384">
    <w:name w:val="副标题 字符"/>
    <w:basedOn w:val="56"/>
    <w:uiPriority w:val="0"/>
    <w:rPr>
      <w:rFonts w:asciiTheme="minorHAnsi" w:hAnsiTheme="minorHAnsi" w:eastAsiaTheme="minorEastAsia" w:cstheme="minorBidi"/>
      <w:b/>
      <w:bCs/>
      <w:kern w:val="28"/>
      <w:sz w:val="32"/>
      <w:szCs w:val="32"/>
    </w:rPr>
  </w:style>
  <w:style w:type="character" w:customStyle="1" w:styleId="385">
    <w:name w:val="正文文本 2 字符"/>
    <w:basedOn w:val="56"/>
    <w:uiPriority w:val="0"/>
    <w:rPr>
      <w:rFonts w:ascii="Times New Roman" w:hAnsi="Times New Roman"/>
      <w:kern w:val="2"/>
      <w:sz w:val="21"/>
      <w:szCs w:val="24"/>
    </w:rPr>
  </w:style>
  <w:style w:type="paragraph" w:customStyle="1" w:styleId="386">
    <w:name w:val="xl8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387">
    <w:name w:val="xl87"/>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right"/>
    </w:pPr>
    <w:rPr>
      <w:rFonts w:ascii="宋体" w:hAnsi="宋体" w:cs="宋体"/>
      <w:kern w:val="0"/>
      <w:sz w:val="20"/>
      <w:szCs w:val="20"/>
    </w:rPr>
  </w:style>
  <w:style w:type="paragraph" w:customStyle="1" w:styleId="388">
    <w:name w:val="xl63"/>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389">
    <w:name w:val="列表段落1"/>
    <w:basedOn w:val="1"/>
    <w:qFormat/>
    <w:uiPriority w:val="34"/>
    <w:pPr>
      <w:ind w:firstLine="420" w:firstLineChars="200"/>
    </w:pPr>
  </w:style>
  <w:style w:type="paragraph" w:customStyle="1" w:styleId="390">
    <w:name w:val="目录文字"/>
    <w:basedOn w:val="1"/>
    <w:qFormat/>
    <w:uiPriority w:val="0"/>
    <w:pPr>
      <w:widowControl/>
      <w:spacing w:line="480" w:lineRule="auto"/>
      <w:jc w:val="left"/>
    </w:pPr>
    <w:rPr>
      <w:rFonts w:ascii="宋体" w:hAnsi="宋体"/>
      <w:kern w:val="0"/>
      <w:sz w:val="24"/>
      <w:szCs w:val="20"/>
    </w:rPr>
  </w:style>
  <w:style w:type="paragraph" w:customStyle="1" w:styleId="391">
    <w:name w:val="样式 标题 2 + 宋体 五号 非加粗 黑色"/>
    <w:basedOn w:val="2"/>
    <w:qFormat/>
    <w:uiPriority w:val="0"/>
    <w:pPr>
      <w:tabs>
        <w:tab w:val="left" w:pos="1140"/>
      </w:tabs>
      <w:autoSpaceDE/>
      <w:autoSpaceDN/>
      <w:spacing w:before="260" w:after="260" w:line="416" w:lineRule="atLeast"/>
      <w:ind w:left="1140" w:hanging="720"/>
      <w:jc w:val="left"/>
    </w:pPr>
    <w:rPr>
      <w:rFonts w:ascii="宋体" w:hAnsi="宋体" w:eastAsia="宋体"/>
      <w:b w:val="0"/>
      <w:color w:val="000000"/>
      <w:sz w:val="21"/>
      <w:szCs w:val="32"/>
    </w:rPr>
  </w:style>
  <w:style w:type="paragraph" w:customStyle="1" w:styleId="392">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3">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4">
    <w:name w:val="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96">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397">
    <w:name w:val="A4"/>
    <w:basedOn w:val="5"/>
    <w:qFormat/>
    <w:uiPriority w:val="0"/>
    <w:pPr>
      <w:widowControl/>
      <w:tabs>
        <w:tab w:val="left" w:pos="360"/>
      </w:tabs>
      <w:adjustRightInd/>
      <w:spacing w:line="360" w:lineRule="auto"/>
      <w:textAlignment w:val="auto"/>
    </w:pPr>
    <w:rPr>
      <w:rFonts w:ascii="Cambria" w:hAnsi="Cambria"/>
      <w:b/>
      <w:bCs/>
      <w:szCs w:val="28"/>
      <w:lang w:val="zh-CN" w:eastAsia="zh-CN"/>
    </w:rPr>
  </w:style>
  <w:style w:type="paragraph" w:customStyle="1" w:styleId="398">
    <w:name w:val="Char1 Char Char Char Char Char Char Char Char Char"/>
    <w:basedOn w:val="1"/>
    <w:qFormat/>
    <w:uiPriority w:val="0"/>
    <w:pPr>
      <w:adjustRightInd w:val="0"/>
      <w:spacing w:line="360" w:lineRule="auto"/>
    </w:pPr>
    <w:rPr>
      <w:kern w:val="0"/>
      <w:sz w:val="24"/>
      <w:szCs w:val="20"/>
    </w:rPr>
  </w:style>
  <w:style w:type="paragraph" w:customStyle="1" w:styleId="399">
    <w:name w:val="A5"/>
    <w:basedOn w:val="6"/>
    <w:qFormat/>
    <w:uiPriority w:val="0"/>
    <w:pPr>
      <w:widowControl/>
      <w:tabs>
        <w:tab w:val="left" w:pos="360"/>
      </w:tabs>
      <w:adjustRightInd/>
      <w:spacing w:line="360" w:lineRule="auto"/>
      <w:textAlignment w:val="auto"/>
    </w:pPr>
    <w:rPr>
      <w:rFonts w:ascii="Cambria" w:hAnsi="Cambria"/>
      <w:bCs/>
      <w:kern w:val="2"/>
      <w:sz w:val="24"/>
      <w:szCs w:val="28"/>
      <w:lang w:val="zh-CN" w:eastAsia="zh-CN"/>
    </w:rPr>
  </w:style>
  <w:style w:type="paragraph" w:customStyle="1" w:styleId="400">
    <w:name w:val="xl57"/>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01">
    <w:name w:val="font10"/>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402">
    <w:name w:val="xl108"/>
    <w:basedOn w:val="1"/>
    <w:qFormat/>
    <w:uiPriority w:val="99"/>
    <w:pPr>
      <w:widowControl/>
      <w:pBdr>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03">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4">
    <w:name w:val="xl70"/>
    <w:basedOn w:val="1"/>
    <w:qFormat/>
    <w:uiPriority w:val="99"/>
    <w:pPr>
      <w:widowControl/>
      <w:spacing w:before="100" w:beforeAutospacing="1" w:after="100" w:afterAutospacing="1"/>
      <w:jc w:val="left"/>
    </w:pPr>
    <w:rPr>
      <w:rFonts w:ascii="宋体" w:hAnsi="宋体" w:cs="宋体"/>
      <w:b/>
      <w:bCs/>
      <w:kern w:val="0"/>
      <w:sz w:val="18"/>
      <w:szCs w:val="18"/>
    </w:rPr>
  </w:style>
  <w:style w:type="paragraph" w:customStyle="1" w:styleId="405">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06">
    <w:name w:val="修订3"/>
    <w:qFormat/>
    <w:uiPriority w:val="0"/>
    <w:rPr>
      <w:rFonts w:ascii="Times New Roman" w:hAnsi="Times New Roman" w:eastAsia="宋体" w:cs="Times New Roman"/>
      <w:kern w:val="2"/>
      <w:sz w:val="21"/>
      <w:szCs w:val="24"/>
      <w:lang w:val="en-US" w:eastAsia="zh-CN" w:bidi="ar-SA"/>
    </w:rPr>
  </w:style>
  <w:style w:type="paragraph" w:customStyle="1" w:styleId="407">
    <w:name w:val="不缩进"/>
    <w:basedOn w:val="1"/>
    <w:qFormat/>
    <w:uiPriority w:val="0"/>
    <w:pPr>
      <w:spacing w:line="460" w:lineRule="atLeast"/>
      <w:ind w:right="100"/>
      <w:jc w:val="center"/>
    </w:pPr>
    <w:rPr>
      <w:sz w:val="24"/>
      <w:szCs w:val="20"/>
    </w:rPr>
  </w:style>
  <w:style w:type="paragraph" w:customStyle="1" w:styleId="408">
    <w:name w:val="t"/>
    <w:basedOn w:val="1"/>
    <w:qFormat/>
    <w:uiPriority w:val="0"/>
    <w:pPr>
      <w:widowControl/>
      <w:tabs>
        <w:tab w:val="left" w:pos="-1440"/>
        <w:tab w:val="left" w:pos="-720"/>
      </w:tabs>
      <w:suppressAutoHyphens/>
    </w:pPr>
    <w:rPr>
      <w:rFonts w:ascii="Arial" w:hAnsi="Arial" w:eastAsia="Times New Roman"/>
      <w:kern w:val="0"/>
      <w:sz w:val="20"/>
      <w:szCs w:val="20"/>
      <w:lang w:eastAsia="en-US"/>
    </w:rPr>
  </w:style>
  <w:style w:type="paragraph" w:customStyle="1" w:styleId="409">
    <w:name w:val="xl8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color w:val="000000"/>
      <w:kern w:val="0"/>
      <w:sz w:val="20"/>
      <w:szCs w:val="20"/>
    </w:rPr>
  </w:style>
  <w:style w:type="paragraph" w:customStyle="1" w:styleId="410">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11">
    <w:name w:val="xl8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2">
    <w:name w:val="xl75"/>
    <w:basedOn w:val="1"/>
    <w:qFormat/>
    <w:uiPriority w:val="99"/>
    <w:pPr>
      <w:widowControl/>
      <w:spacing w:before="100" w:beforeAutospacing="1" w:after="100" w:afterAutospacing="1"/>
      <w:jc w:val="center"/>
    </w:pPr>
    <w:rPr>
      <w:rFonts w:ascii="宋体" w:hAnsi="宋体" w:cs="宋体"/>
      <w:color w:val="FF0000"/>
      <w:kern w:val="0"/>
      <w:sz w:val="20"/>
      <w:szCs w:val="20"/>
    </w:rPr>
  </w:style>
  <w:style w:type="paragraph" w:customStyle="1" w:styleId="413">
    <w:name w:val="A6"/>
    <w:basedOn w:val="7"/>
    <w:qFormat/>
    <w:uiPriority w:val="0"/>
    <w:pPr>
      <w:widowControl/>
      <w:tabs>
        <w:tab w:val="left" w:pos="360"/>
      </w:tabs>
      <w:adjustRightInd/>
      <w:spacing w:line="300" w:lineRule="auto"/>
      <w:textAlignment w:val="auto"/>
    </w:pPr>
    <w:rPr>
      <w:rFonts w:ascii="Cambria" w:hAnsi="Cambria" w:eastAsia="宋体"/>
      <w:bCs/>
      <w:kern w:val="2"/>
      <w:szCs w:val="24"/>
      <w:lang w:val="zh-CN" w:eastAsia="zh-CN"/>
    </w:rPr>
  </w:style>
  <w:style w:type="paragraph" w:customStyle="1" w:styleId="414">
    <w:name w:val="xl105"/>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5">
    <w:name w:val="xl6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16">
    <w:name w:val="xl8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7">
    <w:name w:val="xl88"/>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8">
    <w:name w:val="xl109"/>
    <w:basedOn w:val="1"/>
    <w:qFormat/>
    <w:uiPriority w:val="99"/>
    <w:pPr>
      <w:widowControl/>
      <w:pBdr>
        <w:top w:val="single" w:color="auto" w:sz="4" w:space="0"/>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19">
    <w:name w:val="目录"/>
    <w:basedOn w:val="1"/>
    <w:qFormat/>
    <w:uiPriority w:val="0"/>
    <w:pPr>
      <w:widowControl/>
      <w:jc w:val="center"/>
    </w:pPr>
    <w:rPr>
      <w:rFonts w:ascii="宋体"/>
      <w:b/>
      <w:kern w:val="0"/>
      <w:sz w:val="36"/>
      <w:szCs w:val="20"/>
    </w:rPr>
  </w:style>
  <w:style w:type="paragraph" w:customStyle="1" w:styleId="420">
    <w:name w:val="xl112"/>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21">
    <w:name w:val="Char Char Char Char2 Char Char Char Char Char Char Char Char Char Char"/>
    <w:basedOn w:val="1"/>
    <w:qFormat/>
    <w:uiPriority w:val="0"/>
    <w:rPr>
      <w:rFonts w:ascii="仿宋_GB2312" w:eastAsia="仿宋_GB2312"/>
      <w:b/>
      <w:sz w:val="32"/>
      <w:szCs w:val="32"/>
    </w:rPr>
  </w:style>
  <w:style w:type="paragraph" w:customStyle="1" w:styleId="422">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olor w:val="000000"/>
      <w:kern w:val="0"/>
      <w:sz w:val="18"/>
      <w:szCs w:val="18"/>
    </w:rPr>
  </w:style>
  <w:style w:type="paragraph" w:customStyle="1" w:styleId="423">
    <w:name w:val="A7"/>
    <w:basedOn w:val="8"/>
    <w:next w:val="1"/>
    <w:qFormat/>
    <w:uiPriority w:val="0"/>
    <w:pPr>
      <w:widowControl/>
      <w:tabs>
        <w:tab w:val="left" w:pos="360"/>
        <w:tab w:val="left" w:pos="635"/>
      </w:tabs>
      <w:adjustRightInd/>
      <w:spacing w:line="300" w:lineRule="auto"/>
      <w:ind w:firstLine="400"/>
      <w:textAlignment w:val="auto"/>
    </w:pPr>
    <w:rPr>
      <w:rFonts w:ascii="Calibri" w:hAnsi="Calibri"/>
      <w:bCs/>
      <w:kern w:val="2"/>
      <w:szCs w:val="24"/>
      <w:lang w:val="zh-CN" w:eastAsia="zh-CN"/>
    </w:rPr>
  </w:style>
  <w:style w:type="paragraph" w:customStyle="1" w:styleId="424">
    <w:name w:val="_Style 284"/>
    <w:next w:val="1"/>
    <w:qFormat/>
    <w:uiPriority w:val="0"/>
    <w:pPr>
      <w:widowControl w:val="0"/>
      <w:adjustRightInd w:val="0"/>
      <w:spacing w:line="360" w:lineRule="atLeast"/>
    </w:pPr>
    <w:rPr>
      <w:rFonts w:ascii="Times New Roman" w:hAnsi="Times New Roman" w:eastAsia="宋体" w:cs="Times New Roman"/>
      <w:sz w:val="24"/>
      <w:szCs w:val="22"/>
      <w:lang w:val="en-US" w:eastAsia="zh-CN" w:bidi="ar-SA"/>
    </w:rPr>
  </w:style>
  <w:style w:type="paragraph" w:customStyle="1" w:styleId="425">
    <w:name w:val="列表段落3"/>
    <w:basedOn w:val="1"/>
    <w:qFormat/>
    <w:uiPriority w:val="0"/>
    <w:pPr>
      <w:ind w:firstLine="420" w:firstLineChars="200"/>
    </w:pPr>
    <w:rPr>
      <w:rFonts w:ascii="等线" w:hAnsi="等线"/>
      <w:szCs w:val="21"/>
    </w:rPr>
  </w:style>
  <w:style w:type="paragraph" w:customStyle="1" w:styleId="426">
    <w:name w:val="样式 Arial 左侧:  2 字符 行距: 固定值 29 磅"/>
    <w:basedOn w:val="1"/>
    <w:qFormat/>
    <w:uiPriority w:val="0"/>
    <w:pPr>
      <w:adjustRightInd w:val="0"/>
      <w:spacing w:line="580" w:lineRule="atLeast"/>
    </w:pPr>
    <w:rPr>
      <w:rFonts w:ascii="Arial" w:hAnsi="Arial"/>
      <w:kern w:val="0"/>
      <w:sz w:val="24"/>
      <w:szCs w:val="20"/>
    </w:rPr>
  </w:style>
  <w:style w:type="paragraph" w:customStyle="1" w:styleId="427">
    <w:name w:val="news"/>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428">
    <w:name w:val="样式 标题 3h3H3sect1.2.3 + 五号 段前: 6 磅 段后: 6 磅 行距: 单倍行距"/>
    <w:basedOn w:val="4"/>
    <w:qFormat/>
    <w:uiPriority w:val="0"/>
    <w:pPr>
      <w:tabs>
        <w:tab w:val="left" w:pos="1260"/>
      </w:tabs>
      <w:autoSpaceDE/>
      <w:autoSpaceDN/>
      <w:spacing w:before="120"/>
      <w:ind w:left="1260" w:hanging="420"/>
      <w:textAlignment w:val="baseline"/>
    </w:pPr>
    <w:rPr>
      <w:rFonts w:ascii="Calibri" w:hAnsi="Calibri"/>
      <w:sz w:val="21"/>
      <w:szCs w:val="22"/>
      <w:u w:val="none"/>
    </w:rPr>
  </w:style>
  <w:style w:type="paragraph" w:customStyle="1" w:styleId="42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30">
    <w:name w:val="样式 样式 样式 标题 2 + 宋体 五号 非加粗 黑色 + 段前: 6 磅 段后: 0 磅 行距: 单倍行距 + 段前: 12..."/>
    <w:basedOn w:val="431"/>
    <w:qFormat/>
    <w:uiPriority w:val="0"/>
    <w:pPr>
      <w:spacing w:before="240"/>
    </w:pPr>
  </w:style>
  <w:style w:type="paragraph" w:customStyle="1" w:styleId="431">
    <w:name w:val="样式 样式 标题 2 + 宋体 五号 非加粗 黑色 + 段前: 6 磅 段后: 0 磅 行距: 单倍行距"/>
    <w:basedOn w:val="391"/>
    <w:qFormat/>
    <w:uiPriority w:val="0"/>
    <w:pPr>
      <w:tabs>
        <w:tab w:val="clear" w:pos="1140"/>
      </w:tabs>
      <w:spacing w:before="120" w:after="0" w:line="240" w:lineRule="auto"/>
      <w:ind w:left="254"/>
      <w:textAlignment w:val="baseline"/>
    </w:pPr>
    <w:rPr>
      <w:rFonts w:cs="宋体"/>
      <w:szCs w:val="20"/>
    </w:rPr>
  </w:style>
  <w:style w:type="paragraph" w:customStyle="1" w:styleId="432">
    <w:name w:val="强调文字"/>
    <w:basedOn w:val="1"/>
    <w:qFormat/>
    <w:uiPriority w:val="0"/>
    <w:pPr>
      <w:spacing w:line="440" w:lineRule="exact"/>
      <w:ind w:firstLine="480" w:firstLineChars="200"/>
    </w:pPr>
    <w:rPr>
      <w:rFonts w:ascii="华文细黑" w:hAnsi="华文细黑" w:eastAsia="黑体" w:cs="Arial"/>
      <w:color w:val="800000"/>
      <w:kern w:val="0"/>
      <w:sz w:val="24"/>
      <w:szCs w:val="28"/>
    </w:rPr>
  </w:style>
  <w:style w:type="paragraph" w:customStyle="1" w:styleId="433">
    <w:name w:val="xl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34">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435">
    <w:name w:val="xl89"/>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36">
    <w:name w:val="列出段落3"/>
    <w:basedOn w:val="1"/>
    <w:unhideWhenUsed/>
    <w:qFormat/>
    <w:uiPriority w:val="99"/>
    <w:pPr>
      <w:ind w:firstLine="420" w:firstLineChars="200"/>
    </w:pPr>
    <w:rPr>
      <w:rFonts w:ascii="宋体" w:hAnsi="宋体"/>
    </w:rPr>
  </w:style>
  <w:style w:type="paragraph" w:customStyle="1" w:styleId="437">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438">
    <w:name w:val="xl97"/>
    <w:basedOn w:val="1"/>
    <w:qFormat/>
    <w:uiPriority w:val="99"/>
    <w:pPr>
      <w:widowControl/>
      <w:spacing w:before="100" w:beforeAutospacing="1" w:after="100" w:afterAutospacing="1"/>
      <w:jc w:val="center"/>
    </w:pPr>
    <w:rPr>
      <w:rFonts w:ascii="宋体" w:hAnsi="宋体" w:cs="宋体"/>
      <w:b/>
      <w:bCs/>
      <w:kern w:val="0"/>
      <w:sz w:val="20"/>
      <w:szCs w:val="20"/>
    </w:rPr>
  </w:style>
  <w:style w:type="paragraph" w:customStyle="1" w:styleId="439">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0">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Char Char Char Char Char Char Char Char Char Char Char Char Char"/>
    <w:basedOn w:val="1"/>
    <w:qFormat/>
    <w:uiPriority w:val="0"/>
    <w:rPr>
      <w:rFonts w:ascii="仿宋_GB2312" w:eastAsia="仿宋_GB2312"/>
      <w:b/>
      <w:sz w:val="32"/>
      <w:szCs w:val="32"/>
    </w:rPr>
  </w:style>
  <w:style w:type="paragraph" w:customStyle="1" w:styleId="442">
    <w:name w:val="A1"/>
    <w:basedOn w:val="3"/>
    <w:qFormat/>
    <w:uiPriority w:val="0"/>
    <w:pPr>
      <w:tabs>
        <w:tab w:val="left" w:pos="360"/>
      </w:tabs>
      <w:suppressAutoHyphens/>
      <w:autoSpaceDE/>
      <w:autoSpaceDN/>
      <w:adjustRightInd/>
      <w:spacing w:before="340" w:after="330" w:line="360" w:lineRule="auto"/>
      <w:ind w:left="-25"/>
      <w:jc w:val="both"/>
    </w:pPr>
    <w:rPr>
      <w:rFonts w:ascii="Cambria" w:hAnsi="Cambria"/>
      <w:bCs/>
      <w:sz w:val="30"/>
      <w:szCs w:val="44"/>
      <w:lang w:val="zh-CN" w:eastAsia="zh-CN"/>
    </w:rPr>
  </w:style>
  <w:style w:type="paragraph" w:customStyle="1" w:styleId="443">
    <w:name w:val="纯文本1"/>
    <w:basedOn w:val="1"/>
    <w:qFormat/>
    <w:uiPriority w:val="0"/>
    <w:rPr>
      <w:rFonts w:ascii="宋体" w:hAnsi="Courier New" w:cs="黑体"/>
      <w:szCs w:val="22"/>
    </w:rPr>
  </w:style>
  <w:style w:type="paragraph" w:customStyle="1" w:styleId="444">
    <w:name w:val="xl98"/>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45">
    <w:name w:val="xl76"/>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446">
    <w:name w:val="Char Char Char Char2 Char Char Char Char Char Char Char"/>
    <w:basedOn w:val="1"/>
    <w:qFormat/>
    <w:uiPriority w:val="0"/>
    <w:rPr>
      <w:rFonts w:ascii="仿宋_GB2312" w:eastAsia="仿宋_GB2312"/>
      <w:b/>
      <w:sz w:val="32"/>
      <w:szCs w:val="32"/>
    </w:rPr>
  </w:style>
  <w:style w:type="paragraph" w:customStyle="1" w:styleId="447">
    <w:name w:val="xl7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448">
    <w:name w:val="xl62"/>
    <w:basedOn w:val="1"/>
    <w:qFormat/>
    <w:uiPriority w:val="0"/>
    <w:pPr>
      <w:widowControl/>
      <w:pBdr>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49">
    <w:name w:val="xl90"/>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50">
    <w:name w:val="默认段落字体 Para Char Char Char Char Char Char Char Char Char1 Char Char Char Char Char Char Char"/>
    <w:basedOn w:val="15"/>
    <w:qFormat/>
    <w:uiPriority w:val="0"/>
    <w:rPr>
      <w:rFonts w:ascii="Tahoma" w:hAnsi="Tahoma"/>
      <w:sz w:val="24"/>
      <w:lang w:val="zh-CN" w:eastAsia="zh-CN"/>
    </w:rPr>
  </w:style>
  <w:style w:type="paragraph" w:customStyle="1" w:styleId="451">
    <w:name w:val="xl99"/>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52">
    <w:name w:val="菲页1"/>
    <w:basedOn w:val="2"/>
    <w:qFormat/>
    <w:uiPriority w:val="0"/>
    <w:pPr>
      <w:widowControl/>
      <w:autoSpaceDE/>
      <w:autoSpaceDN/>
      <w:adjustRightInd/>
      <w:spacing w:before="260" w:after="260" w:line="415" w:lineRule="auto"/>
    </w:pPr>
    <w:rPr>
      <w:rFonts w:ascii="黑体" w:hAnsi="宋体" w:eastAsia="宋体"/>
      <w:b w:val="0"/>
      <w:sz w:val="52"/>
    </w:rPr>
  </w:style>
  <w:style w:type="paragraph" w:customStyle="1" w:styleId="453">
    <w:name w:val="xl7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4">
    <w:name w:val="列表段落2"/>
    <w:basedOn w:val="1"/>
    <w:qFormat/>
    <w:uiPriority w:val="99"/>
    <w:pPr>
      <w:adjustRightInd w:val="0"/>
      <w:spacing w:line="360" w:lineRule="atLeast"/>
      <w:ind w:firstLine="420" w:firstLineChars="200"/>
      <w:jc w:val="left"/>
    </w:pPr>
    <w:rPr>
      <w:rFonts w:ascii="Calibri" w:hAnsi="Calibri"/>
      <w:kern w:val="0"/>
      <w:sz w:val="24"/>
      <w:szCs w:val="22"/>
    </w:rPr>
  </w:style>
  <w:style w:type="paragraph" w:customStyle="1" w:styleId="455">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6">
    <w:name w:val="xl56"/>
    <w:basedOn w:val="1"/>
    <w:qFormat/>
    <w:uiPriority w:val="0"/>
    <w:pPr>
      <w:widowControl/>
      <w:pBdr>
        <w:top w:val="single" w:color="auto" w:sz="4" w:space="0"/>
        <w:lef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7">
    <w:name w:val="TOC 标题1"/>
    <w:basedOn w:val="3"/>
    <w:next w:val="1"/>
    <w:qFormat/>
    <w:uiPriority w:val="0"/>
    <w:pPr>
      <w:widowControl/>
      <w:suppressAutoHyphens/>
      <w:autoSpaceDE/>
      <w:autoSpaceDN/>
      <w:adjustRightInd/>
      <w:spacing w:after="0" w:line="257" w:lineRule="auto"/>
      <w:jc w:val="left"/>
      <w:outlineLvl w:val="9"/>
    </w:pPr>
    <w:rPr>
      <w:rFonts w:ascii="Calibri Light" w:hAnsi="Calibri Light"/>
      <w:b w:val="0"/>
      <w:color w:val="2E74B5"/>
      <w:kern w:val="0"/>
      <w:szCs w:val="32"/>
      <w:lang w:val="zh-CN" w:eastAsia="zh-CN"/>
    </w:rPr>
  </w:style>
  <w:style w:type="paragraph" w:customStyle="1" w:styleId="458">
    <w:name w:val="3 Char Char Char Char"/>
    <w:basedOn w:val="1"/>
    <w:qFormat/>
    <w:uiPriority w:val="0"/>
    <w:rPr>
      <w:rFonts w:ascii="仿宋_GB2312" w:eastAsia="仿宋_GB2312"/>
      <w:b/>
      <w:sz w:val="32"/>
      <w:szCs w:val="32"/>
    </w:rPr>
  </w:style>
  <w:style w:type="paragraph" w:customStyle="1" w:styleId="459">
    <w:name w:val="xl96"/>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0">
    <w:name w:val="菲页2"/>
    <w:basedOn w:val="4"/>
    <w:qFormat/>
    <w:uiPriority w:val="0"/>
    <w:pPr>
      <w:widowControl/>
      <w:tabs>
        <w:tab w:val="left" w:pos="1241"/>
      </w:tabs>
      <w:autoSpaceDE/>
      <w:autoSpaceDN/>
      <w:adjustRightInd/>
      <w:spacing w:before="120" w:line="360" w:lineRule="auto"/>
      <w:ind w:left="1241" w:hanging="420"/>
      <w:jc w:val="center"/>
    </w:pPr>
    <w:rPr>
      <w:rFonts w:ascii="黑体" w:hAnsi="宋体" w:eastAsia="黑体"/>
      <w:b w:val="0"/>
      <w:sz w:val="44"/>
      <w:u w:val="none"/>
    </w:rPr>
  </w:style>
  <w:style w:type="paragraph" w:customStyle="1" w:styleId="461">
    <w:name w:val="菲页(卷)"/>
    <w:basedOn w:val="3"/>
    <w:next w:val="410"/>
    <w:qFormat/>
    <w:uiPriority w:val="0"/>
    <w:pPr>
      <w:widowControl/>
      <w:tabs>
        <w:tab w:val="left" w:pos="435"/>
      </w:tabs>
      <w:suppressAutoHyphens/>
      <w:autoSpaceDE/>
      <w:autoSpaceDN/>
      <w:adjustRightInd/>
      <w:spacing w:before="0" w:after="0" w:line="240" w:lineRule="auto"/>
      <w:ind w:left="435" w:hanging="454"/>
      <w:outlineLvl w:val="1"/>
    </w:pPr>
    <w:rPr>
      <w:rFonts w:ascii="黑体" w:eastAsia="黑体"/>
      <w:b w:val="0"/>
      <w:kern w:val="0"/>
      <w:sz w:val="52"/>
      <w:lang w:val="zh-CN" w:eastAsia="zh-CN"/>
    </w:rPr>
  </w:style>
  <w:style w:type="paragraph" w:customStyle="1" w:styleId="462">
    <w:name w:val="Char Char Char Char Char Char Char Char Char2 Char Char Char Char Char Char Char Char Char Char Char Char Char"/>
    <w:basedOn w:val="1"/>
    <w:qFormat/>
    <w:uiPriority w:val="0"/>
    <w:rPr>
      <w:rFonts w:ascii="仿宋_GB2312" w:eastAsia="仿宋_GB2312"/>
      <w:b/>
      <w:sz w:val="32"/>
      <w:szCs w:val="32"/>
    </w:rPr>
  </w:style>
  <w:style w:type="paragraph" w:customStyle="1" w:styleId="463">
    <w:name w:val="xl8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64">
    <w:name w:val="xl93"/>
    <w:basedOn w:val="1"/>
    <w:qFormat/>
    <w:uiPriority w:val="99"/>
    <w:pPr>
      <w:widowControl/>
      <w:spacing w:before="100" w:beforeAutospacing="1" w:after="100" w:afterAutospacing="1"/>
      <w:jc w:val="center"/>
      <w:textAlignment w:val="bottom"/>
    </w:pPr>
    <w:rPr>
      <w:rFonts w:ascii="宋体" w:hAnsi="宋体" w:cs="宋体"/>
      <w:kern w:val="0"/>
      <w:sz w:val="24"/>
    </w:rPr>
  </w:style>
  <w:style w:type="paragraph" w:customStyle="1" w:styleId="465">
    <w:name w:val="xl94"/>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466">
    <w:name w:val="xl59"/>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467">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68">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69">
    <w:name w:val="xl61"/>
    <w:basedOn w:val="1"/>
    <w:qFormat/>
    <w:uiPriority w:val="0"/>
    <w:pPr>
      <w:widowControl/>
      <w:spacing w:before="100" w:beforeAutospacing="1" w:after="100" w:afterAutospacing="1"/>
      <w:jc w:val="left"/>
    </w:pPr>
    <w:rPr>
      <w:rFonts w:eastAsia="Arial Unicode MS"/>
      <w:kern w:val="0"/>
      <w:sz w:val="24"/>
    </w:rPr>
  </w:style>
  <w:style w:type="paragraph" w:customStyle="1" w:styleId="470">
    <w:name w:val="xl106"/>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1">
    <w:name w:val="xl104"/>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2">
    <w:name w:val="xl107"/>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3">
    <w:name w:val="正文（标题三）"/>
    <w:basedOn w:val="1"/>
    <w:qFormat/>
    <w:uiPriority w:val="0"/>
    <w:pPr>
      <w:spacing w:line="360" w:lineRule="auto"/>
      <w:ind w:left="170" w:firstLine="425"/>
    </w:pPr>
    <w:rPr>
      <w:sz w:val="24"/>
    </w:rPr>
  </w:style>
  <w:style w:type="paragraph" w:customStyle="1" w:styleId="474">
    <w:name w:val="xl102"/>
    <w:basedOn w:val="1"/>
    <w:qFormat/>
    <w:uiPriority w:val="99"/>
    <w:pPr>
      <w:widowControl/>
      <w:spacing w:before="100" w:beforeAutospacing="1" w:after="100" w:afterAutospacing="1"/>
      <w:jc w:val="center"/>
    </w:pPr>
    <w:rPr>
      <w:rFonts w:ascii="宋体" w:hAnsi="宋体" w:cs="宋体"/>
      <w:b/>
      <w:bCs/>
      <w:color w:val="FF0000"/>
      <w:kern w:val="0"/>
      <w:sz w:val="18"/>
      <w:szCs w:val="18"/>
    </w:rPr>
  </w:style>
  <w:style w:type="paragraph" w:customStyle="1" w:styleId="475">
    <w:name w:val="xl58"/>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76">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8">
    <w:name w:val="p0"/>
    <w:basedOn w:val="1"/>
    <w:qFormat/>
    <w:uiPriority w:val="99"/>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customStyle="1" w:styleId="479">
    <w:name w:val="宋 小四 1.5倍"/>
    <w:basedOn w:val="1"/>
    <w:qFormat/>
    <w:uiPriority w:val="0"/>
    <w:pPr>
      <w:widowControl/>
      <w:autoSpaceDE w:val="0"/>
      <w:autoSpaceDN w:val="0"/>
      <w:snapToGrid w:val="0"/>
      <w:spacing w:line="360" w:lineRule="auto"/>
      <w:jc w:val="left"/>
    </w:pPr>
    <w:rPr>
      <w:rFonts w:ascii="宋体" w:hAnsi="宋体"/>
      <w:spacing w:val="4"/>
      <w:kern w:val="0"/>
      <w:sz w:val="24"/>
      <w:lang w:bidi="en-US"/>
    </w:rPr>
  </w:style>
  <w:style w:type="paragraph" w:customStyle="1" w:styleId="480">
    <w:name w:val=".."/>
    <w:basedOn w:val="1"/>
    <w:next w:val="1"/>
    <w:qFormat/>
    <w:uiPriority w:val="0"/>
    <w:pPr>
      <w:autoSpaceDE w:val="0"/>
      <w:autoSpaceDN w:val="0"/>
      <w:adjustRightInd w:val="0"/>
      <w:jc w:val="left"/>
    </w:pPr>
    <w:rPr>
      <w:rFonts w:ascii="Sim Sun+ 2" w:eastAsia="Sim Sun+ 2"/>
      <w:kern w:val="0"/>
      <w:sz w:val="20"/>
      <w:lang w:eastAsia="en-US"/>
    </w:rPr>
  </w:style>
  <w:style w:type="paragraph" w:customStyle="1" w:styleId="481">
    <w:name w:val="xl6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eastAsia="Arial Unicode MS"/>
      <w:kern w:val="0"/>
      <w:sz w:val="20"/>
      <w:szCs w:val="20"/>
    </w:rPr>
  </w:style>
  <w:style w:type="paragraph" w:customStyle="1" w:styleId="482">
    <w:name w:val="样式 标题 3 + 无下划线"/>
    <w:basedOn w:val="4"/>
    <w:next w:val="4"/>
    <w:qFormat/>
    <w:uiPriority w:val="0"/>
    <w:rPr>
      <w:bCs/>
      <w:u w:val="none"/>
    </w:rPr>
  </w:style>
  <w:style w:type="paragraph" w:customStyle="1" w:styleId="483">
    <w:name w:val="样式 标题 3 + (中文) 黑体 小四 非加粗 段前: 7.8 磅 段后: 0 磅 行距: 固定值 20 磅"/>
    <w:basedOn w:val="4"/>
    <w:qFormat/>
    <w:uiPriority w:val="0"/>
    <w:pPr>
      <w:widowControl/>
      <w:autoSpaceDE/>
      <w:autoSpaceDN/>
      <w:adjustRightInd/>
      <w:spacing w:before="0" w:after="0" w:line="400" w:lineRule="exact"/>
    </w:pPr>
    <w:rPr>
      <w:rFonts w:ascii="Times New Roman" w:eastAsia="黑体" w:cs="宋体"/>
      <w:b w:val="0"/>
      <w:kern w:val="2"/>
      <w:u w:val="none"/>
    </w:rPr>
  </w:style>
  <w:style w:type="paragraph" w:customStyle="1" w:styleId="484">
    <w:name w:val="xl7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85">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486">
    <w:name w:val="正文an"/>
    <w:basedOn w:val="1"/>
    <w:qFormat/>
    <w:uiPriority w:val="0"/>
    <w:pPr>
      <w:adjustRightInd w:val="0"/>
      <w:snapToGrid w:val="0"/>
      <w:spacing w:line="300" w:lineRule="auto"/>
    </w:pPr>
    <w:rPr>
      <w:rFonts w:ascii="Arial Narrow" w:hAnsi="Arial Narrow" w:eastAsia="楷体_GB2312"/>
      <w:sz w:val="26"/>
    </w:rPr>
  </w:style>
  <w:style w:type="paragraph" w:customStyle="1" w:styleId="487">
    <w:name w:val="xl103"/>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88">
    <w:name w:val="强调文字2"/>
    <w:basedOn w:val="432"/>
    <w:qFormat/>
    <w:uiPriority w:val="0"/>
  </w:style>
  <w:style w:type="paragraph" w:customStyle="1" w:styleId="489">
    <w:name w:val="xl60"/>
    <w:basedOn w:val="1"/>
    <w:qFormat/>
    <w:uiPriority w:val="0"/>
    <w:pPr>
      <w:widowControl/>
      <w:pBdr>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90">
    <w:name w:val="xl11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92">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3">
    <w:name w:val="flType"/>
    <w:basedOn w:val="1"/>
    <w:qFormat/>
    <w:uiPriority w:val="0"/>
    <w:pPr>
      <w:adjustRightInd w:val="0"/>
      <w:spacing w:before="560" w:after="120" w:line="360" w:lineRule="atLeast"/>
      <w:jc w:val="center"/>
    </w:pPr>
    <w:rPr>
      <w:rFonts w:ascii="Arial" w:eastAsia="黑体"/>
      <w:kern w:val="0"/>
      <w:sz w:val="28"/>
      <w:szCs w:val="20"/>
    </w:rPr>
  </w:style>
  <w:style w:type="paragraph" w:customStyle="1" w:styleId="494">
    <w:name w:val="xl110"/>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95">
    <w:name w:val="样式 标题 4 + 段前: 5 磅 段后: 5 磅 行距: 单倍行距"/>
    <w:basedOn w:val="5"/>
    <w:qFormat/>
    <w:uiPriority w:val="0"/>
    <w:pPr>
      <w:spacing w:before="100" w:after="100" w:line="240" w:lineRule="auto"/>
      <w:jc w:val="left"/>
    </w:pPr>
    <w:rPr>
      <w:rFonts w:ascii="Arial" w:hAnsi="Arial" w:eastAsia="黑体" w:cs="宋体"/>
      <w:b/>
      <w:bCs/>
      <w:sz w:val="28"/>
      <w:lang w:val="zh-CN" w:eastAsia="zh-CN"/>
    </w:rPr>
  </w:style>
  <w:style w:type="paragraph" w:customStyle="1" w:styleId="496">
    <w:name w:val="xl111"/>
    <w:basedOn w:val="1"/>
    <w:qFormat/>
    <w:uiPriority w:val="99"/>
    <w:pPr>
      <w:widowControl/>
      <w:pBdr>
        <w:top w:val="single" w:color="auto"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97">
    <w:name w:val="xl92"/>
    <w:basedOn w:val="1"/>
    <w:qFormat/>
    <w:uiPriority w:val="99"/>
    <w:pPr>
      <w:widowControl/>
      <w:spacing w:before="100" w:beforeAutospacing="1" w:after="100" w:afterAutospacing="1"/>
      <w:jc w:val="left"/>
      <w:textAlignment w:val="bottom"/>
    </w:pPr>
    <w:rPr>
      <w:rFonts w:ascii="宋体" w:hAnsi="宋体" w:cs="宋体"/>
      <w:kern w:val="0"/>
      <w:sz w:val="24"/>
    </w:rPr>
  </w:style>
  <w:style w:type="paragraph" w:customStyle="1" w:styleId="498">
    <w:name w:val="xl10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9">
    <w:name w:val="xl95"/>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500">
    <w:name w:val="xl67"/>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501">
    <w:name w:val="xl54"/>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502">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character" w:customStyle="1" w:styleId="503">
    <w:name w:val="列出段落 字符1"/>
    <w:qFormat/>
    <w:uiPriority w:val="34"/>
    <w:rPr>
      <w:rFonts w:ascii="Calibri" w:hAnsi="Calibri" w:eastAsia="宋体"/>
      <w:kern w:val="2"/>
      <w:sz w:val="21"/>
      <w:szCs w:val="22"/>
      <w:lang w:val="en-US" w:eastAsia="zh-CN" w:bidi="ar-SA"/>
    </w:rPr>
  </w:style>
  <w:style w:type="paragraph" w:customStyle="1" w:styleId="504">
    <w:name w:val="表格序号"/>
    <w:basedOn w:val="1"/>
    <w:qFormat/>
    <w:uiPriority w:val="0"/>
    <w:pPr>
      <w:numPr>
        <w:ilvl w:val="0"/>
        <w:numId w:val="8"/>
      </w:numPr>
      <w:kinsoku w:val="0"/>
      <w:wordWrap w:val="0"/>
      <w:adjustRightInd w:val="0"/>
      <w:ind w:firstLineChars="0"/>
      <w:jc w:val="center"/>
    </w:pPr>
    <w:rPr>
      <w:rFonts w:hint="eastAsia" w:ascii="宋体" w:hAnsi="宋体" w:cs="宋体"/>
    </w:rPr>
  </w:style>
  <w:style w:type="paragraph" w:customStyle="1" w:styleId="505">
    <w:name w:val="表格正文"/>
    <w:basedOn w:val="1"/>
    <w:qFormat/>
    <w:uiPriority w:val="0"/>
    <w:rPr>
      <w:sz w:val="21"/>
    </w:rPr>
  </w:style>
  <w:style w:type="paragraph" w:customStyle="1" w:styleId="506">
    <w:name w:val="样式 (西文) 宋体 (复杂文种) 宋体 首行缩进:  2 字符"/>
    <w:basedOn w:val="1"/>
    <w:qFormat/>
    <w:uiPriority w:val="0"/>
    <w:pPr>
      <w:ind w:firstLine="480"/>
    </w:pPr>
    <w:rPr>
      <w:rFonts w:ascii="宋体" w:hAnsi="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9352</Words>
  <Characters>318</Characters>
  <Lines>2</Lines>
  <Paragraphs>19</Paragraphs>
  <TotalTime>0</TotalTime>
  <ScaleCrop>false</ScaleCrop>
  <LinksUpToDate>false</LinksUpToDate>
  <CharactersWithSpaces>9651</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2024-03-08T03:39:00Z</dcterms:created>
  <dc:creator>admin</dc:creator>
  <cp:lastModifiedBy>Admin</cp:lastModifiedBy>
  <dcterms:modified xsi:type="dcterms:W3CDTF">2025-11-17T06:08:53Z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