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4" w:name="_GoBack"/>
      <w:bookmarkEnd w:id="4"/>
      <w:bookmarkStart w:id="0" w:name="_Toc31978"/>
      <w:bookmarkStart w:id="1" w:name="_Toc99301424"/>
      <w:bookmarkStart w:id="2" w:name="_Toc4297"/>
      <w:bookmarkStart w:id="3" w:name="_Toc6893"/>
      <w:r>
        <w:rPr>
          <w:b/>
          <w:sz w:val="36"/>
          <w:szCs w:val="36"/>
          <w:highlight w:val="none"/>
        </w:rPr>
        <w:t>采购需求</w:t>
      </w:r>
      <w:bookmarkEnd w:id="0"/>
      <w:bookmarkEnd w:id="1"/>
      <w:bookmarkEnd w:id="2"/>
      <w:bookmarkEnd w:id="3"/>
    </w:p>
    <w:p>
      <w:pPr>
        <w:pStyle w:val="66"/>
        <w:spacing w:line="360" w:lineRule="auto"/>
        <w:ind w:firstLine="0" w:firstLineChars="0"/>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采购标的</w:t>
      </w:r>
    </w:p>
    <w:p>
      <w:pPr>
        <w:spacing w:line="360" w:lineRule="auto"/>
        <w:contextualSpacing/>
        <w:rPr>
          <w:rFonts w:hint="eastAsia" w:ascii="宋体" w:hAnsi="宋体" w:cs="宋体"/>
          <w:bCs/>
          <w:color w:val="auto"/>
          <w:sz w:val="24"/>
          <w:highlight w:val="none"/>
        </w:rPr>
      </w:pPr>
      <w:r>
        <w:rPr>
          <w:rFonts w:hint="eastAsia" w:ascii="宋体" w:hAnsi="宋体" w:cs="宋体"/>
          <w:bCs/>
          <w:color w:val="auto"/>
          <w:sz w:val="24"/>
          <w:highlight w:val="none"/>
        </w:rPr>
        <w:t>1. 采购标的</w:t>
      </w:r>
    </w:p>
    <w:p>
      <w:pPr>
        <w:spacing w:line="360" w:lineRule="auto"/>
        <w:contextualSpacing/>
        <w:rPr>
          <w:rFonts w:hint="eastAsia" w:ascii="宋体" w:hAnsi="宋体" w:cs="宋体"/>
          <w:bCs/>
          <w:color w:val="auto"/>
          <w:sz w:val="24"/>
          <w:highlight w:val="none"/>
        </w:rPr>
      </w:pPr>
      <w:r>
        <w:rPr>
          <w:rFonts w:hint="eastAsia" w:ascii="宋体" w:hAnsi="宋体" w:cs="宋体"/>
          <w:color w:val="auto"/>
          <w:sz w:val="24"/>
          <w:highlight w:val="none"/>
        </w:rPr>
        <w:t>★</w:t>
      </w:r>
      <w:r>
        <w:rPr>
          <w:rFonts w:hint="eastAsia" w:ascii="宋体" w:hAnsi="宋体" w:cs="宋体"/>
          <w:bCs/>
          <w:color w:val="auto"/>
          <w:sz w:val="24"/>
          <w:highlight w:val="none"/>
        </w:rPr>
        <w:t>说明：不接受进口产品。</w:t>
      </w:r>
    </w:p>
    <w:tbl>
      <w:tblPr>
        <w:tblStyle w:val="53"/>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15"/>
        <w:gridCol w:w="732"/>
        <w:gridCol w:w="5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noWrap w:val="0"/>
            <w:vAlign w:val="top"/>
          </w:tcPr>
          <w:p>
            <w:pPr>
              <w:spacing w:line="360" w:lineRule="auto"/>
              <w:contextualSpacing/>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515" w:type="dxa"/>
            <w:noWrap w:val="0"/>
            <w:vAlign w:val="top"/>
          </w:tcPr>
          <w:p>
            <w:pPr>
              <w:spacing w:line="360" w:lineRule="auto"/>
              <w:contextualSpacing/>
              <w:jc w:val="center"/>
              <w:rPr>
                <w:rFonts w:hint="eastAsia" w:ascii="宋体" w:hAnsi="宋体" w:cs="宋体"/>
                <w:bCs/>
                <w:color w:val="auto"/>
                <w:sz w:val="24"/>
                <w:highlight w:val="none"/>
              </w:rPr>
            </w:pPr>
            <w:r>
              <w:rPr>
                <w:rFonts w:hint="eastAsia" w:ascii="宋体" w:hAnsi="宋体" w:cs="宋体"/>
                <w:bCs/>
                <w:color w:val="auto"/>
                <w:sz w:val="24"/>
                <w:highlight w:val="none"/>
              </w:rPr>
              <w:t>标的名称</w:t>
            </w:r>
          </w:p>
        </w:tc>
        <w:tc>
          <w:tcPr>
            <w:tcW w:w="732" w:type="dxa"/>
            <w:noWrap w:val="0"/>
            <w:vAlign w:val="top"/>
          </w:tcPr>
          <w:p>
            <w:pPr>
              <w:spacing w:line="360" w:lineRule="auto"/>
              <w:contextualSpacing/>
              <w:jc w:val="center"/>
              <w:rPr>
                <w:rFonts w:hint="eastAsia" w:ascii="宋体" w:hAnsi="宋体" w:cs="宋体"/>
                <w:bCs/>
                <w:color w:val="auto"/>
                <w:sz w:val="24"/>
                <w:highlight w:val="none"/>
              </w:rPr>
            </w:pPr>
            <w:r>
              <w:rPr>
                <w:rFonts w:hint="eastAsia" w:ascii="宋体" w:hAnsi="宋体" w:cs="宋体"/>
                <w:bCs/>
                <w:color w:val="auto"/>
                <w:sz w:val="24"/>
                <w:highlight w:val="none"/>
              </w:rPr>
              <w:t>数量</w:t>
            </w:r>
          </w:p>
        </w:tc>
        <w:tc>
          <w:tcPr>
            <w:tcW w:w="5604" w:type="dxa"/>
            <w:noWrap w:val="0"/>
            <w:vAlign w:val="top"/>
          </w:tcPr>
          <w:p>
            <w:pPr>
              <w:spacing w:line="360" w:lineRule="auto"/>
              <w:contextualSpacing/>
              <w:jc w:val="center"/>
              <w:rPr>
                <w:rFonts w:hint="eastAsia" w:ascii="宋体" w:hAnsi="宋体" w:cs="宋体"/>
                <w:bCs/>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noWrap w:val="0"/>
            <w:vAlign w:val="top"/>
          </w:tcPr>
          <w:p>
            <w:pPr>
              <w:spacing w:line="360" w:lineRule="auto"/>
              <w:contextualSpacing/>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515" w:type="dxa"/>
            <w:noWrap w:val="0"/>
            <w:vAlign w:val="top"/>
          </w:tcPr>
          <w:p>
            <w:pPr>
              <w:spacing w:line="360" w:lineRule="auto"/>
              <w:contextualSpacing/>
              <w:jc w:val="center"/>
              <w:rPr>
                <w:rFonts w:hint="eastAsia" w:ascii="宋体" w:hAnsi="宋体" w:cs="宋体"/>
                <w:bCs/>
                <w:color w:val="auto"/>
                <w:sz w:val="24"/>
                <w:highlight w:val="none"/>
              </w:rPr>
            </w:pPr>
            <w:r>
              <w:rPr>
                <w:rFonts w:hint="eastAsia" w:ascii="宋体" w:hAnsi="宋体" w:cs="宋体"/>
                <w:color w:val="auto"/>
                <w:sz w:val="24"/>
                <w:highlight w:val="none"/>
              </w:rPr>
              <w:t>新能源轿车</w:t>
            </w:r>
          </w:p>
        </w:tc>
        <w:tc>
          <w:tcPr>
            <w:tcW w:w="732" w:type="dxa"/>
            <w:noWrap w:val="0"/>
            <w:vAlign w:val="top"/>
          </w:tcPr>
          <w:p>
            <w:pPr>
              <w:spacing w:line="360" w:lineRule="auto"/>
              <w:contextualSpacing/>
              <w:jc w:val="center"/>
              <w:rPr>
                <w:rFonts w:hint="eastAsia" w:ascii="宋体" w:hAnsi="宋体" w:cs="宋体"/>
                <w:bCs/>
                <w:color w:val="auto"/>
                <w:sz w:val="24"/>
                <w:highlight w:val="none"/>
              </w:rPr>
            </w:pPr>
            <w:r>
              <w:rPr>
                <w:rFonts w:hint="eastAsia" w:ascii="宋体" w:hAnsi="宋体" w:cs="宋体"/>
                <w:color w:val="auto"/>
                <w:sz w:val="24"/>
                <w:highlight w:val="none"/>
                <w:lang w:val="en-US" w:eastAsia="zh-CN"/>
              </w:rPr>
              <w:t>23</w:t>
            </w:r>
            <w:r>
              <w:rPr>
                <w:rFonts w:hint="eastAsia" w:ascii="宋体" w:hAnsi="宋体" w:cs="宋体"/>
                <w:color w:val="auto"/>
                <w:sz w:val="24"/>
                <w:highlight w:val="none"/>
              </w:rPr>
              <w:t>辆</w:t>
            </w:r>
          </w:p>
        </w:tc>
        <w:tc>
          <w:tcPr>
            <w:tcW w:w="5604" w:type="dxa"/>
            <w:noWrap w:val="0"/>
            <w:vAlign w:val="top"/>
          </w:tcPr>
          <w:p>
            <w:pPr>
              <w:spacing w:line="360" w:lineRule="auto"/>
              <w:contextualSpacing/>
              <w:jc w:val="center"/>
              <w:rPr>
                <w:rFonts w:hint="eastAsia" w:ascii="宋体" w:hAnsi="宋体" w:cs="宋体"/>
                <w:bCs/>
                <w:color w:val="auto"/>
                <w:sz w:val="24"/>
                <w:highlight w:val="none"/>
              </w:rPr>
            </w:pPr>
            <w:r>
              <w:rPr>
                <w:rFonts w:hint="eastAsia" w:ascii="宋体" w:hAnsi="宋体" w:cs="宋体"/>
                <w:color w:val="auto"/>
                <w:sz w:val="24"/>
                <w:highlight w:val="none"/>
              </w:rPr>
              <w:t>核心产品</w:t>
            </w:r>
            <w:r>
              <w:rPr>
                <w:rFonts w:hint="eastAsia" w:ascii="宋体" w:hAnsi="宋体" w:cs="宋体"/>
                <w:color w:val="auto"/>
                <w:sz w:val="24"/>
                <w:highlight w:val="none"/>
                <w:lang w:bidi="ar"/>
              </w:rPr>
              <w:t>（单车预算17.</w:t>
            </w:r>
            <w:r>
              <w:rPr>
                <w:rFonts w:hint="eastAsia" w:ascii="宋体" w:hAnsi="宋体" w:cs="宋体"/>
                <w:color w:val="auto"/>
                <w:sz w:val="24"/>
                <w:highlight w:val="none"/>
                <w:lang w:val="en-US" w:eastAsia="zh-CN" w:bidi="ar"/>
              </w:rPr>
              <w:t>98</w:t>
            </w:r>
            <w:r>
              <w:rPr>
                <w:rFonts w:hint="eastAsia" w:ascii="宋体" w:hAnsi="宋体" w:cs="宋体"/>
                <w:color w:val="auto"/>
                <w:sz w:val="24"/>
                <w:highlight w:val="none"/>
                <w:lang w:bidi="ar"/>
              </w:rPr>
              <w:t>万元，</w:t>
            </w:r>
            <w:r>
              <w:rPr>
                <w:rFonts w:hint="eastAsia" w:ascii="宋体" w:hAnsi="宋体" w:cs="宋体"/>
                <w:color w:val="auto"/>
                <w:sz w:val="24"/>
                <w:highlight w:val="none"/>
                <w:lang w:val="en-US" w:eastAsia="zh-CN" w:bidi="ar"/>
              </w:rPr>
              <w:t>23</w:t>
            </w:r>
            <w:r>
              <w:rPr>
                <w:rFonts w:hint="eastAsia" w:ascii="宋体" w:hAnsi="宋体" w:cs="宋体"/>
                <w:color w:val="auto"/>
                <w:sz w:val="24"/>
                <w:highlight w:val="none"/>
                <w:lang w:bidi="ar"/>
              </w:rPr>
              <w:t>辆，总预算</w:t>
            </w:r>
            <w:r>
              <w:rPr>
                <w:rFonts w:hint="eastAsia" w:ascii="宋体" w:hAnsi="宋体" w:cs="宋体"/>
                <w:color w:val="auto"/>
                <w:sz w:val="24"/>
                <w:highlight w:val="none"/>
                <w:lang w:val="en-US" w:eastAsia="zh-CN" w:bidi="ar"/>
              </w:rPr>
              <w:t>413.54</w:t>
            </w:r>
            <w:r>
              <w:rPr>
                <w:rFonts w:hint="eastAsia" w:ascii="宋体" w:hAnsi="宋体" w:cs="宋体"/>
                <w:color w:val="auto"/>
                <w:sz w:val="24"/>
                <w:highlight w:val="none"/>
                <w:lang w:bidi="ar"/>
              </w:rPr>
              <w:t>万元，含购置税）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noWrap w:val="0"/>
            <w:vAlign w:val="top"/>
          </w:tcPr>
          <w:p>
            <w:pPr>
              <w:spacing w:line="360" w:lineRule="auto"/>
              <w:contextualSpacing/>
              <w:jc w:val="center"/>
              <w:rPr>
                <w:rFonts w:hint="eastAsia" w:ascii="宋体" w:hAnsi="宋体" w:cs="宋体"/>
                <w:b/>
                <w:color w:val="auto"/>
                <w:sz w:val="24"/>
                <w:highlight w:val="none"/>
              </w:rPr>
            </w:pPr>
            <w:r>
              <w:rPr>
                <w:rFonts w:hint="eastAsia" w:ascii="宋体" w:hAnsi="宋体" w:cs="宋体"/>
                <w:bCs/>
                <w:color w:val="auto"/>
                <w:sz w:val="24"/>
                <w:highlight w:val="none"/>
              </w:rPr>
              <w:t>2</w:t>
            </w:r>
          </w:p>
        </w:tc>
        <w:tc>
          <w:tcPr>
            <w:tcW w:w="1515" w:type="dxa"/>
            <w:noWrap w:val="0"/>
            <w:vAlign w:val="top"/>
          </w:tcPr>
          <w:p>
            <w:pPr>
              <w:spacing w:line="360" w:lineRule="auto"/>
              <w:contextualSpacing/>
              <w:jc w:val="center"/>
              <w:rPr>
                <w:rFonts w:hint="eastAsia" w:ascii="宋体" w:hAnsi="宋体" w:cs="宋体"/>
                <w:b/>
                <w:color w:val="auto"/>
                <w:sz w:val="24"/>
                <w:highlight w:val="none"/>
              </w:rPr>
            </w:pPr>
            <w:r>
              <w:rPr>
                <w:rFonts w:hint="eastAsia" w:ascii="宋体" w:hAnsi="宋体" w:cs="宋体"/>
                <w:color w:val="auto"/>
                <w:sz w:val="24"/>
                <w:highlight w:val="none"/>
              </w:rPr>
              <w:t>增程式越野车</w:t>
            </w:r>
          </w:p>
        </w:tc>
        <w:tc>
          <w:tcPr>
            <w:tcW w:w="732" w:type="dxa"/>
            <w:noWrap w:val="0"/>
            <w:vAlign w:val="top"/>
          </w:tcPr>
          <w:p>
            <w:pPr>
              <w:spacing w:line="360" w:lineRule="auto"/>
              <w:contextualSpacing/>
              <w:jc w:val="center"/>
              <w:rPr>
                <w:rFonts w:ascii="宋体" w:hAnsi="宋体" w:cs="宋体"/>
                <w:b/>
                <w:color w:val="auto"/>
                <w:sz w:val="24"/>
                <w:highlight w:val="none"/>
              </w:rPr>
            </w:pPr>
            <w:r>
              <w:rPr>
                <w:rFonts w:hint="eastAsia" w:ascii="宋体" w:hAnsi="宋体" w:cs="宋体"/>
                <w:color w:val="auto"/>
                <w:sz w:val="24"/>
                <w:highlight w:val="none"/>
                <w:lang w:val="en-US" w:eastAsia="zh-CN"/>
              </w:rPr>
              <w:t>18</w:t>
            </w:r>
            <w:r>
              <w:rPr>
                <w:rFonts w:hint="eastAsia" w:ascii="宋体" w:hAnsi="宋体" w:cs="宋体"/>
                <w:color w:val="auto"/>
                <w:sz w:val="24"/>
                <w:highlight w:val="none"/>
              </w:rPr>
              <w:t>辆</w:t>
            </w:r>
          </w:p>
        </w:tc>
        <w:tc>
          <w:tcPr>
            <w:tcW w:w="5604" w:type="dxa"/>
            <w:noWrap w:val="0"/>
            <w:vAlign w:val="top"/>
          </w:tcPr>
          <w:p>
            <w:pPr>
              <w:spacing w:line="360" w:lineRule="auto"/>
              <w:contextualSpacing/>
              <w:jc w:val="center"/>
              <w:rPr>
                <w:rFonts w:hint="eastAsia" w:ascii="宋体" w:hAnsi="宋体" w:cs="宋体"/>
                <w:b/>
                <w:color w:val="auto"/>
                <w:sz w:val="24"/>
                <w:highlight w:val="none"/>
              </w:rPr>
            </w:pPr>
            <w:r>
              <w:rPr>
                <w:rFonts w:hint="eastAsia" w:ascii="宋体" w:hAnsi="宋体" w:cs="宋体"/>
                <w:color w:val="auto"/>
                <w:sz w:val="24"/>
                <w:highlight w:val="none"/>
                <w:lang w:bidi="ar"/>
              </w:rPr>
              <w:t>单车预算</w:t>
            </w:r>
            <w:r>
              <w:rPr>
                <w:rFonts w:hint="eastAsia" w:ascii="宋体" w:hAnsi="宋体" w:cs="宋体"/>
                <w:color w:val="auto"/>
                <w:sz w:val="24"/>
                <w:highlight w:val="none"/>
                <w:lang w:val="en-US" w:eastAsia="zh-CN" w:bidi="ar"/>
              </w:rPr>
              <w:t>27.19062</w:t>
            </w:r>
            <w:r>
              <w:rPr>
                <w:rFonts w:hint="eastAsia" w:ascii="宋体" w:hAnsi="宋体" w:cs="宋体"/>
                <w:color w:val="auto"/>
                <w:sz w:val="24"/>
                <w:highlight w:val="none"/>
                <w:lang w:bidi="ar"/>
              </w:rPr>
              <w:t>万元，</w:t>
            </w:r>
            <w:r>
              <w:rPr>
                <w:rFonts w:hint="eastAsia" w:ascii="宋体" w:hAnsi="宋体" w:cs="宋体"/>
                <w:color w:val="auto"/>
                <w:sz w:val="24"/>
                <w:highlight w:val="none"/>
                <w:lang w:val="en-US" w:eastAsia="zh-CN" w:bidi="ar"/>
              </w:rPr>
              <w:t>18</w:t>
            </w:r>
            <w:r>
              <w:rPr>
                <w:rFonts w:hint="eastAsia" w:ascii="宋体" w:hAnsi="宋体" w:cs="宋体"/>
                <w:color w:val="auto"/>
                <w:sz w:val="24"/>
                <w:highlight w:val="none"/>
                <w:lang w:bidi="ar"/>
              </w:rPr>
              <w:t>辆，总预算</w:t>
            </w:r>
            <w:r>
              <w:rPr>
                <w:rFonts w:hint="eastAsia" w:ascii="宋体" w:hAnsi="宋体" w:cs="宋体"/>
                <w:color w:val="auto"/>
                <w:sz w:val="24"/>
                <w:highlight w:val="none"/>
                <w:lang w:val="en-US" w:eastAsia="zh-CN" w:bidi="ar"/>
              </w:rPr>
              <w:t>489.43116</w:t>
            </w:r>
            <w:r>
              <w:rPr>
                <w:rFonts w:hint="eastAsia" w:ascii="宋体" w:hAnsi="宋体" w:cs="宋体"/>
                <w:color w:val="auto"/>
                <w:sz w:val="24"/>
                <w:highlight w:val="none"/>
                <w:lang w:bidi="ar"/>
              </w:rPr>
              <w:t>万元，含购置税</w:t>
            </w:r>
          </w:p>
        </w:tc>
      </w:tr>
    </w:tbl>
    <w:p>
      <w:pPr>
        <w:spacing w:line="360" w:lineRule="auto"/>
        <w:contextualSpacing/>
        <w:rPr>
          <w:rFonts w:hint="eastAsia" w:ascii="宋体" w:hAnsi="宋体" w:cs="宋体"/>
          <w:bCs/>
          <w:color w:val="auto"/>
          <w:sz w:val="24"/>
          <w:highlight w:val="none"/>
        </w:rPr>
      </w:pPr>
      <w:r>
        <w:rPr>
          <w:rFonts w:hint="eastAsia" w:ascii="宋体" w:hAnsi="宋体" w:cs="宋体"/>
          <w:bCs/>
          <w:color w:val="auto"/>
          <w:sz w:val="24"/>
          <w:highlight w:val="none"/>
        </w:rPr>
        <w:t>备注：</w:t>
      </w:r>
      <w:r>
        <w:rPr>
          <w:rFonts w:hint="eastAsia" w:ascii="宋体" w:hAnsi="宋体" w:cs="宋体"/>
          <w:color w:val="auto"/>
          <w:sz w:val="24"/>
          <w:szCs w:val="24"/>
          <w:highlight w:val="none"/>
          <w:lang w:bidi="ar"/>
        </w:rPr>
        <w:t>含购置税车辆外观制式涂装（警用车辆）等交付采购人使用的一切费用；投标人需提供符合技术要求的车辆且单车报价不得超过单车预算，否则视为无效投标。所有车辆包含不限于上牌、验车、购置税、车辆外观制式涂装（警用车辆）等。须具备警用车辆的喷涂改装能力及资质，</w:t>
      </w:r>
      <w:r>
        <w:rPr>
          <w:rFonts w:hint="eastAsia" w:ascii="宋体" w:hAnsi="宋体" w:cs="宋体"/>
          <w:color w:val="FF0000"/>
          <w:szCs w:val="21"/>
          <w:highlight w:val="none"/>
          <w:lang w:bidi="ar"/>
        </w:rPr>
        <w:t>该项目为一站式交钥匙工程</w:t>
      </w:r>
      <w:r>
        <w:rPr>
          <w:rFonts w:hint="eastAsia"/>
          <w:highlight w:val="none"/>
          <w:lang w:eastAsia="zh-CN"/>
        </w:rPr>
        <w:t>，所投车型交付即可使用</w:t>
      </w:r>
      <w:r>
        <w:rPr>
          <w:rFonts w:hint="eastAsia" w:ascii="宋体" w:hAnsi="宋体" w:cs="宋体"/>
          <w:color w:val="auto"/>
          <w:sz w:val="24"/>
          <w:szCs w:val="24"/>
          <w:highlight w:val="none"/>
          <w:lang w:bidi="ar"/>
        </w:rPr>
        <w:t>。</w:t>
      </w:r>
    </w:p>
    <w:p>
      <w:pPr>
        <w:spacing w:line="360" w:lineRule="auto"/>
        <w:contextualSpacing/>
        <w:rPr>
          <w:rFonts w:hint="eastAsia" w:ascii="宋体" w:hAnsi="宋体" w:cs="宋体"/>
          <w:bCs/>
          <w:color w:val="auto"/>
          <w:sz w:val="24"/>
          <w:highlight w:val="none"/>
        </w:rPr>
      </w:pPr>
      <w:r>
        <w:rPr>
          <w:rFonts w:hint="eastAsia" w:ascii="宋体" w:hAnsi="宋体" w:cs="宋体"/>
          <w:bCs/>
          <w:color w:val="auto"/>
          <w:sz w:val="24"/>
          <w:highlight w:val="none"/>
        </w:rPr>
        <w:t>2. 项目概述</w:t>
      </w:r>
    </w:p>
    <w:p>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为进一步满足工作要求，购置一批公务用车。</w:t>
      </w:r>
    </w:p>
    <w:p>
      <w:pPr>
        <w:spacing w:line="360" w:lineRule="auto"/>
        <w:rPr>
          <w:rFonts w:hint="eastAsia" w:ascii="宋体" w:hAnsi="宋体" w:cs="宋体"/>
          <w:color w:val="auto"/>
          <w:sz w:val="24"/>
          <w:highlight w:val="none"/>
        </w:rPr>
      </w:pPr>
    </w:p>
    <w:p>
      <w:pPr>
        <w:pStyle w:val="66"/>
        <w:spacing w:line="360" w:lineRule="auto"/>
        <w:ind w:firstLine="0" w:firstLineChars="0"/>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二、商务要求</w:t>
      </w:r>
    </w:p>
    <w:p>
      <w:pPr>
        <w:spacing w:line="360" w:lineRule="auto"/>
        <w:contextualSpacing/>
        <w:rPr>
          <w:rFonts w:hint="eastAsia" w:ascii="宋体" w:hAnsi="宋体" w:cs="宋体"/>
          <w:i/>
          <w:color w:val="auto"/>
          <w:sz w:val="24"/>
          <w:highlight w:val="none"/>
        </w:rPr>
      </w:pPr>
      <w:r>
        <w:rPr>
          <w:rFonts w:hint="eastAsia" w:ascii="宋体" w:hAnsi="宋体" w:cs="宋体"/>
          <w:color w:val="auto"/>
          <w:sz w:val="24"/>
          <w:highlight w:val="none"/>
        </w:rPr>
        <w:t>1. 交付要求</w:t>
      </w:r>
    </w:p>
    <w:p>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color w:val="auto"/>
          <w:sz w:val="24"/>
          <w:highlight w:val="none"/>
        </w:rPr>
        <w:t>1.1交付时间：</w:t>
      </w:r>
      <w:r>
        <w:rPr>
          <w:rFonts w:hint="eastAsia" w:ascii="宋体" w:hAnsi="宋体" w:cs="宋体"/>
          <w:bCs/>
          <w:color w:val="auto"/>
          <w:sz w:val="24"/>
          <w:highlight w:val="none"/>
        </w:rPr>
        <w:t>合同签订后的</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个日历日内，完成车辆到货、涂装改装、调试、交付等全部工作。</w:t>
      </w:r>
    </w:p>
    <w:p>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color w:val="auto"/>
          <w:sz w:val="24"/>
          <w:highlight w:val="none"/>
        </w:rPr>
        <w:t>1.2交付地点：</w:t>
      </w:r>
      <w:r>
        <w:rPr>
          <w:rFonts w:hint="eastAsia" w:ascii="宋体" w:hAnsi="宋体" w:cs="宋体"/>
          <w:bCs/>
          <w:color w:val="auto"/>
          <w:sz w:val="24"/>
          <w:highlight w:val="none"/>
        </w:rPr>
        <w:t>采购人指定地点。</w:t>
      </w:r>
    </w:p>
    <w:p>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color w:val="auto"/>
          <w:sz w:val="24"/>
          <w:highlight w:val="none"/>
        </w:rPr>
        <w:t>1.3交付要求：</w:t>
      </w:r>
      <w:r>
        <w:rPr>
          <w:rFonts w:hint="eastAsia" w:ascii="宋体" w:hAnsi="宋体" w:cs="宋体"/>
          <w:bCs/>
          <w:color w:val="auto"/>
          <w:sz w:val="24"/>
          <w:highlight w:val="none"/>
        </w:rPr>
        <w:t>交货时要求提供所投产品的产品说明书、及制造商完整的随车资料、随车工具、完整的使用手册和维修手册等。</w:t>
      </w:r>
    </w:p>
    <w:p>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2. 付款条件（进度和方式）</w:t>
      </w:r>
    </w:p>
    <w:p>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结算付款方式：转账</w:t>
      </w:r>
    </w:p>
    <w:p>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验收合格后的</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个工作日，采购人向中标人一次性支付全部货物款项。</w:t>
      </w:r>
    </w:p>
    <w:p>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采购人付款前，中标人需提供符合采购人要求的等额正规发票、购置税票。</w:t>
      </w:r>
    </w:p>
    <w:p>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付款时间和付款金额以采购人获得经费审批为准，经费未及时审批或拨款的，采购人可根据经费批复情况调整付款时间及金额，且不视为采购人违约，如发生上述情况，中标人承诺仍按照约定履行义务。</w:t>
      </w:r>
    </w:p>
    <w:p>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3. 包装和运输</w:t>
      </w:r>
    </w:p>
    <w:p>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中标人交付的货物均应按照包装和运输的标准保护措施，满足该类货物特定性质所需的远距离运输、防潮、防震、防锈等要求，确保货物安全运至指定地点，由于包装不良造成的损失由此产生的费用均由中标人承担。</w:t>
      </w:r>
    </w:p>
    <w:p>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中标人负责将货物运到采购人指定地点的全部运输、包括装卸车、货物现场的搬运。</w:t>
      </w:r>
    </w:p>
    <w:p>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车辆验收之前的保管由中标人负责、直至安装、调试、验收完毕。</w:t>
      </w:r>
    </w:p>
    <w:p>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车辆在安装调试验收合格前的保险由中标人负责，同时负责派出的现场服务人员人身意外保险。</w:t>
      </w:r>
    </w:p>
    <w:p>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4. 售后服务（质保期）</w:t>
      </w:r>
    </w:p>
    <w:p>
      <w:pPr>
        <w:spacing w:line="360" w:lineRule="auto"/>
        <w:ind w:firstLine="480" w:firstLineChars="200"/>
        <w:contextualSpacing/>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所投车辆保修期限不低于</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年或者行驶里程1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0,000公里</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所投车辆三包（修理、更换、退货）有效期限不低于《家用汽车产品修理、更换、退货责任规定》要求。保修期和三包有效期自供应商开具购车发票之日起计算。</w:t>
      </w:r>
    </w:p>
    <w:p>
      <w:pPr>
        <w:spacing w:line="360" w:lineRule="auto"/>
        <w:ind w:firstLine="480" w:firstLineChars="200"/>
        <w:contextualSpacing/>
        <w:rPr>
          <w:rFonts w:hint="eastAsia" w:ascii="宋体" w:hAnsi="宋体" w:cs="宋体"/>
          <w:bCs/>
          <w:iCs/>
          <w:color w:val="auto"/>
          <w:sz w:val="24"/>
          <w:highlight w:val="none"/>
        </w:rPr>
      </w:pPr>
      <w:r>
        <w:rPr>
          <w:rFonts w:hint="eastAsia" w:ascii="宋体" w:hAnsi="宋体" w:cs="宋体"/>
          <w:bCs/>
          <w:color w:val="auto"/>
          <w:sz w:val="24"/>
          <w:highlight w:val="none"/>
        </w:rPr>
        <w:t>提供所投产品制造商服务机构情况，包括地址、联系方式及技术人员数量等</w:t>
      </w:r>
      <w:r>
        <w:rPr>
          <w:rFonts w:hint="eastAsia" w:ascii="宋体" w:hAnsi="宋体" w:cs="宋体"/>
          <w:bCs/>
          <w:iCs/>
          <w:color w:val="auto"/>
          <w:sz w:val="24"/>
          <w:highlight w:val="none"/>
        </w:rPr>
        <w:t>。</w:t>
      </w:r>
    </w:p>
    <w:p>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整车质保（包含随车装备）需符合国家“三包”要求，整车质保期为3年（审核依据以“采购需求偏离表”的响应情况为准）。鼓励投标人在整车质保3年的基础上，进一步延长免费保修期。</w:t>
      </w:r>
    </w:p>
    <w:p>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质保期间维修时使用原厂机动车配件，保修期和三包有效期自供应商开具发票之日计算。</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质保期内：7天*24小时电话服务响应。</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车辆发生故障时，技术人员应在1小时以内响应，6小时内到达故障现场、现场无法解决的，应免费提供车辆救援服务，且应在48小时内修复故障。</w:t>
      </w:r>
    </w:p>
    <w:p>
      <w:pPr>
        <w:pStyle w:val="66"/>
        <w:spacing w:line="360" w:lineRule="auto"/>
        <w:ind w:firstLine="482"/>
        <w:contextualSpacing/>
        <w:rPr>
          <w:rFonts w:hint="eastAsia" w:ascii="宋体" w:hAnsi="宋体" w:cs="宋体"/>
          <w:color w:val="auto"/>
          <w:sz w:val="24"/>
          <w:szCs w:val="24"/>
          <w:highlight w:val="none"/>
        </w:rPr>
      </w:pPr>
      <w:r>
        <w:rPr>
          <w:rFonts w:hint="eastAsia" w:ascii="宋体" w:hAnsi="宋体" w:cs="宋体"/>
          <w:b/>
          <w:bCs/>
          <w:color w:val="auto"/>
          <w:sz w:val="24"/>
          <w:szCs w:val="24"/>
          <w:highlight w:val="none"/>
        </w:rPr>
        <w:t>★投标人中标后应针对本项目设立备品备件库。</w:t>
      </w:r>
      <w:r>
        <w:rPr>
          <w:rStyle w:val="507"/>
          <w:rFonts w:hint="eastAsia" w:ascii="宋体" w:hAnsi="宋体" w:cs="宋体"/>
          <w:b/>
          <w:bCs/>
          <w:color w:val="auto"/>
          <w:kern w:val="0"/>
          <w:sz w:val="24"/>
          <w:szCs w:val="24"/>
          <w:highlight w:val="none"/>
        </w:rPr>
        <w:t>供应商</w:t>
      </w:r>
      <w:r>
        <w:rPr>
          <w:rFonts w:hint="eastAsia" w:ascii="宋体" w:hAnsi="宋体" w:cs="宋体"/>
          <w:b/>
          <w:bCs/>
          <w:color w:val="auto"/>
          <w:sz w:val="24"/>
          <w:szCs w:val="24"/>
          <w:highlight w:val="none"/>
        </w:rPr>
        <w:t>必须在《投标文件（商务技术文件）》中提供由法定代表人或法定代表人授权代表签字或签章或印鉴，加盖供应商公章的承诺函，承诺函内容必须包括（格式详见第七章 投标文件格式）</w:t>
      </w:r>
      <w:r>
        <w:rPr>
          <w:rStyle w:val="507"/>
          <w:rFonts w:hint="eastAsia" w:ascii="宋体" w:hAnsi="宋体" w:cs="宋体"/>
          <w:b/>
          <w:bCs/>
          <w:color w:val="auto"/>
          <w:kern w:val="0"/>
          <w:sz w:val="24"/>
          <w:szCs w:val="24"/>
          <w:highlight w:val="none"/>
        </w:rPr>
        <w:t>：</w:t>
      </w:r>
      <w:r>
        <w:rPr>
          <w:rFonts w:hint="eastAsia" w:ascii="宋体" w:hAnsi="宋体" w:cs="宋体"/>
          <w:color w:val="auto"/>
          <w:sz w:val="24"/>
          <w:szCs w:val="24"/>
          <w:highlight w:val="none"/>
        </w:rPr>
        <w:t>我单位承诺，如我单位中标，将针对本项目设立备品备件库。如我单位中标后，未针对本项目设立备品备件库，有权依据《政府采购法》第七十七条“提供虚假材料谋取中标、成交的”有关规定予以处理，并追究我单位相关法律责任。我单位承担由此产生的一切费用及采购人的相关损失。</w:t>
      </w:r>
      <w:r>
        <w:rPr>
          <w:rFonts w:hint="eastAsia" w:ascii="宋体" w:hAnsi="宋体" w:cs="宋体"/>
          <w:b/>
          <w:bCs/>
          <w:color w:val="auto"/>
          <w:sz w:val="24"/>
          <w:szCs w:val="24"/>
          <w:highlight w:val="none"/>
        </w:rPr>
        <w:t>未按上述要求提供承诺函的投标，将被视为</w:t>
      </w:r>
      <w:r>
        <w:rPr>
          <w:rFonts w:hint="eastAsia" w:ascii="宋体" w:hAnsi="宋体" w:cs="宋体"/>
          <w:b/>
          <w:bCs/>
          <w:color w:val="auto"/>
          <w:sz w:val="24"/>
          <w:szCs w:val="24"/>
          <w:highlight w:val="none"/>
          <w:u w:val="single"/>
        </w:rPr>
        <w:t>无效投标</w:t>
      </w:r>
      <w:r>
        <w:rPr>
          <w:rFonts w:hint="eastAsia" w:ascii="宋体" w:hAnsi="宋体" w:cs="宋体"/>
          <w:color w:val="auto"/>
          <w:sz w:val="24"/>
          <w:szCs w:val="24"/>
          <w:highlight w:val="none"/>
        </w:rPr>
        <w:t>。</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提供车辆使用说明或使用光盘，如有需要，应配合采购人开展包括但不限于车辆使用、日常维护等内容的培训工作。</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可根据采购人的工作需求，针对节假日和重大活动时期提供相关技术支持方案。</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交付</w:t>
      </w:r>
      <w:r>
        <w:rPr>
          <w:rFonts w:hint="eastAsia" w:ascii="宋体" w:hAnsi="宋体" w:cs="宋体"/>
          <w:color w:val="auto"/>
          <w:sz w:val="24"/>
          <w:highlight w:val="none"/>
          <w:lang w:eastAsia="zh-CN"/>
        </w:rPr>
        <w:t>的</w:t>
      </w:r>
      <w:r>
        <w:rPr>
          <w:rFonts w:hint="eastAsia" w:ascii="宋体" w:hAnsi="宋体" w:cs="宋体"/>
          <w:color w:val="auto"/>
          <w:sz w:val="24"/>
          <w:highlight w:val="none"/>
        </w:rPr>
        <w:t>增程式越野车车辆油箱内，应加注不低于20升燃油，新能源车辆电量应不低于70%。</w:t>
      </w:r>
    </w:p>
    <w:p>
      <w:pPr>
        <w:numPr>
          <w:ilvl w:val="0"/>
          <w:numId w:val="9"/>
        </w:num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投标人报价应包括车辆及附件货款、车辆购置税、警车改装费用、运输费、运输保险费、装卸费等，不包含机动车保险费用，投标人所报价格为最终价格。验收及相关费用由投标人负责。</w:t>
      </w:r>
    </w:p>
    <w:p>
      <w:pPr>
        <w:pStyle w:val="508"/>
        <w:spacing w:line="360" w:lineRule="auto"/>
        <w:ind w:firstLine="0" w:firstLineChars="0"/>
        <w:rPr>
          <w:rFonts w:hint="eastAsia" w:ascii="宋体" w:hAnsi="宋体" w:cs="宋体"/>
          <w:color w:val="auto"/>
          <w:sz w:val="24"/>
          <w:szCs w:val="24"/>
          <w:highlight w:val="none"/>
        </w:rPr>
      </w:pPr>
    </w:p>
    <w:p>
      <w:pPr>
        <w:pStyle w:val="66"/>
        <w:spacing w:line="360" w:lineRule="auto"/>
        <w:ind w:firstLine="0" w:firstLineChars="0"/>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三、技术要求</w:t>
      </w:r>
    </w:p>
    <w:p>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1. 基本要求</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1.1 采购标的需实现的功能或者目标</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主要应用于北京市，能够展示北京市公安民警的执法执勤形象，确保车辆行驶安全可靠。</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1.2 需执行的国家相关标准、行业标准、地方标准或者其他标准、规范</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满足机动车生产的相关国家相关标准、行业标准、地方标准或者其他标准、规。</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满足《2004式警车汽车类外观制式涂装规范》GA524-2004的涂装要求。</w:t>
      </w:r>
    </w:p>
    <w:p>
      <w:pPr>
        <w:spacing w:line="360" w:lineRule="auto"/>
        <w:ind w:firstLine="482" w:firstLineChars="200"/>
        <w:contextualSpacing/>
        <w:rPr>
          <w:rFonts w:hint="eastAsia" w:ascii="宋体" w:hAnsi="宋体" w:cs="宋体"/>
          <w:color w:val="auto"/>
          <w:sz w:val="24"/>
          <w:highlight w:val="none"/>
        </w:rPr>
      </w:pPr>
      <w:r>
        <w:rPr>
          <w:rFonts w:hint="eastAsia" w:ascii="宋体" w:hAnsi="宋体" w:cs="宋体"/>
          <w:b/>
          <w:bCs/>
          <w:color w:val="auto"/>
          <w:sz w:val="24"/>
          <w:highlight w:val="none"/>
        </w:rPr>
        <w:t>★投标车型必须为列入《道路机动车辆生产企业及产品公告》目录中的产品</w:t>
      </w:r>
      <w:r>
        <w:rPr>
          <w:rFonts w:hint="eastAsia" w:ascii="宋体" w:hAnsi="宋体" w:cs="宋体"/>
          <w:color w:val="auto"/>
          <w:sz w:val="24"/>
          <w:highlight w:val="none"/>
        </w:rPr>
        <w:t>。投标人须提供道路机动车辆生产企业及产品信息查询系统查询的页面截图并加盖投标人公章（截图须包含所投产品的“企业名称”、“中文品牌”、“车辆型号”、“车辆名称”、“批次”等内容）。（参考网址：</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"http://app.miit-eidc.org.cn/miitxxgk/gonggao_xxgk/index_ggcp.html）" </w:instrText>
      </w:r>
      <w:r>
        <w:rPr>
          <w:rFonts w:hint="eastAsia" w:ascii="宋体" w:hAnsi="宋体" w:cs="宋体"/>
          <w:color w:val="auto"/>
          <w:sz w:val="24"/>
          <w:highlight w:val="none"/>
        </w:rPr>
        <w:fldChar w:fldCharType="separate"/>
      </w:r>
      <w:r>
        <w:rPr>
          <w:rStyle w:val="61"/>
          <w:rFonts w:hint="eastAsia" w:ascii="宋体" w:hAnsi="宋体" w:cs="宋体"/>
          <w:color w:val="auto"/>
          <w:sz w:val="24"/>
          <w:highlight w:val="none"/>
        </w:rPr>
        <w:t>http://app.miit-eidc.org.cn/miitxxgk/gonggao_xxgk/index_ggcp.html）</w:t>
      </w:r>
      <w:r>
        <w:rPr>
          <w:rFonts w:hint="eastAsia" w:ascii="宋体" w:hAnsi="宋体" w:cs="宋体"/>
          <w:color w:val="auto"/>
          <w:sz w:val="24"/>
          <w:highlight w:val="none"/>
        </w:rPr>
        <w:fldChar w:fldCharType="end"/>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投标文件中对所投产品的名称、品牌、制造商、产地及在安全、性能、管理、厂家标准、使用年限及售后服务等方面提供详细的具有法律效力的技术资料。</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投标文件中提供所投产品原材料采购、设计、加工制作、存储、流通、回收等产品全生命周期各环节、详细阐述该产品节能、环保及绿色供应链管理情况，提供相关文件，形式包括证书、图示、文字说明等。</w:t>
      </w:r>
    </w:p>
    <w:p>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2. 货物技术要求</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2.1采购标的需满足的性能、材料、结构、外观、质量、安全、技术规格、物理特性等要求；</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特别说明：</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1、标记了“★”的技术参数属于实质性参数，</w:t>
      </w:r>
      <w:r>
        <w:rPr>
          <w:rFonts w:hint="eastAsia" w:ascii="宋体" w:hAnsi="宋体" w:cs="宋体"/>
          <w:b/>
          <w:bCs/>
          <w:color w:val="auto"/>
          <w:sz w:val="24"/>
          <w:highlight w:val="none"/>
        </w:rPr>
        <w:t>如未响应或响应为负偏离的，按</w:t>
      </w:r>
      <w:r>
        <w:rPr>
          <w:rFonts w:hint="eastAsia" w:ascii="宋体" w:hAnsi="宋体" w:cs="宋体"/>
          <w:b/>
          <w:bCs/>
          <w:color w:val="auto"/>
          <w:sz w:val="24"/>
          <w:highlight w:val="none"/>
          <w:u w:val="single"/>
        </w:rPr>
        <w:t>无效投标</w:t>
      </w:r>
      <w:r>
        <w:rPr>
          <w:rFonts w:hint="eastAsia" w:ascii="宋体" w:hAnsi="宋体" w:cs="宋体"/>
          <w:b/>
          <w:bCs/>
          <w:color w:val="auto"/>
          <w:sz w:val="24"/>
          <w:highlight w:val="none"/>
        </w:rPr>
        <w:t>处理。</w:t>
      </w:r>
      <w:r>
        <w:rPr>
          <w:rFonts w:hint="eastAsia" w:ascii="宋体" w:hAnsi="宋体" w:cs="宋体"/>
          <w:color w:val="auto"/>
          <w:sz w:val="24"/>
          <w:highlight w:val="none"/>
        </w:rPr>
        <w:t>“★”技术参数响应情况的审核依据：供应商在《投标文件（商务技术文件）》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w:t>
      </w:r>
    </w:p>
    <w:p>
      <w:pPr>
        <w:pStyle w:val="22"/>
        <w:spacing w:line="360" w:lineRule="auto"/>
        <w:ind w:firstLine="480" w:firstLineChars="200"/>
        <w:rPr>
          <w:rFonts w:hint="eastAsia" w:cs="宋体"/>
          <w:color w:val="auto"/>
          <w:highlight w:val="none"/>
        </w:rPr>
      </w:pPr>
      <w:r>
        <w:rPr>
          <w:rFonts w:hint="eastAsia" w:cs="宋体"/>
          <w:color w:val="auto"/>
          <w:highlight w:val="none"/>
        </w:rPr>
        <w:t>2、一般技术指标（即未做“★”标记的指标），是指满足本次采购基本功能的技术指标，如供应商所投产品的一般技术指标出现一项或多项负偏离的，将影响其评审分值,但不作为无效投标处理。一般技术指标响应情况的审核依据：供应商在《投标文件（商务技术文件）》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w:t>
      </w:r>
    </w:p>
    <w:p>
      <w:pPr>
        <w:pStyle w:val="22"/>
        <w:spacing w:line="360" w:lineRule="auto"/>
        <w:ind w:firstLine="480" w:firstLineChars="200"/>
        <w:rPr>
          <w:rFonts w:hint="eastAsia" w:cs="宋体"/>
          <w:color w:val="auto"/>
          <w:highlight w:val="none"/>
        </w:rPr>
      </w:pPr>
      <w:r>
        <w:rPr>
          <w:rFonts w:hint="eastAsia" w:cs="宋体"/>
          <w:color w:val="auto"/>
          <w:highlight w:val="none"/>
        </w:rPr>
        <w:t>（一）新能源轿车</w:t>
      </w:r>
    </w:p>
    <w:tbl>
      <w:tblPr>
        <w:tblStyle w:val="53"/>
        <w:tblW w:w="89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996"/>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★车身</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4门5座纯电动新能源轿车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★续航里程</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★电池能量</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≥80kWh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★电动机最大功率</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≥150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★电动机最大扭矩</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≥300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★轴距</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≥2880mm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7</w:t>
            </w:r>
          </w:p>
        </w:tc>
        <w:tc>
          <w:tcPr>
            <w:tcW w:w="3996" w:type="dxa"/>
            <w:vMerge w:val="restart"/>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★外形尺寸</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4800mm≤长≤4950mm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rPr>
                <w:rFonts w:hint="eastAsia" w:ascii="宋体" w:hAnsi="宋体" w:cs="宋体"/>
                <w:bCs/>
                <w:color w:val="auto"/>
                <w:sz w:val="24"/>
                <w:szCs w:val="24"/>
                <w:highlight w:val="none"/>
              </w:rPr>
            </w:pPr>
          </w:p>
        </w:tc>
        <w:tc>
          <w:tcPr>
            <w:tcW w:w="3996" w:type="dxa"/>
            <w:vMerge w:val="continue"/>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rPr>
                <w:rFonts w:hint="eastAsia" w:ascii="宋体" w:hAnsi="宋体" w:cs="宋体"/>
                <w:bCs/>
                <w:color w:val="auto"/>
                <w:sz w:val="24"/>
                <w:szCs w:val="24"/>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1800mm≤宽≤1950mm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rPr>
                <w:rFonts w:hint="eastAsia" w:ascii="宋体" w:hAnsi="宋体" w:cs="宋体"/>
                <w:bCs/>
                <w:color w:val="auto"/>
                <w:sz w:val="24"/>
                <w:szCs w:val="24"/>
                <w:highlight w:val="none"/>
              </w:rPr>
            </w:pPr>
          </w:p>
        </w:tc>
        <w:tc>
          <w:tcPr>
            <w:tcW w:w="3996" w:type="dxa"/>
            <w:vMerge w:val="continue"/>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rPr>
                <w:rFonts w:hint="eastAsia" w:ascii="宋体" w:hAnsi="宋体" w:cs="宋体"/>
                <w:bCs/>
                <w:color w:val="auto"/>
                <w:sz w:val="24"/>
                <w:szCs w:val="24"/>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1460mm≤高≤1600mm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8</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★行李箱最小容积</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9</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电池组质保</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≥8年或10万公里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10</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制动力分配(EBD/CBC等)</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刹车辅助(EBA/BAS/BA等)</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牵引力控制(ASR/TCS等)</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车身稳定控制(ESP/ESC等)</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头部气囊(气帘)</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前排、后排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空调系统</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自动空调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16</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驱动形式</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17</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自动驻车</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18</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电动尾门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19</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前后驻车雷达</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20</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车道偏离预警系统</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21</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车道保持辅助系统</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22</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陡坡缓降功能</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23</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前车门隔音夹层玻璃</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24</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全景影像</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25</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前排座椅加热</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26</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无感启动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27</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PM2.5和花粉过滤</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28</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道路应急呼叫功能</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29</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color w:val="auto"/>
                <w:sz w:val="24"/>
                <w:szCs w:val="24"/>
                <w:highlight w:val="none"/>
              </w:rPr>
              <w:t>★</w:t>
            </w:r>
            <w:r>
              <w:rPr>
                <w:rFonts w:hint="eastAsia" w:ascii="宋体" w:hAnsi="宋体" w:cs="宋体"/>
                <w:bCs/>
                <w:color w:val="auto"/>
                <w:sz w:val="24"/>
                <w:szCs w:val="24"/>
                <w:highlight w:val="none"/>
              </w:rPr>
              <w:t>车身颜色</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15</w:t>
            </w:r>
            <w:r>
              <w:rPr>
                <w:rFonts w:hint="eastAsia" w:ascii="宋体" w:hAnsi="宋体" w:cs="宋体"/>
                <w:bCs/>
                <w:color w:val="auto"/>
                <w:sz w:val="24"/>
                <w:szCs w:val="24"/>
                <w:highlight w:val="none"/>
              </w:rPr>
              <w:t>辆警车色</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8辆黑色</w:t>
            </w:r>
            <w:r>
              <w:rPr>
                <w:rFonts w:hint="eastAsia" w:ascii="宋体" w:hAnsi="宋体" w:cs="宋体"/>
                <w:bCs/>
                <w:color w:val="auto"/>
                <w:sz w:val="24"/>
                <w:szCs w:val="24"/>
                <w:highlight w:val="none"/>
              </w:rPr>
              <w:t>。警车色须符合《中华人民共和国公共安全行业标准》GA524--2004（2004式警车汽车类外观制式涂装规范）涂装规范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30</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color w:val="auto"/>
                <w:sz w:val="24"/>
                <w:szCs w:val="24"/>
                <w:highlight w:val="none"/>
              </w:rPr>
              <w:t>★</w:t>
            </w:r>
            <w:r>
              <w:rPr>
                <w:rFonts w:hint="eastAsia" w:ascii="宋体" w:hAnsi="宋体" w:cs="宋体"/>
                <w:bCs/>
                <w:color w:val="auto"/>
                <w:sz w:val="24"/>
                <w:szCs w:val="24"/>
                <w:highlight w:val="none"/>
              </w:rPr>
              <w:t>充电桩</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数量</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23</w:t>
            </w:r>
            <w:r>
              <w:rPr>
                <w:rFonts w:hint="eastAsia" w:ascii="宋体" w:hAnsi="宋体" w:cs="宋体"/>
                <w:bCs/>
                <w:color w:val="auto"/>
                <w:sz w:val="24"/>
                <w:szCs w:val="24"/>
                <w:highlight w:val="none"/>
              </w:rPr>
              <w:t>个，立柱式或壁挂式，含</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个20KW以上快充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31</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前排电动座椅调节</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w:t>
            </w:r>
          </w:p>
        </w:tc>
        <w:tc>
          <w:tcPr>
            <w:tcW w:w="3996"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前排座椅通风</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pStyle w:val="66"/>
              <w:adjustRightInd w:val="0"/>
              <w:spacing w:line="360" w:lineRule="auto"/>
              <w:ind w:firstLine="0" w:firstLineChars="0"/>
              <w:contextualSpacing/>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w:t>
            </w:r>
          </w:p>
        </w:tc>
      </w:tr>
    </w:tbl>
    <w:p>
      <w:pPr>
        <w:pStyle w:val="509"/>
        <w:adjustRightInd w:val="0"/>
        <w:spacing w:line="360" w:lineRule="auto"/>
        <w:ind w:firstLine="0" w:firstLineChars="0"/>
        <w:contextualSpacing/>
        <w:jc w:val="left"/>
        <w:rPr>
          <w:rFonts w:hint="eastAsia" w:ascii="宋体" w:hAnsi="宋体"/>
          <w:bCs/>
          <w:sz w:val="24"/>
          <w:szCs w:val="24"/>
          <w:highlight w:val="none"/>
        </w:rPr>
      </w:pPr>
      <w:r>
        <w:rPr>
          <w:rFonts w:hint="eastAsia" w:ascii="宋体" w:hAnsi="宋体"/>
          <w:bCs/>
          <w:sz w:val="24"/>
          <w:szCs w:val="24"/>
          <w:highlight w:val="none"/>
        </w:rPr>
        <w:t>说明：标注★的项目为必须实质满足项，不满足视为未实质响应，视为投标无效</w:t>
      </w:r>
    </w:p>
    <w:p>
      <w:pPr>
        <w:widowControl/>
        <w:spacing w:line="360" w:lineRule="auto"/>
        <w:ind w:firstLine="480" w:firstLineChars="200"/>
        <w:contextualSpacing/>
        <w:rPr>
          <w:rFonts w:hint="eastAsia" w:ascii="宋体" w:hAnsi="宋体" w:cs="宋体"/>
          <w:color w:val="auto"/>
          <w:sz w:val="24"/>
          <w:highlight w:val="none"/>
        </w:rPr>
      </w:pPr>
    </w:p>
    <w:p>
      <w:pPr>
        <w:pStyle w:val="22"/>
        <w:spacing w:line="360" w:lineRule="auto"/>
        <w:ind w:firstLine="480" w:firstLineChars="200"/>
        <w:rPr>
          <w:rFonts w:hint="eastAsia" w:cs="宋体"/>
          <w:color w:val="auto"/>
          <w:highlight w:val="none"/>
        </w:rPr>
      </w:pPr>
      <w:r>
        <w:rPr>
          <w:rFonts w:hint="eastAsia" w:cs="宋体"/>
          <w:color w:val="auto"/>
          <w:highlight w:val="none"/>
        </w:rPr>
        <w:t>（二）增程式越野车</w:t>
      </w:r>
    </w:p>
    <w:tbl>
      <w:tblPr>
        <w:tblStyle w:val="53"/>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44"/>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b/>
                <w:color w:val="auto"/>
                <w:highlight w:val="none"/>
              </w:rPr>
            </w:pPr>
            <w:r>
              <w:rPr>
                <w:rFonts w:hint="eastAsia" w:cs="宋体"/>
                <w:b/>
                <w:color w:val="auto"/>
                <w:highlight w:val="none"/>
              </w:rPr>
              <w:t>序号</w:t>
            </w:r>
          </w:p>
        </w:tc>
        <w:tc>
          <w:tcPr>
            <w:tcW w:w="3544" w:type="dxa"/>
            <w:noWrap/>
            <w:vAlign w:val="center"/>
          </w:tcPr>
          <w:p>
            <w:pPr>
              <w:pStyle w:val="22"/>
              <w:snapToGrid w:val="0"/>
              <w:spacing w:before="0" w:line="360" w:lineRule="auto"/>
              <w:jc w:val="center"/>
              <w:rPr>
                <w:rFonts w:hint="eastAsia" w:cs="宋体"/>
                <w:b/>
                <w:color w:val="auto"/>
                <w:highlight w:val="none"/>
              </w:rPr>
            </w:pPr>
            <w:r>
              <w:rPr>
                <w:rFonts w:hint="eastAsia" w:cs="宋体"/>
                <w:b/>
                <w:color w:val="auto"/>
                <w:highlight w:val="none"/>
              </w:rPr>
              <w:t>项目</w:t>
            </w:r>
          </w:p>
        </w:tc>
        <w:tc>
          <w:tcPr>
            <w:tcW w:w="4019" w:type="dxa"/>
            <w:noWrap w:val="0"/>
            <w:vAlign w:val="center"/>
          </w:tcPr>
          <w:p>
            <w:pPr>
              <w:pStyle w:val="22"/>
              <w:snapToGrid w:val="0"/>
              <w:spacing w:before="0" w:line="360" w:lineRule="auto"/>
              <w:jc w:val="center"/>
              <w:rPr>
                <w:rFonts w:hint="eastAsia" w:cs="宋体"/>
                <w:b/>
                <w:color w:val="auto"/>
                <w:highlight w:val="none"/>
              </w:rPr>
            </w:pPr>
            <w:r>
              <w:rPr>
                <w:rFonts w:hint="eastAsia" w:cs="宋体"/>
                <w:b/>
                <w:color w:val="auto"/>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cs="宋体"/>
                <w:color w:val="auto"/>
                <w:highlight w:val="none"/>
              </w:rPr>
            </w:pPr>
            <w:r>
              <w:rPr>
                <w:rFonts w:hint="eastAsia" w:cs="宋体"/>
                <w:color w:val="auto"/>
                <w:highlight w:val="none"/>
              </w:rPr>
              <w:t>1</w:t>
            </w:r>
          </w:p>
        </w:tc>
        <w:tc>
          <w:tcPr>
            <w:tcW w:w="3544"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★CLTC纯电续航</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≥150km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w:t>
            </w:r>
          </w:p>
        </w:tc>
        <w:tc>
          <w:tcPr>
            <w:tcW w:w="3544"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★增程器</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≥150PS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w:t>
            </w:r>
          </w:p>
        </w:tc>
        <w:tc>
          <w:tcPr>
            <w:tcW w:w="3544"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CLTC综合续航里程</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≥1000km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4</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车身形式</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非承载车身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5</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★排放标准</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国六b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6</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★排量</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1460ml≤排量≤1500ml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7</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lang w:eastAsia="zh-CN"/>
              </w:rPr>
              <w:t>增程器</w:t>
            </w:r>
            <w:r>
              <w:rPr>
                <w:rFonts w:hint="eastAsia" w:cs="宋体"/>
                <w:color w:val="auto"/>
                <w:highlight w:val="none"/>
              </w:rPr>
              <w:t>进气形式</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自然吸气或机械增压或涡轮增压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8</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最大功率</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≥400kW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9</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最大扭矩</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≥650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10</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★燃油类型</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11</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★驱动形式</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四驱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12</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★轴距</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13</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★车身颜色</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lang w:val="en-US" w:eastAsia="zh-CN"/>
              </w:rPr>
              <w:t>2辆黑色，16辆警车色。</w:t>
            </w:r>
            <w:r>
              <w:rPr>
                <w:rFonts w:hint="eastAsia" w:cs="宋体"/>
                <w:color w:val="auto"/>
                <w:highlight w:val="none"/>
              </w:rPr>
              <w:t>警车色须符合《中华人民共和国公共安全行业标准》GA524--2004（2004式警车汽车类外观制式涂装规范）涂装规范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46" w:type="dxa"/>
            <w:vMerge w:val="restart"/>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14</w:t>
            </w:r>
          </w:p>
        </w:tc>
        <w:tc>
          <w:tcPr>
            <w:tcW w:w="3544" w:type="dxa"/>
            <w:vMerge w:val="restart"/>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★外形尺寸</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5000mm≤长≤5080mm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46" w:type="dxa"/>
            <w:vMerge w:val="continue"/>
            <w:noWrap w:val="0"/>
            <w:vAlign w:val="center"/>
          </w:tcPr>
          <w:p>
            <w:pPr>
              <w:pStyle w:val="22"/>
              <w:snapToGrid w:val="0"/>
              <w:spacing w:before="0" w:line="360" w:lineRule="auto"/>
              <w:jc w:val="center"/>
              <w:rPr>
                <w:rFonts w:cs="宋体"/>
                <w:color w:val="auto"/>
                <w:highlight w:val="none"/>
              </w:rPr>
            </w:pPr>
          </w:p>
        </w:tc>
        <w:tc>
          <w:tcPr>
            <w:tcW w:w="3544" w:type="dxa"/>
            <w:vMerge w:val="continue"/>
            <w:noWrap w:val="0"/>
            <w:vAlign w:val="center"/>
          </w:tcPr>
          <w:p>
            <w:pPr>
              <w:pStyle w:val="22"/>
              <w:snapToGrid w:val="0"/>
              <w:spacing w:before="0" w:line="360" w:lineRule="auto"/>
              <w:jc w:val="center"/>
              <w:rPr>
                <w:rFonts w:cs="宋体"/>
                <w:color w:val="auto"/>
                <w:highlight w:val="none"/>
              </w:rPr>
            </w:pPr>
          </w:p>
        </w:tc>
        <w:tc>
          <w:tcPr>
            <w:tcW w:w="4019" w:type="dxa"/>
            <w:noWrap w:val="0"/>
            <w:vAlign w:val="center"/>
          </w:tcPr>
          <w:p>
            <w:pPr>
              <w:pStyle w:val="22"/>
              <w:snapToGrid w:val="0"/>
              <w:spacing w:before="0" w:line="360" w:lineRule="auto"/>
              <w:jc w:val="center"/>
              <w:rPr>
                <w:rFonts w:cs="宋体"/>
                <w:color w:val="auto"/>
                <w:highlight w:val="none"/>
              </w:rPr>
            </w:pPr>
            <w:r>
              <w:rPr>
                <w:rFonts w:hint="eastAsia" w:cs="宋体"/>
                <w:color w:val="auto"/>
                <w:highlight w:val="none"/>
              </w:rPr>
              <w:t>1900mm≤宽≤2000mm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46" w:type="dxa"/>
            <w:vMerge w:val="continue"/>
            <w:noWrap w:val="0"/>
            <w:vAlign w:val="center"/>
          </w:tcPr>
          <w:p>
            <w:pPr>
              <w:pStyle w:val="22"/>
              <w:snapToGrid w:val="0"/>
              <w:spacing w:before="0" w:line="360" w:lineRule="auto"/>
              <w:jc w:val="center"/>
              <w:rPr>
                <w:rFonts w:cs="宋体"/>
                <w:color w:val="auto"/>
                <w:highlight w:val="none"/>
              </w:rPr>
            </w:pPr>
          </w:p>
        </w:tc>
        <w:tc>
          <w:tcPr>
            <w:tcW w:w="3544" w:type="dxa"/>
            <w:vMerge w:val="continue"/>
            <w:noWrap w:val="0"/>
            <w:vAlign w:val="center"/>
          </w:tcPr>
          <w:p>
            <w:pPr>
              <w:pStyle w:val="22"/>
              <w:snapToGrid w:val="0"/>
              <w:spacing w:before="0" w:line="360" w:lineRule="auto"/>
              <w:jc w:val="center"/>
              <w:rPr>
                <w:rFonts w:cs="宋体"/>
                <w:color w:val="auto"/>
                <w:highlight w:val="none"/>
              </w:rPr>
            </w:pPr>
          </w:p>
        </w:tc>
        <w:tc>
          <w:tcPr>
            <w:tcW w:w="4019" w:type="dxa"/>
            <w:noWrap w:val="0"/>
            <w:vAlign w:val="center"/>
          </w:tcPr>
          <w:p>
            <w:pPr>
              <w:pStyle w:val="22"/>
              <w:snapToGrid w:val="0"/>
              <w:spacing w:before="0" w:line="360" w:lineRule="auto"/>
              <w:jc w:val="center"/>
              <w:rPr>
                <w:rFonts w:cs="宋体"/>
                <w:color w:val="auto"/>
                <w:highlight w:val="none"/>
              </w:rPr>
            </w:pPr>
            <w:r>
              <w:rPr>
                <w:rFonts w:hint="eastAsia" w:cs="宋体"/>
                <w:color w:val="auto"/>
                <w:highlight w:val="none"/>
              </w:rPr>
              <w:t>1750mm≤高≤1950mm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15</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通过性</w:t>
            </w:r>
          </w:p>
        </w:tc>
        <w:tc>
          <w:tcPr>
            <w:tcW w:w="4019" w:type="dxa"/>
            <w:noWrap w:val="0"/>
            <w:vAlign w:val="center"/>
          </w:tcPr>
          <w:p>
            <w:pPr>
              <w:pStyle w:val="22"/>
              <w:snapToGrid w:val="0"/>
              <w:spacing w:before="0" w:line="360" w:lineRule="auto"/>
              <w:jc w:val="center"/>
              <w:rPr>
                <w:rFonts w:cs="宋体"/>
                <w:color w:val="auto"/>
                <w:highlight w:val="none"/>
              </w:rPr>
            </w:pPr>
            <w:r>
              <w:rPr>
                <w:rFonts w:hint="eastAsia" w:cs="宋体"/>
                <w:color w:val="auto"/>
                <w:highlight w:val="none"/>
              </w:rPr>
              <w:t>接近角≥28°</w:t>
            </w:r>
          </w:p>
          <w:p>
            <w:pPr>
              <w:pStyle w:val="22"/>
              <w:snapToGrid w:val="0"/>
              <w:spacing w:before="0" w:line="360" w:lineRule="auto"/>
              <w:jc w:val="center"/>
              <w:rPr>
                <w:rFonts w:hint="eastAsia" w:cs="宋体"/>
                <w:color w:val="auto"/>
                <w:highlight w:val="none"/>
              </w:rPr>
            </w:pPr>
            <w:r>
              <w:rPr>
                <w:rFonts w:hint="eastAsia" w:cs="宋体"/>
                <w:color w:val="auto"/>
                <w:highlight w:val="none"/>
              </w:rPr>
              <w:t>离去角≥23°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16</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前后轮距</w:t>
            </w:r>
          </w:p>
        </w:tc>
        <w:tc>
          <w:tcPr>
            <w:tcW w:w="4019" w:type="dxa"/>
            <w:noWrap w:val="0"/>
            <w:vAlign w:val="center"/>
          </w:tcPr>
          <w:p>
            <w:pPr>
              <w:pStyle w:val="22"/>
              <w:snapToGrid w:val="0"/>
              <w:spacing w:before="0" w:line="360" w:lineRule="auto"/>
              <w:jc w:val="center"/>
              <w:rPr>
                <w:rFonts w:cs="宋体"/>
                <w:color w:val="auto"/>
                <w:highlight w:val="none"/>
              </w:rPr>
            </w:pPr>
            <w:r>
              <w:rPr>
                <w:rFonts w:hint="eastAsia" w:cs="宋体"/>
                <w:color w:val="auto"/>
                <w:highlight w:val="none"/>
              </w:rPr>
              <w:t>前轮距≥1600mm</w:t>
            </w:r>
          </w:p>
          <w:p>
            <w:pPr>
              <w:pStyle w:val="22"/>
              <w:snapToGrid w:val="0"/>
              <w:spacing w:before="0" w:line="360" w:lineRule="auto"/>
              <w:jc w:val="center"/>
              <w:rPr>
                <w:rFonts w:hint="eastAsia" w:cs="宋体"/>
                <w:color w:val="auto"/>
                <w:highlight w:val="none"/>
              </w:rPr>
            </w:pPr>
            <w:r>
              <w:rPr>
                <w:rFonts w:hint="eastAsia" w:cs="宋体"/>
                <w:color w:val="auto"/>
                <w:highlight w:val="none"/>
              </w:rPr>
              <w:t>后轮距≥1620mm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17</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驻车制动方式</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电子驻车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18</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油箱容积</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≥80L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19</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★车身形式</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5门5座SUV（越野车）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20</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变速箱</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21</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行李厢最小容积</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≥800L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22</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最小离地间隙</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23</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中央差速器锁</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24</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后桥差速器锁</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25</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胎压监测装置</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26</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上坡辅助系统</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27</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陡坡缓降控制系统</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28</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制动形式</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前后盘刹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29</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轮胎数量</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≥5条（含全尺寸备胎）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30</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制动力分配（EBD/TCS等）</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31</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刹车辅助（EBA/BAS/BA等）</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32</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牵引力控制（ASR/TCS等）</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33</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车身稳定控制（ESP/ESC等）</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34</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头部气囊(气帘)</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前排、后排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35</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侧气囊</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前排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36</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定速巡航系统</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37</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空调系统</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冷暖空调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38</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倒车雷达</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39</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灯光</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远近光LED或氙气大灯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40</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无钥匙启动</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41</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360全景影像</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42</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前排座椅电加热</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43</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ATS全地形控制系统</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44</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透明底盘</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45</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电动尾门</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46</w:t>
            </w:r>
          </w:p>
        </w:tc>
        <w:tc>
          <w:tcPr>
            <w:tcW w:w="3544"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前排电动座椅调节</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cs="宋体"/>
                <w:color w:val="auto"/>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noWrap/>
            <w:vAlign w:val="center"/>
          </w:tcPr>
          <w:p>
            <w:pPr>
              <w:pStyle w:val="22"/>
              <w:snapToGrid w:val="0"/>
              <w:spacing w:before="0" w:line="360" w:lineRule="auto"/>
              <w:jc w:val="center"/>
              <w:rPr>
                <w:rFonts w:hint="eastAsia" w:eastAsia="宋体" w:cs="宋体"/>
                <w:color w:val="auto"/>
                <w:highlight w:val="none"/>
                <w:lang w:val="en-US" w:eastAsia="zh-CN"/>
              </w:rPr>
            </w:pPr>
            <w:r>
              <w:rPr>
                <w:rFonts w:hint="eastAsia" w:cs="宋体"/>
                <w:color w:val="auto"/>
                <w:highlight w:val="none"/>
                <w:lang w:val="en-US" w:eastAsia="zh-CN"/>
              </w:rPr>
              <w:t>47</w:t>
            </w:r>
          </w:p>
        </w:tc>
        <w:tc>
          <w:tcPr>
            <w:tcW w:w="3544" w:type="dxa"/>
            <w:noWrap w:val="0"/>
            <w:vAlign w:val="center"/>
          </w:tcPr>
          <w:p>
            <w:pPr>
              <w:pStyle w:val="22"/>
              <w:snapToGrid w:val="0"/>
              <w:spacing w:before="0" w:line="360" w:lineRule="auto"/>
              <w:jc w:val="center"/>
              <w:rPr>
                <w:rFonts w:hint="eastAsia" w:eastAsia="宋体" w:cs="宋体"/>
                <w:color w:val="auto"/>
                <w:highlight w:val="none"/>
                <w:lang w:eastAsia="zh-CN"/>
              </w:rPr>
            </w:pPr>
            <w:r>
              <w:rPr>
                <w:rFonts w:hint="eastAsia" w:cs="宋体"/>
                <w:color w:val="auto"/>
                <w:highlight w:val="none"/>
              </w:rPr>
              <w:t>★</w:t>
            </w:r>
            <w:r>
              <w:rPr>
                <w:rFonts w:hint="eastAsia" w:cs="宋体"/>
                <w:color w:val="auto"/>
                <w:highlight w:val="none"/>
                <w:lang w:eastAsia="zh-CN"/>
              </w:rPr>
              <w:t>充电桩</w:t>
            </w:r>
          </w:p>
        </w:tc>
        <w:tc>
          <w:tcPr>
            <w:tcW w:w="4019" w:type="dxa"/>
            <w:noWrap w:val="0"/>
            <w:vAlign w:val="center"/>
          </w:tcPr>
          <w:p>
            <w:pPr>
              <w:pStyle w:val="22"/>
              <w:snapToGrid w:val="0"/>
              <w:spacing w:before="0" w:line="360" w:lineRule="auto"/>
              <w:jc w:val="center"/>
              <w:rPr>
                <w:rFonts w:hint="eastAsia" w:cs="宋体"/>
                <w:color w:val="auto"/>
                <w:highlight w:val="none"/>
              </w:rPr>
            </w:pPr>
            <w:r>
              <w:rPr>
                <w:rFonts w:hint="eastAsia" w:ascii="宋体" w:hAnsi="宋体" w:cs="宋体"/>
                <w:bCs/>
                <w:color w:val="auto"/>
                <w:sz w:val="24"/>
                <w:szCs w:val="24"/>
                <w:highlight w:val="none"/>
              </w:rPr>
              <w:t>数量</w:t>
            </w:r>
            <w:r>
              <w:rPr>
                <w:rFonts w:hint="eastAsia" w:ascii="宋体" w:hAnsi="宋体" w:cs="宋体"/>
                <w:bCs/>
                <w:color w:val="auto"/>
                <w:sz w:val="24"/>
                <w:szCs w:val="24"/>
                <w:highlight w:val="none"/>
                <w:lang w:eastAsia="zh-CN"/>
              </w:rPr>
              <w:t>≥</w:t>
            </w:r>
            <w:r>
              <w:rPr>
                <w:rFonts w:hint="eastAsia" w:cs="宋体"/>
                <w:bCs/>
                <w:color w:val="auto"/>
                <w:sz w:val="24"/>
                <w:szCs w:val="24"/>
                <w:highlight w:val="none"/>
                <w:lang w:val="en-US" w:eastAsia="zh-CN"/>
              </w:rPr>
              <w:t>18</w:t>
            </w:r>
            <w:r>
              <w:rPr>
                <w:rFonts w:hint="eastAsia" w:ascii="宋体" w:hAnsi="宋体" w:cs="宋体"/>
                <w:bCs/>
                <w:color w:val="auto"/>
                <w:sz w:val="24"/>
                <w:szCs w:val="24"/>
                <w:highlight w:val="none"/>
              </w:rPr>
              <w:t>个，立柱式或壁挂式，含</w:t>
            </w:r>
            <w:r>
              <w:rPr>
                <w:rFonts w:hint="eastAsia" w:cs="宋体"/>
                <w:bCs/>
                <w:color w:val="auto"/>
                <w:sz w:val="24"/>
                <w:szCs w:val="24"/>
                <w:highlight w:val="none"/>
                <w:lang w:val="en-US" w:eastAsia="zh-CN"/>
              </w:rPr>
              <w:t>2</w:t>
            </w:r>
            <w:r>
              <w:rPr>
                <w:rFonts w:hint="eastAsia" w:ascii="宋体" w:hAnsi="宋体" w:cs="宋体"/>
                <w:bCs/>
                <w:color w:val="auto"/>
                <w:sz w:val="24"/>
                <w:szCs w:val="24"/>
                <w:highlight w:val="none"/>
              </w:rPr>
              <w:t>个20KW以上快充</w:t>
            </w:r>
          </w:p>
        </w:tc>
      </w:tr>
    </w:tbl>
    <w:p>
      <w:pPr>
        <w:pStyle w:val="509"/>
        <w:adjustRightInd w:val="0"/>
        <w:spacing w:line="360" w:lineRule="auto"/>
        <w:ind w:firstLine="0" w:firstLineChars="0"/>
        <w:contextualSpacing/>
        <w:jc w:val="left"/>
        <w:rPr>
          <w:rFonts w:hint="eastAsia" w:ascii="宋体" w:hAnsi="宋体"/>
          <w:bCs/>
          <w:sz w:val="24"/>
          <w:szCs w:val="24"/>
          <w:highlight w:val="none"/>
        </w:rPr>
      </w:pPr>
      <w:r>
        <w:rPr>
          <w:rFonts w:hint="eastAsia" w:ascii="宋体" w:hAnsi="宋体"/>
          <w:bCs/>
          <w:sz w:val="24"/>
          <w:szCs w:val="24"/>
          <w:highlight w:val="none"/>
        </w:rPr>
        <w:t>说明：标注★的项目为必须实质满足项，不满足视为未实质响应，视为投标无效</w:t>
      </w:r>
    </w:p>
    <w:p>
      <w:pPr>
        <w:widowControl/>
        <w:spacing w:line="360" w:lineRule="auto"/>
        <w:ind w:firstLine="0" w:firstLineChars="0"/>
        <w:contextualSpacing/>
        <w:rPr>
          <w:rFonts w:hint="eastAsia" w:ascii="宋体" w:hAnsi="宋体" w:cs="宋体"/>
          <w:color w:val="auto"/>
          <w:sz w:val="24"/>
          <w:highlight w:val="none"/>
        </w:rPr>
      </w:pPr>
    </w:p>
    <w:p>
      <w:pPr>
        <w:widowControl/>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2.2采购标的需满足的服务标准、期限、效率等要求；</w:t>
      </w:r>
    </w:p>
    <w:p>
      <w:pPr>
        <w:pStyle w:val="2"/>
        <w:spacing w:line="360" w:lineRule="auto"/>
        <w:rPr>
          <w:rFonts w:hint="eastAsia" w:ascii="宋体" w:hAnsi="宋体" w:eastAsia="宋体" w:cs="宋体"/>
          <w:color w:val="auto"/>
          <w:highlight w:val="none"/>
        </w:rPr>
      </w:pPr>
    </w:p>
    <w:p>
      <w:pPr>
        <w:widowControl/>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投标人根据采购人要求，协助完成车辆的环保检验、上牌及转运注册等相关服务。</w:t>
      </w:r>
    </w:p>
    <w:p>
      <w:pPr>
        <w:widowControl/>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2.3采购标的的其他技术、服务等要求；</w:t>
      </w:r>
    </w:p>
    <w:p>
      <w:pPr>
        <w:widowControl/>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投标人需提供投标机动车满足北京市机动车登记注册上牌照要求的承诺函</w:t>
      </w:r>
      <w:r>
        <w:rPr>
          <w:rFonts w:hint="eastAsia" w:ascii="宋体" w:hAnsi="宋体" w:cs="宋体"/>
          <w:color w:val="auto"/>
          <w:sz w:val="24"/>
          <w:highlight w:val="none"/>
        </w:rPr>
        <w:t>。</w:t>
      </w:r>
      <w:r>
        <w:rPr>
          <w:rStyle w:val="507"/>
          <w:rFonts w:hint="eastAsia" w:ascii="宋体" w:hAnsi="宋体" w:cs="宋体"/>
          <w:b/>
          <w:bCs/>
          <w:color w:val="auto"/>
          <w:kern w:val="0"/>
          <w:sz w:val="24"/>
          <w:highlight w:val="none"/>
        </w:rPr>
        <w:t>供应商</w:t>
      </w:r>
      <w:r>
        <w:rPr>
          <w:rFonts w:hint="eastAsia" w:ascii="宋体" w:hAnsi="宋体" w:cs="宋体"/>
          <w:b/>
          <w:bCs/>
          <w:color w:val="auto"/>
          <w:sz w:val="24"/>
          <w:highlight w:val="none"/>
        </w:rPr>
        <w:t>必须在《投标文件（商务技术文件）》中提供由法定代表人或法定代表人授权代表签字或签章或印鉴，加盖供应商公章的承诺函，承诺函内容必须包括（格式详见第七章 投标文件格式）</w:t>
      </w:r>
      <w:r>
        <w:rPr>
          <w:rStyle w:val="507"/>
          <w:rFonts w:hint="eastAsia" w:ascii="宋体" w:hAnsi="宋体" w:cs="宋体"/>
          <w:b/>
          <w:bCs/>
          <w:color w:val="auto"/>
          <w:kern w:val="0"/>
          <w:sz w:val="24"/>
          <w:highlight w:val="none"/>
        </w:rPr>
        <w:t>：</w:t>
      </w:r>
      <w:r>
        <w:rPr>
          <w:rStyle w:val="507"/>
          <w:rFonts w:hint="eastAsia" w:ascii="宋体" w:hAnsi="宋体" w:cs="宋体"/>
          <w:color w:val="auto"/>
          <w:kern w:val="0"/>
          <w:sz w:val="24"/>
          <w:highlight w:val="none"/>
        </w:rPr>
        <w:t>我单位所投机动车满足</w:t>
      </w:r>
      <w:r>
        <w:rPr>
          <w:rFonts w:hint="eastAsia" w:ascii="宋体" w:hAnsi="宋体" w:cs="宋体"/>
          <w:color w:val="auto"/>
          <w:sz w:val="24"/>
          <w:highlight w:val="none"/>
        </w:rPr>
        <w:t>北京市机动车登记注册上牌照要求，</w:t>
      </w:r>
      <w:r>
        <w:rPr>
          <w:rStyle w:val="507"/>
          <w:rFonts w:hint="eastAsia" w:ascii="宋体" w:hAnsi="宋体" w:cs="宋体"/>
          <w:color w:val="auto"/>
          <w:kern w:val="0"/>
          <w:sz w:val="24"/>
          <w:highlight w:val="none"/>
        </w:rPr>
        <w:t>我单位</w:t>
      </w:r>
      <w:r>
        <w:rPr>
          <w:rFonts w:hint="eastAsia" w:ascii="宋体" w:hAnsi="宋体" w:cs="宋体"/>
          <w:color w:val="auto"/>
          <w:sz w:val="24"/>
          <w:highlight w:val="none"/>
        </w:rPr>
        <w:t>将协助采购人进行车辆登记注册上牌工作。否则，有权依据《政府采购法》第七十七条“提供虚假材料谋取中标、成交的”有关规定予以处理，并追究我单位相关法律责任。我单位承担由此产生的一切费用及采购人的相关损失。</w:t>
      </w:r>
      <w:r>
        <w:rPr>
          <w:rFonts w:hint="eastAsia" w:ascii="宋体" w:hAnsi="宋体" w:cs="宋体"/>
          <w:b/>
          <w:bCs/>
          <w:color w:val="auto"/>
          <w:sz w:val="24"/>
          <w:highlight w:val="none"/>
        </w:rPr>
        <w:t>未按上述要求提供承诺函的投标，将被视为</w:t>
      </w:r>
      <w:r>
        <w:rPr>
          <w:rFonts w:hint="eastAsia" w:ascii="宋体" w:hAnsi="宋体" w:cs="宋体"/>
          <w:b/>
          <w:bCs/>
          <w:color w:val="auto"/>
          <w:sz w:val="24"/>
          <w:highlight w:val="none"/>
          <w:u w:val="single"/>
        </w:rPr>
        <w:t>无效投标</w:t>
      </w:r>
      <w:r>
        <w:rPr>
          <w:rFonts w:hint="eastAsia" w:ascii="宋体" w:hAnsi="宋体" w:cs="宋体"/>
          <w:color w:val="auto"/>
          <w:sz w:val="24"/>
          <w:highlight w:val="none"/>
        </w:rPr>
        <w:t>。</w:t>
      </w:r>
    </w:p>
    <w:p>
      <w:pPr>
        <w:spacing w:line="360" w:lineRule="auto"/>
        <w:contextualSpacing/>
        <w:rPr>
          <w:rFonts w:hint="eastAsia" w:ascii="宋体" w:hAnsi="宋体" w:cs="宋体"/>
          <w:i/>
          <w:iCs/>
          <w:color w:val="auto"/>
          <w:sz w:val="24"/>
          <w:highlight w:val="none"/>
        </w:rPr>
      </w:pPr>
      <w:r>
        <w:rPr>
          <w:rFonts w:hint="eastAsia" w:ascii="宋体" w:hAnsi="宋体" w:cs="宋体"/>
          <w:color w:val="auto"/>
          <w:sz w:val="24"/>
          <w:highlight w:val="none"/>
        </w:rPr>
        <w:t>3. 验收标准</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依据采购合同的约定和现行国家标准、行业标准以及企业标准，对每一项技术规格、服务内容及安全标准的履行情况进行确认。所投标的车辆产品，必须为符合国家最新产品质量标准，且为对应制造商该型号下直接生产、未经任何维修处理的全新车辆，确保车辆不仅满足国家安全及环保的要求，还符合在北京地区注册上牌的法定条件，为合法合规的交通工具。</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采购方保留根据实际需求，设置多重验收流程的权利，包括但不限于出厂前的质量检验、到货后的详细检查、安装调试过程中的性能验证，以及配套服务的全面评估等，以确保采购项目的每一个环节均达到既定标准。在必要时，采购方有权邀请独立于本项目的第三方专业机构参与验收过程，以提供客观、公正的评估意见。</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验收结束后，将正式出具验收报告书，列明各项标准的验收结果、项目整体表现评价，并由采购方与中标方双方共同签字确认，以示验收工作的正式完成。此外，所有与验收相关的费用，包括但不限于检测、评估及报告编制等，均将由中标方承担。</w:t>
      </w:r>
    </w:p>
    <w:p>
      <w:pPr>
        <w:spacing w:line="360" w:lineRule="auto"/>
        <w:rPr>
          <w:rFonts w:hint="eastAsia" w:ascii="宋体" w:hAnsi="宋体" w:cs="宋体"/>
          <w:color w:val="auto"/>
          <w:sz w:val="24"/>
          <w:highlight w:val="none"/>
        </w:rPr>
      </w:pPr>
    </w:p>
    <w:p>
      <w:pPr>
        <w:widowControl/>
        <w:tabs>
          <w:tab w:val="left" w:pos="659"/>
        </w:tabs>
        <w:spacing w:line="360" w:lineRule="auto"/>
        <w:contextualSpacing/>
        <w:rPr>
          <w:rFonts w:hint="eastAsia" w:ascii="宋体" w:hAnsi="宋体" w:cs="宋体"/>
          <w:b/>
          <w:bCs/>
          <w:color w:val="auto"/>
          <w:sz w:val="24"/>
          <w:highlight w:val="none"/>
        </w:rPr>
      </w:pPr>
      <w:r>
        <w:rPr>
          <w:rFonts w:hint="eastAsia" w:ascii="宋体" w:hAnsi="宋体" w:cs="宋体"/>
          <w:b/>
          <w:bCs/>
          <w:color w:val="auto"/>
          <w:sz w:val="24"/>
          <w:highlight w:val="none"/>
        </w:rPr>
        <w:t>四、服务要求</w:t>
      </w:r>
    </w:p>
    <w:p>
      <w:pPr>
        <w:pStyle w:val="28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、供应商需在投标文件中阐述所投车辆的整体性能，包括但不限于驾驶性能（如加速、制动、操控等）、舒适性（如座椅舒适度、噪音控制、空调效果等）、造型品质（如外观设计、内饰材质与工艺等）等方面。</w:t>
      </w:r>
    </w:p>
    <w:p>
      <w:pPr>
        <w:pStyle w:val="28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、供应商需在投标文件中阐述所投车辆的关键部件质量情况，包括但不限于车身结构、动力系统、变速箱、底盘制动等方面。</w:t>
      </w:r>
    </w:p>
    <w:p>
      <w:pPr>
        <w:pStyle w:val="28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、供应商需在投标文件中阐述车辆安全配置和辅助功能情况。</w:t>
      </w:r>
    </w:p>
    <w:p>
      <w:pPr>
        <w:pStyle w:val="282"/>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、供应商需在投标文件中阐述售后服务方案，包括但不限于供应商售后服务能力、保修及售后服务承诺、售后服务方案、应急保障方案等方面，。</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、供应商应组织专业技术团队提供技术培训服务。</w:t>
      </w:r>
    </w:p>
    <w:p>
      <w:pPr>
        <w:pStyle w:val="66"/>
        <w:adjustRightInd w:val="0"/>
        <w:spacing w:line="360" w:lineRule="auto"/>
        <w:ind w:firstLine="480"/>
        <w:contextualSpacing/>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、供应商应针对采购人的具体应用需求及招标文件的有关要求出具详细合理的进度计划及供货、安装调试方案。</w:t>
      </w:r>
    </w:p>
    <w:p>
      <w:pPr>
        <w:spacing w:line="360" w:lineRule="auto"/>
        <w:contextualSpacing/>
        <w:rPr>
          <w:rFonts w:hint="eastAsia" w:ascii="宋体" w:hAnsi="宋体" w:cs="宋体"/>
          <w:b/>
          <w:bCs/>
          <w:color w:val="auto"/>
          <w:sz w:val="24"/>
          <w:highlight w:val="none"/>
        </w:rPr>
      </w:pPr>
      <w:r>
        <w:rPr>
          <w:rFonts w:hint="eastAsia" w:ascii="宋体" w:hAnsi="宋体" w:cs="宋体"/>
          <w:b/>
          <w:bCs/>
          <w:color w:val="auto"/>
          <w:sz w:val="24"/>
          <w:highlight w:val="none"/>
        </w:rPr>
        <w:t>五、环保专项承诺</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参与本项目的投标人应当执行符合本市和国家的VOCs含量限值标准，并按招标文件规定格式提供专项承诺，</w:t>
      </w:r>
      <w:r>
        <w:rPr>
          <w:rFonts w:hint="eastAsia" w:ascii="宋体" w:hAnsi="宋体" w:cs="宋体"/>
          <w:b/>
          <w:bCs/>
          <w:color w:val="auto"/>
          <w:sz w:val="24"/>
          <w:highlight w:val="none"/>
        </w:rPr>
        <w:t>未提供该承诺的按照无效投标处理。</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w:t>
      </w:r>
      <w:r>
        <w:rPr>
          <w:rFonts w:hint="eastAsia" w:ascii="宋体" w:hAnsi="宋体" w:cs="宋体"/>
          <w:b/>
          <w:bCs/>
          <w:color w:val="auto"/>
          <w:sz w:val="24"/>
          <w:highlight w:val="none"/>
        </w:rPr>
        <w:t>本项承诺为非实质响应条款，投标人可根据实际情况自行提供。</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3"/>
          <w:jc w:val="center"/>
        </w:pPr>
        <w:r>
          <w:fldChar w:fldCharType="begin"/>
        </w:r>
        <w:r>
          <w:instrText xml:space="preserve">PAGE   \* MERGEFORMAT</w:instrText>
        </w:r>
        <w:r>
          <w:fldChar w:fldCharType="separate"/>
        </w:r>
        <w:r>
          <w:rPr>
            <w:lang w:val="zh-CN"/>
          </w:rPr>
          <w:t>13</w:t>
        </w:r>
        <w:r>
          <w:fldChar w:fldCharType="end"/>
        </w:r>
      </w:p>
    </w:sdtContent>
  </w:sdt>
  <w:p>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5CEDB8"/>
    <w:multiLevelType w:val="singleLevel"/>
    <w:tmpl w:val="FE5CEDB8"/>
    <w:lvl w:ilvl="0" w:tentative="0">
      <w:start w:val="5"/>
      <w:numFmt w:val="decimal"/>
      <w:suff w:val="space"/>
      <w:lvlText w:val="%1."/>
      <w:lvlJc w:val="left"/>
    </w:lvl>
  </w:abstractNum>
  <w:abstractNum w:abstractNumId="1">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C49531E"/>
    <w:multiLevelType w:val="multilevel"/>
    <w:tmpl w:val="0C49531E"/>
    <w:lvl w:ilvl="0" w:tentative="0">
      <w:start w:val="1"/>
      <w:numFmt w:val="decimal"/>
      <w:pStyle w:val="504"/>
      <w:suff w:val="nothing"/>
      <w:lvlText w:val="%1"/>
      <w:lvlJc w:val="left"/>
      <w:pPr>
        <w:tabs>
          <w:tab w:val="left" w:pos="0"/>
        </w:tabs>
        <w:ind w:left="0" w:firstLine="0"/>
      </w:pPr>
      <w:rPr>
        <w:rFonts w:hint="default" w:ascii="宋体" w:hAnsi="宋体" w:eastAsia="宋体" w:cs="宋体"/>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4"/>
  </w:num>
  <w:num w:numId="2">
    <w:abstractNumId w:val="6"/>
  </w:num>
  <w:num w:numId="3">
    <w:abstractNumId w:val="1"/>
  </w:num>
  <w:num w:numId="4">
    <w:abstractNumId w:val="8"/>
  </w:num>
  <w:num w:numId="5">
    <w:abstractNumId w:val="3"/>
  </w:num>
  <w:num w:numId="6">
    <w:abstractNumId w:val="5"/>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242CC"/>
    <w:rsid w:val="00060A75"/>
    <w:rsid w:val="00076538"/>
    <w:rsid w:val="000932E8"/>
    <w:rsid w:val="000E2776"/>
    <w:rsid w:val="000F1FFF"/>
    <w:rsid w:val="00121300"/>
    <w:rsid w:val="00124E53"/>
    <w:rsid w:val="001D6FE2"/>
    <w:rsid w:val="001F117D"/>
    <w:rsid w:val="002E329E"/>
    <w:rsid w:val="003009B4"/>
    <w:rsid w:val="003212FB"/>
    <w:rsid w:val="00324BD9"/>
    <w:rsid w:val="00334048"/>
    <w:rsid w:val="00351252"/>
    <w:rsid w:val="003A3CB0"/>
    <w:rsid w:val="003B7BFC"/>
    <w:rsid w:val="00512599"/>
    <w:rsid w:val="00575B2C"/>
    <w:rsid w:val="005B4E82"/>
    <w:rsid w:val="005E743E"/>
    <w:rsid w:val="00603467"/>
    <w:rsid w:val="00683975"/>
    <w:rsid w:val="006A7765"/>
    <w:rsid w:val="006B5F5E"/>
    <w:rsid w:val="006D4ACE"/>
    <w:rsid w:val="006E1B60"/>
    <w:rsid w:val="00755D7B"/>
    <w:rsid w:val="00762FB0"/>
    <w:rsid w:val="00787B64"/>
    <w:rsid w:val="00795E42"/>
    <w:rsid w:val="007971D2"/>
    <w:rsid w:val="007977A7"/>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35AAA"/>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12E0C79"/>
    <w:rsid w:val="0342650F"/>
    <w:rsid w:val="03567BA9"/>
    <w:rsid w:val="0FE61D4E"/>
    <w:rsid w:val="151C29F3"/>
    <w:rsid w:val="1CEE5DFA"/>
    <w:rsid w:val="29D20428"/>
    <w:rsid w:val="37AC2D77"/>
    <w:rsid w:val="39184CEB"/>
    <w:rsid w:val="44EC1D67"/>
    <w:rsid w:val="45964E2C"/>
    <w:rsid w:val="499646CD"/>
    <w:rsid w:val="4C7B1D33"/>
    <w:rsid w:val="52510A99"/>
    <w:rsid w:val="555F5B42"/>
    <w:rsid w:val="5DC35C7F"/>
    <w:rsid w:val="62573E8A"/>
    <w:rsid w:val="62C958C2"/>
    <w:rsid w:val="779F12EB"/>
    <w:rsid w:val="7923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89"/>
    <w:qFormat/>
    <w:uiPriority w:val="0"/>
    <w:pPr>
      <w:ind w:firstLine="480" w:firstLineChars="200"/>
    </w:pPr>
    <w:rPr>
      <w:rFonts w:ascii="仿宋_GB2312" w:eastAsia="仿宋_GB2312"/>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Normal Indent"/>
    <w:basedOn w:val="1"/>
    <w:next w:val="1"/>
    <w:link w:val="119"/>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84"/>
    <w:qFormat/>
    <w:uiPriority w:val="0"/>
    <w:pPr>
      <w:shd w:val="clear" w:color="auto" w:fill="000080"/>
    </w:pPr>
  </w:style>
  <w:style w:type="paragraph" w:styleId="17">
    <w:name w:val="annotation text"/>
    <w:basedOn w:val="1"/>
    <w:link w:val="116"/>
    <w:qFormat/>
    <w:uiPriority w:val="99"/>
    <w:pPr>
      <w:jc w:val="left"/>
    </w:pPr>
  </w:style>
  <w:style w:type="paragraph" w:styleId="18">
    <w:name w:val="index 6"/>
    <w:basedOn w:val="1"/>
    <w:next w:val="1"/>
    <w:unhideWhenUsed/>
    <w:qFormat/>
    <w:uiPriority w:val="0"/>
    <w:pPr>
      <w:ind w:left="1000" w:leftChars="1000"/>
    </w:pPr>
    <w:rPr>
      <w:szCs w:val="20"/>
    </w:rPr>
  </w:style>
  <w:style w:type="paragraph" w:styleId="19">
    <w:name w:val="Salutation"/>
    <w:basedOn w:val="1"/>
    <w:next w:val="1"/>
    <w:link w:val="291"/>
    <w:qFormat/>
    <w:uiPriority w:val="0"/>
  </w:style>
  <w:style w:type="paragraph" w:styleId="20">
    <w:name w:val="Body Text 3"/>
    <w:basedOn w:val="1"/>
    <w:link w:val="86"/>
    <w:qFormat/>
    <w:uiPriority w:val="0"/>
    <w:pPr>
      <w:spacing w:after="120"/>
    </w:pPr>
    <w:rPr>
      <w:sz w:val="16"/>
      <w:szCs w:val="16"/>
    </w:rPr>
  </w:style>
  <w:style w:type="paragraph" w:styleId="21">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2">
    <w:name w:val="Body Text"/>
    <w:basedOn w:val="1"/>
    <w:next w:val="23"/>
    <w:link w:val="142"/>
    <w:qFormat/>
    <w:uiPriority w:val="0"/>
    <w:pPr>
      <w:tabs>
        <w:tab w:val="left" w:pos="567"/>
      </w:tabs>
      <w:spacing w:before="120" w:line="22" w:lineRule="atLeast"/>
    </w:pPr>
    <w:rPr>
      <w:rFonts w:ascii="宋体" w:hAnsi="宋体"/>
      <w:sz w:val="24"/>
    </w:rPr>
  </w:style>
  <w:style w:type="paragraph" w:customStyle="1" w:styleId="23">
    <w:name w:val="目录 11"/>
    <w:next w:val="1"/>
    <w:qFormat/>
    <w:uiPriority w:val="0"/>
    <w:pPr>
      <w:wordWrap w:val="0"/>
      <w:jc w:val="both"/>
    </w:pPr>
    <w:rPr>
      <w:rFonts w:ascii="Calibri" w:hAnsi="Calibri" w:eastAsia="宋体" w:cs="Calibri"/>
      <w:sz w:val="21"/>
      <w:szCs w:val="22"/>
      <w:lang w:val="en-US" w:eastAsia="zh-CN" w:bidi="ar-SA"/>
    </w:rPr>
  </w:style>
  <w:style w:type="paragraph" w:styleId="24">
    <w:name w:val="Body Text Indent"/>
    <w:basedOn w:val="1"/>
    <w:next w:val="1"/>
    <w:link w:val="144"/>
    <w:qFormat/>
    <w:uiPriority w:val="0"/>
    <w:pPr>
      <w:spacing w:line="360" w:lineRule="auto"/>
      <w:ind w:firstLine="570"/>
    </w:pPr>
    <w:rPr>
      <w:sz w:val="24"/>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alloon Text"/>
    <w:basedOn w:val="1"/>
    <w:link w:val="90"/>
    <w:qFormat/>
    <w:uiPriority w:val="0"/>
    <w:rPr>
      <w:sz w:val="18"/>
      <w:szCs w:val="18"/>
    </w:rPr>
  </w:style>
  <w:style w:type="paragraph" w:styleId="33">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envelope return"/>
    <w:basedOn w:val="1"/>
    <w:unhideWhenUsed/>
    <w:qFormat/>
    <w:uiPriority w:val="99"/>
    <w:rPr>
      <w:rFonts w:ascii="Arial" w:hAnsi="Arial" w:cs="Arial"/>
      <w:kern w:val="1"/>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7"/>
    <w:next w:val="17"/>
    <w:link w:val="96"/>
    <w:qFormat/>
    <w:uiPriority w:val="0"/>
    <w:rPr>
      <w:b/>
      <w:bCs/>
    </w:rPr>
  </w:style>
  <w:style w:type="paragraph" w:styleId="51">
    <w:name w:val="Body Text First Indent"/>
    <w:basedOn w:val="22"/>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4"/>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6"/>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20"/>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2"/>
    <w:qFormat/>
    <w:uiPriority w:val="99"/>
    <w:rPr>
      <w:rFonts w:ascii="仿宋_GB2312" w:hAnsi="Times New Roman" w:eastAsia="仿宋_GB2312"/>
      <w:kern w:val="2"/>
      <w:sz w:val="24"/>
      <w:szCs w:val="24"/>
    </w:rPr>
  </w:style>
  <w:style w:type="character" w:customStyle="1" w:styleId="90">
    <w:name w:val="批注框文本 字符"/>
    <w:basedOn w:val="56"/>
    <w:link w:val="32"/>
    <w:qFormat/>
    <w:uiPriority w:val="99"/>
    <w:rPr>
      <w:rFonts w:ascii="Times New Roman" w:hAnsi="Times New Roman"/>
      <w:kern w:val="2"/>
      <w:sz w:val="18"/>
      <w:szCs w:val="18"/>
    </w:rPr>
  </w:style>
  <w:style w:type="character" w:customStyle="1" w:styleId="91">
    <w:name w:val="页脚 字符"/>
    <w:basedOn w:val="56"/>
    <w:link w:val="33"/>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5"/>
    <w:qFormat/>
    <w:uiPriority w:val="0"/>
    <w:rPr>
      <w:rFonts w:ascii="宋体" w:hAnsi="Times New Roman"/>
      <w:b/>
      <w:sz w:val="24"/>
      <w:u w:val="single"/>
    </w:rPr>
  </w:style>
  <w:style w:type="character" w:customStyle="1" w:styleId="105">
    <w:name w:val="标题 2 字符"/>
    <w:link w:val="4"/>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7"/>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4"/>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4"/>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4"/>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2"/>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4"/>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6"/>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4"/>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9"/>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4"/>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5"/>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4"/>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5"/>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6"/>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4"/>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5"/>
    <w:next w:val="5"/>
    <w:qFormat/>
    <w:uiPriority w:val="0"/>
    <w:rPr>
      <w:bCs/>
      <w:u w:val="none"/>
    </w:rPr>
  </w:style>
  <w:style w:type="paragraph" w:customStyle="1" w:styleId="483">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 w:type="paragraph" w:customStyle="1" w:styleId="504">
    <w:name w:val="表格序号"/>
    <w:basedOn w:val="1"/>
    <w:qFormat/>
    <w:uiPriority w:val="0"/>
    <w:pPr>
      <w:numPr>
        <w:ilvl w:val="0"/>
        <w:numId w:val="8"/>
      </w:numPr>
      <w:kinsoku w:val="0"/>
      <w:wordWrap w:val="0"/>
      <w:adjustRightInd w:val="0"/>
      <w:ind w:firstLineChars="0"/>
      <w:jc w:val="center"/>
    </w:pPr>
    <w:rPr>
      <w:rFonts w:hint="eastAsia" w:ascii="宋体" w:hAnsi="宋体" w:cs="宋体"/>
    </w:rPr>
  </w:style>
  <w:style w:type="paragraph" w:customStyle="1" w:styleId="505">
    <w:name w:val="表格正文"/>
    <w:basedOn w:val="1"/>
    <w:qFormat/>
    <w:uiPriority w:val="0"/>
    <w:rPr>
      <w:sz w:val="21"/>
    </w:rPr>
  </w:style>
  <w:style w:type="paragraph" w:customStyle="1" w:styleId="506">
    <w:name w:val="样式 (西文) 宋体 (复杂文种) 宋体 首行缩进:  2 字符"/>
    <w:basedOn w:val="1"/>
    <w:qFormat/>
    <w:uiPriority w:val="0"/>
    <w:pPr>
      <w:ind w:firstLine="480"/>
    </w:pPr>
    <w:rPr>
      <w:rFonts w:ascii="宋体" w:hAnsi="宋体" w:cs="宋体"/>
    </w:rPr>
  </w:style>
  <w:style w:type="character" w:customStyle="1" w:styleId="507">
    <w:name w:val="NormalCharacter"/>
    <w:semiHidden/>
    <w:qFormat/>
    <w:uiPriority w:val="0"/>
    <w:rPr>
      <w:kern w:val="2"/>
      <w:sz w:val="21"/>
      <w:lang w:val="en-US" w:eastAsia="zh-CN" w:bidi="ar-SA"/>
    </w:rPr>
  </w:style>
  <w:style w:type="paragraph" w:customStyle="1" w:styleId="508">
    <w:name w:val="样式 首行缩进:  2 字符"/>
    <w:basedOn w:val="1"/>
    <w:qFormat/>
    <w:uiPriority w:val="0"/>
    <w:pPr>
      <w:spacing w:line="480" w:lineRule="exact"/>
      <w:ind w:firstLine="480" w:firstLineChars="200"/>
    </w:pPr>
    <w:rPr>
      <w:color w:val="7030A0"/>
      <w:szCs w:val="20"/>
    </w:rPr>
  </w:style>
  <w:style w:type="paragraph" w:customStyle="1" w:styleId="509">
    <w:name w:val="_Style 173"/>
    <w:basedOn w:val="1"/>
    <w:next w:val="66"/>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9352</Words>
  <Characters>318</Characters>
  <Lines>2</Lines>
  <Paragraphs>19</Paragraphs>
  <TotalTime>0</TotalTime>
  <ScaleCrop>false</ScaleCrop>
  <LinksUpToDate>false</LinksUpToDate>
  <CharactersWithSpaces>9651</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2025-11-26T10:20:24Z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