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885F7">
      <w:pPr>
        <w:spacing w:line="360" w:lineRule="auto"/>
        <w:jc w:val="center"/>
        <w:outlineLvl w:val="0"/>
        <w:rPr>
          <w:b/>
          <w:sz w:val="36"/>
          <w:szCs w:val="36"/>
          <w:highlight w:val="none"/>
        </w:rPr>
      </w:pPr>
      <w:bookmarkStart w:id="1" w:name="_GoBack"/>
      <w:bookmarkEnd w:id="1"/>
      <w:bookmarkStart w:id="0" w:name="_Toc108"/>
      <w:r>
        <w:rPr>
          <w:b/>
          <w:sz w:val="36"/>
          <w:szCs w:val="36"/>
          <w:highlight w:val="none"/>
        </w:rPr>
        <w:t>采购需求</w:t>
      </w:r>
      <w:bookmarkEnd w:id="0"/>
    </w:p>
    <w:p w14:paraId="22F95FAB">
      <w:pPr>
        <w:pStyle w:val="6"/>
        <w:rPr>
          <w:highlight w:val="none"/>
        </w:rPr>
      </w:pPr>
    </w:p>
    <w:p w14:paraId="2FBA487C">
      <w:pPr>
        <w:pStyle w:val="9"/>
        <w:spacing w:line="360" w:lineRule="auto"/>
        <w:ind w:firstLine="482"/>
        <w:contextualSpacing/>
        <w:jc w:val="left"/>
        <w:rPr>
          <w:rFonts w:hint="eastAsia"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一、采购标的</w:t>
      </w:r>
    </w:p>
    <w:tbl>
      <w:tblPr>
        <w:tblStyle w:val="7"/>
        <w:tblW w:w="8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546"/>
        <w:gridCol w:w="1985"/>
        <w:gridCol w:w="1280"/>
        <w:gridCol w:w="1510"/>
      </w:tblGrid>
      <w:tr w14:paraId="2F5C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993" w:type="dxa"/>
            <w:vAlign w:val="center"/>
          </w:tcPr>
          <w:p w14:paraId="01CF258A">
            <w:pPr>
              <w:spacing w:line="276" w:lineRule="auto"/>
              <w:jc w:val="center"/>
              <w:rPr>
                <w:rFonts w:hint="eastAsia" w:ascii="宋体" w:hAnsi="宋体"/>
                <w:bCs/>
                <w:sz w:val="24"/>
                <w:highlight w:val="none"/>
              </w:rPr>
            </w:pPr>
            <w:r>
              <w:rPr>
                <w:rFonts w:hint="eastAsia" w:ascii="宋体" w:hAnsi="宋体"/>
                <w:bCs/>
                <w:sz w:val="24"/>
                <w:highlight w:val="none"/>
              </w:rPr>
              <w:t>序号</w:t>
            </w:r>
          </w:p>
        </w:tc>
        <w:tc>
          <w:tcPr>
            <w:tcW w:w="2546" w:type="dxa"/>
            <w:vAlign w:val="center"/>
          </w:tcPr>
          <w:p w14:paraId="53E2F0C1">
            <w:pPr>
              <w:jc w:val="center"/>
              <w:rPr>
                <w:rFonts w:hint="eastAsia" w:ascii="宋体" w:hAnsi="宋体"/>
                <w:bCs/>
                <w:sz w:val="24"/>
                <w:highlight w:val="none"/>
              </w:rPr>
            </w:pPr>
            <w:r>
              <w:rPr>
                <w:rFonts w:hint="eastAsia" w:ascii="宋体" w:hAnsi="宋体" w:cs="宋体"/>
                <w:bCs/>
                <w:sz w:val="24"/>
                <w:highlight w:val="none"/>
              </w:rPr>
              <w:t>标的名称</w:t>
            </w:r>
          </w:p>
        </w:tc>
        <w:tc>
          <w:tcPr>
            <w:tcW w:w="1985" w:type="dxa"/>
            <w:vAlign w:val="center"/>
          </w:tcPr>
          <w:p w14:paraId="4B35DFC5">
            <w:pPr>
              <w:jc w:val="center"/>
              <w:rPr>
                <w:rFonts w:hint="eastAsia" w:ascii="宋体" w:hAnsi="宋体" w:cs="宋体"/>
                <w:bCs/>
                <w:sz w:val="24"/>
                <w:highlight w:val="none"/>
              </w:rPr>
            </w:pPr>
            <w:r>
              <w:rPr>
                <w:rFonts w:hint="eastAsia" w:ascii="宋体" w:hAnsi="宋体" w:cs="宋体"/>
                <w:bCs/>
                <w:sz w:val="24"/>
                <w:highlight w:val="none"/>
              </w:rPr>
              <w:t>项目最高限价</w:t>
            </w:r>
          </w:p>
          <w:p w14:paraId="57CE5E3C">
            <w:pPr>
              <w:jc w:val="center"/>
              <w:rPr>
                <w:rFonts w:hint="eastAsia" w:ascii="宋体" w:hAnsi="宋体"/>
                <w:bCs/>
                <w:sz w:val="24"/>
                <w:highlight w:val="none"/>
              </w:rPr>
            </w:pPr>
            <w:r>
              <w:rPr>
                <w:rFonts w:hint="eastAsia" w:ascii="宋体" w:hAnsi="宋体" w:cs="宋体"/>
                <w:bCs/>
                <w:sz w:val="24"/>
                <w:highlight w:val="none"/>
              </w:rPr>
              <w:t>（万元）</w:t>
            </w:r>
          </w:p>
        </w:tc>
        <w:tc>
          <w:tcPr>
            <w:tcW w:w="1280" w:type="dxa"/>
            <w:vAlign w:val="center"/>
          </w:tcPr>
          <w:p w14:paraId="0B47EA8B">
            <w:pPr>
              <w:jc w:val="center"/>
              <w:rPr>
                <w:rFonts w:hint="eastAsia" w:ascii="宋体" w:hAnsi="宋体"/>
                <w:bCs/>
                <w:sz w:val="24"/>
                <w:highlight w:val="none"/>
              </w:rPr>
            </w:pPr>
            <w:r>
              <w:rPr>
                <w:rFonts w:hint="eastAsia" w:ascii="宋体" w:hAnsi="宋体" w:cs="宋体"/>
                <w:bCs/>
                <w:sz w:val="24"/>
                <w:highlight w:val="none"/>
              </w:rPr>
              <w:t>数量</w:t>
            </w:r>
          </w:p>
        </w:tc>
        <w:tc>
          <w:tcPr>
            <w:tcW w:w="1510" w:type="dxa"/>
            <w:vAlign w:val="center"/>
          </w:tcPr>
          <w:p w14:paraId="460768FB">
            <w:pPr>
              <w:jc w:val="center"/>
              <w:rPr>
                <w:rFonts w:hint="eastAsia" w:ascii="宋体" w:hAnsi="宋体"/>
                <w:bCs/>
                <w:sz w:val="24"/>
                <w:highlight w:val="none"/>
              </w:rPr>
            </w:pPr>
            <w:r>
              <w:rPr>
                <w:rFonts w:hint="eastAsia" w:ascii="宋体" w:hAnsi="宋体" w:cs="宋体"/>
                <w:bCs/>
                <w:sz w:val="24"/>
                <w:highlight w:val="none"/>
              </w:rPr>
              <w:t>单位</w:t>
            </w:r>
          </w:p>
        </w:tc>
      </w:tr>
      <w:tr w14:paraId="5B70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993" w:type="dxa"/>
            <w:vAlign w:val="center"/>
          </w:tcPr>
          <w:p w14:paraId="0AD93B33">
            <w:pPr>
              <w:spacing w:line="276" w:lineRule="auto"/>
              <w:jc w:val="center"/>
              <w:rPr>
                <w:rFonts w:hint="eastAsia" w:ascii="宋体" w:hAnsi="宋体"/>
                <w:bCs/>
                <w:sz w:val="24"/>
                <w:highlight w:val="none"/>
              </w:rPr>
            </w:pPr>
            <w:r>
              <w:rPr>
                <w:rFonts w:hint="eastAsia" w:ascii="宋体" w:hAnsi="宋体"/>
                <w:bCs/>
                <w:sz w:val="24"/>
                <w:highlight w:val="none"/>
              </w:rPr>
              <w:t>1</w:t>
            </w:r>
          </w:p>
        </w:tc>
        <w:tc>
          <w:tcPr>
            <w:tcW w:w="2546" w:type="dxa"/>
            <w:vAlign w:val="center"/>
          </w:tcPr>
          <w:p w14:paraId="6DD940D8">
            <w:pPr>
              <w:jc w:val="center"/>
              <w:rPr>
                <w:rFonts w:hint="eastAsia" w:ascii="宋体" w:hAnsi="宋体"/>
                <w:bCs/>
                <w:sz w:val="24"/>
                <w:highlight w:val="none"/>
              </w:rPr>
            </w:pPr>
            <w:r>
              <w:rPr>
                <w:rFonts w:hint="eastAsia" w:ascii="宋体" w:hAnsi="宋体"/>
                <w:sz w:val="24"/>
                <w:highlight w:val="none"/>
              </w:rPr>
              <w:t>无偿献血宣传纪念品（</w:t>
            </w:r>
            <w:r>
              <w:rPr>
                <w:rFonts w:hint="eastAsia" w:ascii="宋体" w:hAnsi="宋体" w:cs="宋体"/>
                <w:bCs/>
                <w:sz w:val="24"/>
                <w:highlight w:val="none"/>
              </w:rPr>
              <w:t>储值卡）</w:t>
            </w:r>
          </w:p>
        </w:tc>
        <w:tc>
          <w:tcPr>
            <w:tcW w:w="1985" w:type="dxa"/>
            <w:vAlign w:val="center"/>
          </w:tcPr>
          <w:p w14:paraId="3AE9643E">
            <w:pPr>
              <w:jc w:val="center"/>
              <w:rPr>
                <w:rFonts w:hint="eastAsia" w:ascii="宋体" w:hAnsi="宋体"/>
                <w:bCs/>
                <w:sz w:val="24"/>
                <w:highlight w:val="none"/>
              </w:rPr>
            </w:pPr>
            <w:r>
              <w:rPr>
                <w:rFonts w:hint="eastAsia" w:ascii="宋体" w:hAnsi="宋体" w:cs="宋体"/>
                <w:bCs/>
                <w:sz w:val="24"/>
                <w:highlight w:val="none"/>
              </w:rPr>
              <w:t>5000</w:t>
            </w:r>
          </w:p>
        </w:tc>
        <w:tc>
          <w:tcPr>
            <w:tcW w:w="1280" w:type="dxa"/>
            <w:vAlign w:val="center"/>
          </w:tcPr>
          <w:p w14:paraId="52927A7C">
            <w:pPr>
              <w:jc w:val="center"/>
              <w:rPr>
                <w:rFonts w:hint="eastAsia" w:ascii="宋体" w:hAnsi="宋体"/>
                <w:bCs/>
                <w:sz w:val="24"/>
                <w:highlight w:val="none"/>
              </w:rPr>
            </w:pPr>
            <w:r>
              <w:rPr>
                <w:rFonts w:hint="eastAsia" w:ascii="宋体" w:hAnsi="宋体" w:cs="宋体"/>
                <w:bCs/>
                <w:sz w:val="24"/>
                <w:highlight w:val="none"/>
              </w:rPr>
              <w:t>5</w:t>
            </w:r>
            <w:r>
              <w:rPr>
                <w:rFonts w:ascii="宋体" w:hAnsi="宋体" w:cs="宋体"/>
                <w:bCs/>
                <w:sz w:val="24"/>
                <w:highlight w:val="none"/>
              </w:rPr>
              <w:t>0</w:t>
            </w:r>
            <w:r>
              <w:rPr>
                <w:rFonts w:hint="eastAsia" w:ascii="宋体" w:hAnsi="宋体" w:cs="宋体"/>
                <w:bCs/>
                <w:sz w:val="24"/>
                <w:highlight w:val="none"/>
              </w:rPr>
              <w:t>0000</w:t>
            </w:r>
          </w:p>
        </w:tc>
        <w:tc>
          <w:tcPr>
            <w:tcW w:w="1510" w:type="dxa"/>
            <w:vAlign w:val="center"/>
          </w:tcPr>
          <w:p w14:paraId="14481B31">
            <w:pPr>
              <w:jc w:val="center"/>
              <w:rPr>
                <w:rFonts w:hint="eastAsia" w:ascii="宋体" w:hAnsi="宋体"/>
                <w:bCs/>
                <w:sz w:val="24"/>
                <w:highlight w:val="none"/>
              </w:rPr>
            </w:pPr>
            <w:r>
              <w:rPr>
                <w:rFonts w:hint="eastAsia" w:ascii="宋体" w:hAnsi="宋体" w:cs="宋体"/>
                <w:bCs/>
                <w:sz w:val="24"/>
                <w:highlight w:val="none"/>
              </w:rPr>
              <w:t>张</w:t>
            </w:r>
          </w:p>
        </w:tc>
      </w:tr>
    </w:tbl>
    <w:p w14:paraId="2B333B41">
      <w:pPr>
        <w:pStyle w:val="9"/>
        <w:spacing w:line="360" w:lineRule="auto"/>
        <w:ind w:firstLine="482"/>
        <w:contextualSpacing/>
        <w:jc w:val="left"/>
        <w:rPr>
          <w:rFonts w:hint="eastAsia"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二、商务要求</w:t>
      </w:r>
    </w:p>
    <w:p w14:paraId="557F9710">
      <w:pPr>
        <w:spacing w:line="360" w:lineRule="auto"/>
        <w:ind w:firstLine="480" w:firstLineChars="200"/>
        <w:contextualSpacing/>
        <w:jc w:val="left"/>
        <w:rPr>
          <w:rFonts w:hint="eastAsia" w:ascii="宋体" w:hAnsi="宋体" w:cs="宋体"/>
          <w:b w:val="0"/>
          <w:bCs/>
          <w:sz w:val="24"/>
          <w:highlight w:val="none"/>
        </w:rPr>
      </w:pPr>
      <w:r>
        <w:rPr>
          <w:rFonts w:hint="eastAsia" w:ascii="宋体" w:hAnsi="宋体" w:cs="宋体"/>
          <w:b w:val="0"/>
          <w:bCs/>
          <w:sz w:val="24"/>
          <w:highlight w:val="none"/>
        </w:rPr>
        <w:t>（一）合同履行期限和地点：</w:t>
      </w:r>
    </w:p>
    <w:p w14:paraId="0AD8B0B9">
      <w:pPr>
        <w:pStyle w:val="9"/>
        <w:spacing w:line="360" w:lineRule="auto"/>
        <w:ind w:firstLine="480"/>
        <w:contextualSpacing/>
        <w:jc w:val="left"/>
        <w:rPr>
          <w:rFonts w:hint="eastAsia" w:ascii="宋体" w:hAnsi="宋体" w:cs="宋体"/>
          <w:bCs/>
          <w:sz w:val="24"/>
          <w:highlight w:val="none"/>
        </w:rPr>
      </w:pPr>
      <w:r>
        <w:rPr>
          <w:rFonts w:hint="eastAsia" w:ascii="宋体" w:hAnsi="宋体" w:cs="宋体"/>
          <w:bCs/>
          <w:sz w:val="24"/>
          <w:highlight w:val="none"/>
        </w:rPr>
        <w:t>1.合同履行期限：该项目合同执行期限为自合同签订之日起一年。</w:t>
      </w:r>
    </w:p>
    <w:p w14:paraId="363957FE">
      <w:pPr>
        <w:pStyle w:val="9"/>
        <w:spacing w:line="360" w:lineRule="auto"/>
        <w:ind w:firstLine="480"/>
        <w:contextualSpacing/>
        <w:jc w:val="left"/>
        <w:rPr>
          <w:rFonts w:hint="eastAsia" w:ascii="宋体" w:hAnsi="宋体" w:cs="宋体"/>
          <w:bCs/>
          <w:sz w:val="24"/>
          <w:highlight w:val="none"/>
        </w:rPr>
      </w:pPr>
      <w:r>
        <w:rPr>
          <w:rFonts w:hint="eastAsia" w:ascii="宋体" w:hAnsi="宋体" w:cs="宋体"/>
          <w:bCs/>
          <w:sz w:val="24"/>
          <w:highlight w:val="none"/>
        </w:rPr>
        <w:t>交货要求：在2025年12月底之前交货20万张，</w:t>
      </w:r>
      <w:r>
        <w:rPr>
          <w:rFonts w:hint="eastAsia" w:ascii="宋体" w:hAnsi="宋体" w:cs="宋体"/>
          <w:bCs/>
          <w:sz w:val="24"/>
          <w:highlight w:val="none"/>
          <w:lang w:val="en-US" w:eastAsia="zh-CN"/>
        </w:rPr>
        <w:t>剩余</w:t>
      </w:r>
      <w:r>
        <w:rPr>
          <w:rFonts w:hint="eastAsia" w:ascii="宋体" w:hAnsi="宋体" w:cs="宋体"/>
          <w:bCs/>
          <w:sz w:val="24"/>
          <w:highlight w:val="none"/>
        </w:rPr>
        <w:t>按照采购人指定日期和数量交货。</w:t>
      </w:r>
    </w:p>
    <w:p w14:paraId="5BC72BB1">
      <w:pPr>
        <w:pStyle w:val="9"/>
        <w:spacing w:line="360" w:lineRule="auto"/>
        <w:ind w:firstLine="480"/>
        <w:contextualSpacing/>
        <w:jc w:val="left"/>
        <w:rPr>
          <w:rFonts w:hint="eastAsia" w:ascii="宋体" w:hAnsi="宋体" w:cs="宋体"/>
          <w:bCs/>
          <w:sz w:val="24"/>
          <w:szCs w:val="24"/>
          <w:highlight w:val="none"/>
        </w:rPr>
      </w:pPr>
      <w:r>
        <w:rPr>
          <w:rFonts w:hint="eastAsia" w:ascii="宋体" w:hAnsi="宋体" w:cs="宋体"/>
          <w:bCs/>
          <w:sz w:val="24"/>
          <w:szCs w:val="24"/>
          <w:highlight w:val="none"/>
        </w:rPr>
        <w:t>2.合同履行地点：</w:t>
      </w:r>
      <w:r>
        <w:rPr>
          <w:rFonts w:hint="eastAsia" w:ascii="宋体" w:hAnsi="宋体" w:cs="宋体"/>
          <w:bCs/>
          <w:sz w:val="24"/>
          <w:szCs w:val="24"/>
          <w:highlight w:val="none"/>
          <w:u w:val="single"/>
        </w:rPr>
        <w:t>采购人指定地点</w:t>
      </w:r>
    </w:p>
    <w:p w14:paraId="3CB504EC">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（二）付款条件（进度和方式）：</w:t>
      </w:r>
      <w:r>
        <w:rPr>
          <w:rFonts w:hint="eastAsia" w:ascii="宋体" w:hAnsi="宋体" w:cs="宋体"/>
          <w:bCs/>
          <w:sz w:val="24"/>
          <w:szCs w:val="24"/>
          <w:highlight w:val="none"/>
        </w:rPr>
        <w:t xml:space="preserve">见《第六章  </w:t>
      </w:r>
      <w:r>
        <w:rPr>
          <w:rFonts w:hint="eastAsia" w:ascii="宋体" w:hAnsi="宋体" w:cs="宋体"/>
          <w:bCs/>
          <w:sz w:val="24"/>
          <w:highlight w:val="none"/>
        </w:rPr>
        <w:t>拟签订的合同文本》</w:t>
      </w:r>
    </w:p>
    <w:p w14:paraId="3625D00F">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（三）包装和运输（如适用，须满足《关于印发〈商品包装政府采购需求标准（试行）〉、〈快递包装政府采购需求标准（试行）〉的通知》（财办库﹝2020﹞123号））</w:t>
      </w:r>
    </w:p>
    <w:p w14:paraId="33BA3A58">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每小盒100张，一箱20盒。投标人依据采购人的采购订单将货物运抵采购人指定的送货地点。</w:t>
      </w:r>
    </w:p>
    <w:p w14:paraId="0AD35BCD">
      <w:pPr>
        <w:pStyle w:val="9"/>
        <w:spacing w:line="360" w:lineRule="auto"/>
        <w:ind w:firstLine="480"/>
        <w:contextualSpacing/>
        <w:jc w:val="left"/>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注：上述商务要求（一）至（三）项，投标人需在投标文件中进行响应，格式自拟。</w:t>
      </w:r>
    </w:p>
    <w:p w14:paraId="30E5300F">
      <w:pPr>
        <w:pStyle w:val="9"/>
        <w:spacing w:line="360" w:lineRule="auto"/>
        <w:ind w:firstLine="480"/>
        <w:contextualSpacing/>
        <w:jc w:val="left"/>
        <w:rPr>
          <w:rFonts w:hint="eastAsia"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rPr>
        <w:t>（四）售后服务</w:t>
      </w:r>
      <w:r>
        <w:rPr>
          <w:rFonts w:hint="eastAsia" w:asciiTheme="minorEastAsia" w:hAnsiTheme="minorEastAsia" w:eastAsiaTheme="minorEastAsia"/>
          <w:bCs/>
          <w:sz w:val="24"/>
          <w:highlight w:val="none"/>
          <w:lang w:val="en-US" w:eastAsia="zh-CN"/>
        </w:rPr>
        <w:t>要求</w:t>
      </w:r>
    </w:p>
    <w:p w14:paraId="65B881D4">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1.供应商免费提供储值卡正常使用所必须的全部技术支持；</w:t>
      </w:r>
    </w:p>
    <w:p w14:paraId="50E9FA37">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2.供应商免费提供储值卡使用数据统计与分析服务；</w:t>
      </w:r>
    </w:p>
    <w:p w14:paraId="0E6DEB29">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3.供应商负责所有的售后服务事项，提供完善的售后服务保障方案，提供售后、咨询等优质服务。</w:t>
      </w:r>
    </w:p>
    <w:p w14:paraId="0E58B24E">
      <w:pPr>
        <w:pStyle w:val="9"/>
        <w:spacing w:line="360" w:lineRule="auto"/>
        <w:ind w:firstLine="480"/>
        <w:contextualSpacing/>
        <w:jc w:val="left"/>
        <w:rPr>
          <w:rFonts w:hint="eastAsia"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rPr>
        <w:t>（</w:t>
      </w:r>
      <w:r>
        <w:rPr>
          <w:rFonts w:hint="eastAsia" w:asciiTheme="minorEastAsia" w:hAnsiTheme="minorEastAsia" w:eastAsiaTheme="minorEastAsia"/>
          <w:bCs/>
          <w:sz w:val="24"/>
          <w:highlight w:val="none"/>
          <w:lang w:val="en-US" w:eastAsia="zh-CN"/>
        </w:rPr>
        <w:t>五</w:t>
      </w:r>
      <w:r>
        <w:rPr>
          <w:rFonts w:hint="eastAsia" w:asciiTheme="minorEastAsia" w:hAnsiTheme="minorEastAsia" w:eastAsiaTheme="minorEastAsia"/>
          <w:bCs/>
          <w:sz w:val="24"/>
          <w:highlight w:val="none"/>
        </w:rPr>
        <w:t>）</w:t>
      </w:r>
      <w:r>
        <w:rPr>
          <w:rFonts w:hint="eastAsia" w:asciiTheme="minorEastAsia" w:hAnsiTheme="minorEastAsia" w:eastAsiaTheme="minorEastAsia"/>
          <w:bCs/>
          <w:sz w:val="24"/>
          <w:highlight w:val="none"/>
          <w:lang w:val="en-US" w:eastAsia="zh-CN"/>
        </w:rPr>
        <w:t>其他</w:t>
      </w:r>
      <w:r>
        <w:rPr>
          <w:rFonts w:hint="eastAsia" w:asciiTheme="minorEastAsia" w:hAnsiTheme="minorEastAsia" w:eastAsiaTheme="minorEastAsia"/>
          <w:bCs/>
          <w:sz w:val="24"/>
          <w:highlight w:val="none"/>
        </w:rPr>
        <w:t>服务</w:t>
      </w:r>
      <w:r>
        <w:rPr>
          <w:rFonts w:hint="eastAsia" w:asciiTheme="minorEastAsia" w:hAnsiTheme="minorEastAsia" w:eastAsiaTheme="minorEastAsia"/>
          <w:bCs/>
          <w:sz w:val="24"/>
          <w:highlight w:val="none"/>
          <w:lang w:val="en-US" w:eastAsia="zh-CN"/>
        </w:rPr>
        <w:t>要求</w:t>
      </w:r>
    </w:p>
    <w:p w14:paraId="2EFEB866">
      <w:pPr>
        <w:pStyle w:val="9"/>
        <w:spacing w:line="360" w:lineRule="auto"/>
        <w:ind w:firstLine="480"/>
        <w:contextualSpacing/>
        <w:jc w:val="left"/>
        <w:rPr>
          <w:rFonts w:hint="default" w:asciiTheme="minorEastAsia" w:hAnsiTheme="minorEastAsia" w:eastAsiaTheme="minorEastAsia"/>
          <w:bCs/>
          <w:sz w:val="24"/>
          <w:highlight w:val="none"/>
          <w:lang w:val="en-US" w:eastAsia="zh-CN"/>
        </w:rPr>
      </w:pPr>
      <w:r>
        <w:rPr>
          <w:rFonts w:hint="eastAsia" w:asciiTheme="minorEastAsia" w:hAnsiTheme="minorEastAsia" w:eastAsiaTheme="minorEastAsia"/>
          <w:bCs/>
          <w:sz w:val="24"/>
          <w:highlight w:val="none"/>
          <w:lang w:val="en-US" w:eastAsia="zh-CN"/>
        </w:rPr>
        <w:t>▲投标人应提供储值卡发放管理系统（含软硬件），对各采血点位储值卡的发放及兑换数据进行实时采集、统计和分析，投标人需按照采购人采血点位数量配置相应的软硬件供采购人使用，维护、维修、更换由投标人负责，使用期限与合同期限一致。（提供承诺书并加盖单位公章，格式自拟）</w:t>
      </w:r>
    </w:p>
    <w:p w14:paraId="7A280F54">
      <w:pPr>
        <w:pStyle w:val="9"/>
        <w:spacing w:line="360" w:lineRule="auto"/>
        <w:ind w:firstLine="480"/>
        <w:contextualSpacing/>
        <w:jc w:val="left"/>
        <w:rPr>
          <w:rFonts w:hint="eastAsia" w:asciiTheme="minorEastAsia" w:hAnsiTheme="minorEastAsia" w:eastAsiaTheme="minorEastAsia"/>
          <w:b/>
          <w:sz w:val="24"/>
          <w:szCs w:val="24"/>
          <w:highlight w:val="none"/>
        </w:rPr>
      </w:pPr>
      <w:r>
        <w:rPr>
          <w:rFonts w:hint="eastAsia" w:asciiTheme="minorEastAsia" w:hAnsiTheme="minorEastAsia" w:eastAsiaTheme="minorEastAsia"/>
          <w:bCs/>
          <w:sz w:val="24"/>
          <w:highlight w:val="none"/>
        </w:rPr>
        <w:t>三、</w:t>
      </w:r>
      <w:r>
        <w:rPr>
          <w:rFonts w:asciiTheme="minorEastAsia" w:hAnsiTheme="minorEastAsia" w:eastAsiaTheme="minorEastAsia"/>
          <w:b/>
          <w:sz w:val="24"/>
          <w:szCs w:val="24"/>
          <w:highlight w:val="none"/>
        </w:rPr>
        <w:t>技术要求</w:t>
      </w:r>
    </w:p>
    <w:p w14:paraId="34A024EE">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（一）基本要求</w:t>
      </w:r>
    </w:p>
    <w:p w14:paraId="17D79311">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1.采购标的需实现的功能或者目标</w:t>
      </w:r>
    </w:p>
    <w:p w14:paraId="74F6598C">
      <w:pPr>
        <w:pStyle w:val="3"/>
        <w:spacing w:line="360" w:lineRule="auto"/>
        <w:ind w:firstLine="480" w:firstLineChars="200"/>
        <w:rPr>
          <w:rFonts w:hint="eastAsia" w:asciiTheme="minorEastAsia" w:hAnsiTheme="minorEastAsia" w:eastAsiaTheme="minorEastAsia"/>
          <w:bCs/>
          <w:highlight w:val="none"/>
        </w:rPr>
      </w:pPr>
      <w:r>
        <w:rPr>
          <w:rFonts w:hint="eastAsia" w:hAnsi="宋体" w:cs="宋体"/>
          <w:highlight w:val="none"/>
        </w:rPr>
        <w:t>本次招标项目的标的是“无偿献血宣传纪念品（第二批）”，投标人应根据招标文件所提出的产品技术规格和服务要求等需求，以满足招标文件要求的产品、优良的服务和优惠的价格，充分显示自己的竞争实力。</w:t>
      </w:r>
    </w:p>
    <w:p w14:paraId="4E03C73D">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2.需执行的国家相关标准、行业标准、地方标准或者其他标准、规范</w:t>
      </w:r>
    </w:p>
    <w:p w14:paraId="2BAD4B37">
      <w:pPr>
        <w:spacing w:line="360" w:lineRule="auto"/>
        <w:ind w:firstLine="480" w:firstLineChars="200"/>
        <w:jc w:val="left"/>
        <w:rPr>
          <w:rFonts w:hint="eastAsia" w:asciiTheme="minorEastAsia" w:hAnsiTheme="minorEastAsia" w:eastAsiaTheme="minorEastAsia"/>
          <w:bCs/>
          <w:sz w:val="24"/>
          <w:highlight w:val="none"/>
        </w:rPr>
      </w:pPr>
      <w:r>
        <w:rPr>
          <w:rFonts w:hint="eastAsia" w:ascii="宋体" w:hAnsi="宋体" w:cs="宋体"/>
          <w:sz w:val="24"/>
          <w:highlight w:val="none"/>
        </w:rPr>
        <w:t>投标产品及制造商应符合国家有关部门规定的相应技术法规及标准。如国家有关部门对投标产品或其制造商有强制性规定或要求的，投标产品及其制造商必须符合相应规定或要求，且投标人须提供相关证明文件的复印件加盖投标单位公章。</w:t>
      </w:r>
    </w:p>
    <w:p w14:paraId="343B7EFA">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（二）采购标的需满足的性能、材料、结构、外观、质量、安全、技术规格、物理特性等要求：</w:t>
      </w:r>
    </w:p>
    <w:p w14:paraId="17D384AB">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1.相关技术指标要求</w:t>
      </w:r>
    </w:p>
    <w:p w14:paraId="31F99886">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1.1卡及卡面价值：人民币100元/张。</w:t>
      </w:r>
    </w:p>
    <w:p w14:paraId="12B2308D">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1.2适用范围：北京市及国内大部分城市适用。</w:t>
      </w:r>
    </w:p>
    <w:p w14:paraId="4D2B56D9">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1.3方便实用，功能多，实用性强，可用于线上或线下购物等消费。</w:t>
      </w:r>
    </w:p>
    <w:p w14:paraId="69F24D29">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1.4免费提供储值卡正常使用所必须的技术支持。</w:t>
      </w:r>
    </w:p>
    <w:p w14:paraId="19218ED1">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1.5免费提供储值卡使用数据统计与分析服务。</w:t>
      </w:r>
    </w:p>
    <w:p w14:paraId="00BE5A53">
      <w:pPr>
        <w:pStyle w:val="9"/>
        <w:spacing w:line="360" w:lineRule="auto"/>
        <w:ind w:firstLine="480"/>
        <w:contextualSpacing/>
        <w:jc w:val="left"/>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rPr>
        <w:t>1.6储值卡使用有效期，自献血者献血之日起一年</w:t>
      </w:r>
      <w:r>
        <w:rPr>
          <w:rFonts w:hint="eastAsia" w:asciiTheme="minorEastAsia" w:hAnsiTheme="minorEastAsia" w:eastAsiaTheme="minorEastAsia"/>
          <w:bCs/>
          <w:sz w:val="24"/>
          <w:highlight w:val="none"/>
          <w:lang w:eastAsia="zh-CN"/>
        </w:rPr>
        <w:t>，根据实际情况，适当延长使用期限，保证献血者自献血之日起，储值卡有效期不低于一年。</w:t>
      </w:r>
    </w:p>
    <w:p w14:paraId="0E845C0B">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2.相关业务</w:t>
      </w:r>
    </w:p>
    <w:p w14:paraId="783EF5D0">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2.1卡片可以实现对公的预充值并给采购人开具对公的增值税普通发票。</w:t>
      </w:r>
    </w:p>
    <w:p w14:paraId="73895D7E">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2.2免费在卡面印制无偿献血公益宣传内容。</w:t>
      </w:r>
    </w:p>
    <w:p w14:paraId="3396C262">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2.3可换购物品方案：</w:t>
      </w:r>
    </w:p>
    <w:p w14:paraId="45741B55">
      <w:pPr>
        <w:pStyle w:val="9"/>
        <w:spacing w:line="360" w:lineRule="auto"/>
        <w:ind w:firstLine="480"/>
        <w:contextualSpacing/>
        <w:jc w:val="left"/>
        <w:rPr>
          <w:rFonts w:hint="eastAsia" w:hAnsi="宋体" w:cs="宋体"/>
          <w:sz w:val="24"/>
          <w:szCs w:val="24"/>
          <w:highlight w:val="none"/>
        </w:rPr>
      </w:pPr>
      <w:r>
        <w:rPr>
          <w:rFonts w:hint="eastAsia" w:asciiTheme="minorEastAsia" w:hAnsiTheme="minorEastAsia" w:eastAsiaTheme="minorEastAsia"/>
          <w:bCs/>
          <w:sz w:val="24"/>
          <w:highlight w:val="none"/>
        </w:rPr>
        <w:t>2.3.1 储值卡可换购物品种类不少于200种。</w:t>
      </w:r>
    </w:p>
    <w:p w14:paraId="7CCEE43D">
      <w:pPr>
        <w:pStyle w:val="9"/>
        <w:spacing w:line="360" w:lineRule="auto"/>
        <w:ind w:firstLine="480"/>
        <w:contextualSpacing/>
        <w:jc w:val="left"/>
        <w:rPr>
          <w:rFonts w:hint="eastAsia" w:hAnsi="宋体" w:cs="宋体"/>
          <w:sz w:val="24"/>
          <w:szCs w:val="24"/>
          <w:highlight w:val="none"/>
        </w:rPr>
      </w:pPr>
      <w:r>
        <w:rPr>
          <w:rFonts w:hint="eastAsia" w:asciiTheme="minorEastAsia" w:hAnsiTheme="minorEastAsia" w:eastAsiaTheme="minorEastAsia"/>
          <w:bCs/>
          <w:sz w:val="24"/>
          <w:highlight w:val="none"/>
        </w:rPr>
        <w:t>2.3.2含有</w:t>
      </w:r>
      <w:r>
        <w:rPr>
          <w:rFonts w:hint="eastAsia" w:hAnsi="宋体" w:cs="宋体"/>
          <w:sz w:val="24"/>
          <w:szCs w:val="24"/>
          <w:highlight w:val="none"/>
        </w:rPr>
        <w:t>献血宣传元素的特色献血纪念品种类</w:t>
      </w:r>
      <w:r>
        <w:rPr>
          <w:rFonts w:hint="eastAsia" w:hAnsi="宋体" w:cs="宋体"/>
          <w:sz w:val="22"/>
          <w:highlight w:val="none"/>
        </w:rPr>
        <w:t>不少于</w:t>
      </w:r>
      <w:r>
        <w:rPr>
          <w:rFonts w:hint="eastAsia" w:hAnsi="宋体" w:cs="宋体"/>
          <w:sz w:val="24"/>
          <w:szCs w:val="24"/>
          <w:highlight w:val="none"/>
        </w:rPr>
        <w:t>10种。</w:t>
      </w:r>
    </w:p>
    <w:p w14:paraId="1EF1B30B">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2.4物品需包含具备行业特色且满足各类献血者需求，应设置北京专区，提供多种服务。投标人提供的行业特色纪念品需具备正版版权，符合献血宣传文化使用，投标人需提供过往行业特色纪念品的设计理念、设计图及作品登记证书佐证且著作权须为投标人。投标人需提供详细资源清单和相关的资源合作协议或合同，以及同类实施案例。</w:t>
      </w:r>
    </w:p>
    <w:p w14:paraId="06FB1A81">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2.5献血者用储值卡兑换的物品必须保证质量，均为符合国家及行业标准规定的正品行货，不得提供假冒伪劣产品，献血者兑换的物品价格不得高于</w:t>
      </w:r>
      <w:r>
        <w:rPr>
          <w:rFonts w:hint="eastAsia" w:asciiTheme="minorEastAsia" w:hAnsiTheme="minorEastAsia" w:eastAsiaTheme="minorEastAsia"/>
          <w:bCs/>
          <w:sz w:val="24"/>
          <w:highlight w:val="none"/>
        </w:rPr>
        <w:t>其它线上线下平台，</w:t>
      </w:r>
      <w:r>
        <w:rPr>
          <w:rFonts w:hint="eastAsia" w:asciiTheme="minorEastAsia" w:hAnsiTheme="minorEastAsia" w:eastAsiaTheme="minorEastAsia"/>
          <w:bCs/>
          <w:sz w:val="24"/>
          <w:highlight w:val="none"/>
        </w:rPr>
        <w:t>并提供完善的售后服务保障方案，提供售后、咨询等优质服务。</w:t>
      </w:r>
    </w:p>
    <w:p w14:paraId="5E221E4A">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2.6使用储值卡换购的物品未使用的，供应商承诺自收到物品之日起14个工作日内，提供无条件退货或换货服务。</w:t>
      </w:r>
    </w:p>
    <w:p w14:paraId="1A0B34B6">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2.7如提供储值卡的线上兑换服务，应为储值卡使用提供安全可靠的兑换服务平台，确保献血者信息安全，供应商需有成熟的行业客户实施案例。</w:t>
      </w:r>
    </w:p>
    <w:p w14:paraId="0751A8D8">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2.8对献血者的个人信息，投标人须提供保密承诺。</w:t>
      </w:r>
    </w:p>
    <w:p w14:paraId="25C05788">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2.9因投标人的原因引起献血者投诉，并给采购人造成损失的，采购人有权拒绝该投标人参与采购人的其他招标采购项目。</w:t>
      </w:r>
    </w:p>
    <w:p w14:paraId="0D4AAEBD">
      <w:pPr>
        <w:pStyle w:val="9"/>
        <w:spacing w:line="360" w:lineRule="auto"/>
        <w:ind w:firstLine="480"/>
        <w:contextualSpacing/>
        <w:jc w:val="left"/>
        <w:rPr>
          <w:rFonts w:hint="eastAsia" w:asciiTheme="minorEastAsia" w:hAnsiTheme="minorEastAsia" w:eastAsiaTheme="minorEastAsia"/>
          <w:bCs/>
          <w:sz w:val="24"/>
          <w:highlight w:val="none"/>
          <w:lang w:eastAsia="zh-CN"/>
        </w:rPr>
      </w:pPr>
      <w:r>
        <w:rPr>
          <w:rFonts w:hint="eastAsia" w:asciiTheme="minorEastAsia" w:hAnsiTheme="minorEastAsia" w:eastAsiaTheme="minorEastAsia"/>
          <w:bCs/>
          <w:sz w:val="24"/>
          <w:highlight w:val="none"/>
          <w:lang w:val="en-US" w:eastAsia="zh-CN"/>
        </w:rPr>
        <w:t>2.10</w:t>
      </w:r>
      <w:r>
        <w:rPr>
          <w:rFonts w:hint="eastAsia" w:asciiTheme="minorEastAsia" w:hAnsiTheme="minorEastAsia" w:eastAsiaTheme="minorEastAsia"/>
          <w:bCs/>
          <w:sz w:val="24"/>
          <w:highlight w:val="none"/>
        </w:rPr>
        <w:t>投标人需根据采购需求提供具体的体现献血者关爱的服务方案</w:t>
      </w:r>
      <w:r>
        <w:rPr>
          <w:rFonts w:hint="eastAsia" w:asciiTheme="minorEastAsia" w:hAnsiTheme="minorEastAsia" w:eastAsiaTheme="minorEastAsia"/>
          <w:bCs/>
          <w:sz w:val="24"/>
          <w:highlight w:val="none"/>
          <w:lang w:eastAsia="zh-CN"/>
        </w:rPr>
        <w:t>。</w:t>
      </w:r>
    </w:p>
    <w:p w14:paraId="11FF3B89">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3.项目服务团队</w:t>
      </w:r>
    </w:p>
    <w:p w14:paraId="508FE9FC">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根据采购需求/合同履行需要配置项目服务团队和人员，保证服务团队人员的稳定与高效。须安排专人与采购人对接项目实施相关具体事宜。</w:t>
      </w:r>
    </w:p>
    <w:p w14:paraId="6BEBD9CD">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（三）为落实政府采购政策需满足的要求</w:t>
      </w:r>
    </w:p>
    <w:p w14:paraId="46A70DE3">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1.促进中小企业发展政策：根据《政府采购促进中小企业发展管理办法》规定，本项目采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20517CE9">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3087B513">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2762E73B">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14:paraId="15D98CAF">
      <w:pPr>
        <w:pStyle w:val="9"/>
        <w:spacing w:line="360" w:lineRule="auto"/>
        <w:ind w:firstLine="480"/>
        <w:contextualSpacing/>
        <w:jc w:val="left"/>
        <w:rPr>
          <w:rFonts w:hint="eastAsia" w:asciiTheme="minorEastAsia" w:hAnsiTheme="minorEastAsia" w:eastAsiaTheme="minorEastAsia"/>
          <w:bCs/>
          <w:sz w:val="24"/>
          <w:highlight w:val="none"/>
        </w:rPr>
      </w:pPr>
      <w:r>
        <w:rPr>
          <w:rFonts w:hint="eastAsia" w:asciiTheme="minorEastAsia" w:hAnsiTheme="minorEastAsia" w:eastAsiaTheme="minorEastAsia"/>
          <w:bCs/>
          <w:sz w:val="24"/>
          <w:highlight w:val="none"/>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6EA5B5FF">
      <w:pPr>
        <w:pStyle w:val="9"/>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（四）采购标的的其他技术、服务等要求</w:t>
      </w:r>
    </w:p>
    <w:p w14:paraId="18DAD2A1">
      <w:pPr>
        <w:spacing w:line="360" w:lineRule="auto"/>
        <w:ind w:firstLine="480" w:firstLineChars="200"/>
        <w:jc w:val="left"/>
        <w:rPr>
          <w:rFonts w:hint="eastAsia" w:ascii="宋体" w:hAnsi="宋体"/>
          <w:sz w:val="24"/>
          <w:highlight w:val="none"/>
        </w:rPr>
      </w:pPr>
      <w:r>
        <w:rPr>
          <w:rFonts w:hint="eastAsia" w:ascii="宋体" w:hAnsi="宋体"/>
          <w:sz w:val="24"/>
          <w:highlight w:val="none"/>
        </w:rPr>
        <w:t>投标人所提供的部件之间及设备之间的连线或接插件均视为设备内部部件，应包含在相应的配置中。</w:t>
      </w:r>
    </w:p>
    <w:p w14:paraId="09A6A23F">
      <w:pPr>
        <w:pStyle w:val="9"/>
        <w:spacing w:line="360" w:lineRule="auto"/>
        <w:ind w:firstLine="480"/>
        <w:contextualSpacing/>
        <w:jc w:val="left"/>
        <w:rPr>
          <w:rFonts w:hint="eastAsia" w:ascii="宋体" w:hAnsi="宋体"/>
          <w:bCs/>
          <w:sz w:val="24"/>
          <w:highlight w:val="none"/>
        </w:rPr>
      </w:pPr>
      <w:r>
        <w:rPr>
          <w:rFonts w:hint="eastAsia" w:ascii="宋体" w:hAnsi="宋体"/>
          <w:bCs/>
          <w:sz w:val="24"/>
          <w:highlight w:val="none"/>
        </w:rPr>
        <w:t>（五）验收标准</w:t>
      </w:r>
    </w:p>
    <w:p w14:paraId="5E578C40">
      <w:pPr>
        <w:rPr>
          <w:highlight w:val="none"/>
        </w:rPr>
      </w:pPr>
      <w:r>
        <w:rPr>
          <w:rFonts w:hint="eastAsia" w:ascii="宋体" w:hAnsi="宋体"/>
          <w:bCs/>
          <w:sz w:val="24"/>
          <w:highlight w:val="none"/>
        </w:rPr>
        <w:t>采购人收到货物后，做常规验收，即依据送货单，检查包装是否完整、清点数量、核对型号等信息并组织验收，投标人提供《储值卡验收确认单》由采购人指定的人员进行验收、确认。合同执行期满后15日内，由投标人提交年度储值卡兑换报告，并加盖投标人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4416E"/>
    <w:rsid w:val="3DA52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2"/>
    <w:basedOn w:val="1"/>
    <w:semiHidden/>
    <w:unhideWhenUsed/>
    <w:qFormat/>
    <w:uiPriority w:val="99"/>
    <w:pPr>
      <w:spacing w:after="120" w:line="480" w:lineRule="auto"/>
    </w:p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qFormat/>
    <w:uiPriority w:val="0"/>
    <w:pPr>
      <w:tabs>
        <w:tab w:val="left" w:pos="567"/>
      </w:tabs>
      <w:spacing w:before="120" w:line="22" w:lineRule="atLeast"/>
    </w:pPr>
    <w:rPr>
      <w:rFonts w:ascii="宋体" w:hAnsi="宋体"/>
      <w:sz w:val="24"/>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toc 2"/>
    <w:basedOn w:val="1"/>
    <w:next w:val="1"/>
    <w:qFormat/>
    <w:uiPriority w:val="39"/>
    <w:pPr>
      <w:tabs>
        <w:tab w:val="right" w:leader="dot" w:pos="8937"/>
      </w:tabs>
      <w:spacing w:line="312" w:lineRule="auto"/>
      <w:ind w:left="420" w:leftChars="200"/>
    </w:pPr>
  </w:style>
  <w:style w:type="paragraph" w:customStyle="1" w:styleId="9">
    <w:name w:val="列出段落1"/>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2025-11-10T03:25:41Z</dcterms:created>
  <dc:creator>nuc</dc:creator>
  <cp:lastModifiedBy>Star</cp:lastModifiedBy>
  <dcterms:modified xsi:type="dcterms:W3CDTF">2025-11-10T03:31:52Z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eyJoZGlkIjoiMjg1MTY4OTM0NGEzMTc4MTZmMzA5ZGY4NWFjY2ZkYzAiLCJ1c2VySWQiOiIxMjAyNjQxNTAyIn0=</vt:lpwstr>
  </property>
  <property fmtid="{D5CDD505-2E9C-101B-9397-08002B2CF9AE}" pid="4" name="ICV">
    <vt:lpwstr>4DDE40C8C1C442539180C1C9E3BFF628_12</vt:lpwstr>
  </property>
</Properties>
</file>