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441AB">
      <w:pPr>
        <w:spacing w:line="360" w:lineRule="auto"/>
        <w:jc w:val="center"/>
        <w:outlineLvl w:val="0"/>
        <w:rPr>
          <w:b/>
          <w:sz w:val="36"/>
          <w:szCs w:val="36"/>
          <w:highlight w:val="none"/>
        </w:rPr>
      </w:pPr>
      <w:bookmarkStart w:id="0" w:name="_Toc99301424"/>
      <w:r>
        <w:rPr>
          <w:b/>
          <w:sz w:val="36"/>
          <w:szCs w:val="36"/>
          <w:highlight w:val="none"/>
        </w:rPr>
        <w:t>第五章   采购需求</w:t>
      </w:r>
      <w:bookmarkEnd w:id="0"/>
    </w:p>
    <w:p w14:paraId="3D4FE058">
      <w:pPr>
        <w:jc w:val="center"/>
        <w:rPr>
          <w:rFonts w:hint="eastAsia" w:ascii="黑体" w:hAnsi="宋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宋体" w:eastAsia="黑体" w:cs="宋体"/>
          <w:kern w:val="0"/>
          <w:sz w:val="28"/>
          <w:szCs w:val="28"/>
          <w:highlight w:val="none"/>
        </w:rPr>
        <w:t>第1包</w:t>
      </w:r>
    </w:p>
    <w:p w14:paraId="01E2D003">
      <w:pPr>
        <w:numPr>
          <w:ilvl w:val="0"/>
          <w:numId w:val="1"/>
        </w:numPr>
        <w:adjustRightInd w:val="0"/>
        <w:spacing w:line="360" w:lineRule="atLeast"/>
        <w:jc w:val="left"/>
        <w:textAlignment w:val="baseline"/>
        <w:rPr>
          <w:b/>
          <w:sz w:val="24"/>
          <w:highlight w:val="none"/>
        </w:rPr>
      </w:pPr>
      <w:r>
        <w:rPr>
          <w:rFonts w:hint="eastAsia"/>
          <w:b/>
          <w:sz w:val="24"/>
          <w:highlight w:val="none"/>
        </w:rPr>
        <w:t>采购标的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2343"/>
        <w:gridCol w:w="1701"/>
        <w:gridCol w:w="1473"/>
        <w:gridCol w:w="1947"/>
      </w:tblGrid>
      <w:tr w14:paraId="5C221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noWrap w:val="0"/>
            <w:vAlign w:val="center"/>
          </w:tcPr>
          <w:p w14:paraId="21BD87EF">
            <w:pPr>
              <w:jc w:val="center"/>
              <w:rPr>
                <w:rFonts w:hint="eastAsia"/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序号</w:t>
            </w:r>
          </w:p>
        </w:tc>
        <w:tc>
          <w:tcPr>
            <w:tcW w:w="2343" w:type="dxa"/>
            <w:noWrap w:val="0"/>
            <w:vAlign w:val="center"/>
          </w:tcPr>
          <w:p w14:paraId="4962FF23">
            <w:pPr>
              <w:jc w:val="center"/>
              <w:rPr>
                <w:rFonts w:hint="eastAsia"/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货物或服务名称</w:t>
            </w:r>
          </w:p>
        </w:tc>
        <w:tc>
          <w:tcPr>
            <w:tcW w:w="1701" w:type="dxa"/>
            <w:noWrap w:val="0"/>
            <w:vAlign w:val="center"/>
          </w:tcPr>
          <w:p w14:paraId="1C4AECDA">
            <w:pPr>
              <w:jc w:val="center"/>
              <w:rPr>
                <w:rFonts w:hint="eastAsia"/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数量</w:t>
            </w:r>
          </w:p>
        </w:tc>
        <w:tc>
          <w:tcPr>
            <w:tcW w:w="1473" w:type="dxa"/>
            <w:noWrap w:val="0"/>
            <w:vAlign w:val="center"/>
          </w:tcPr>
          <w:p w14:paraId="08DD46FA">
            <w:pPr>
              <w:jc w:val="center"/>
              <w:rPr>
                <w:rFonts w:hint="eastAsia"/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单位</w:t>
            </w:r>
          </w:p>
        </w:tc>
        <w:tc>
          <w:tcPr>
            <w:tcW w:w="1947" w:type="dxa"/>
            <w:noWrap w:val="0"/>
            <w:vAlign w:val="center"/>
          </w:tcPr>
          <w:p w14:paraId="30BEFE41">
            <w:pPr>
              <w:jc w:val="center"/>
              <w:rPr>
                <w:rFonts w:hint="eastAsia"/>
                <w:b/>
                <w:sz w:val="24"/>
                <w:highlight w:val="none"/>
              </w:rPr>
            </w:pPr>
          </w:p>
        </w:tc>
      </w:tr>
      <w:tr w14:paraId="35854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noWrap w:val="0"/>
            <w:vAlign w:val="center"/>
          </w:tcPr>
          <w:p w14:paraId="08AE45B5"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</w:t>
            </w:r>
          </w:p>
        </w:tc>
        <w:tc>
          <w:tcPr>
            <w:tcW w:w="2343" w:type="dxa"/>
            <w:noWrap w:val="0"/>
            <w:vAlign w:val="top"/>
          </w:tcPr>
          <w:p w14:paraId="0B5C5059"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互联网带宽</w:t>
            </w:r>
          </w:p>
        </w:tc>
        <w:tc>
          <w:tcPr>
            <w:tcW w:w="1701" w:type="dxa"/>
            <w:noWrap w:val="0"/>
            <w:vAlign w:val="top"/>
          </w:tcPr>
          <w:p w14:paraId="6ED43006"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</w:t>
            </w:r>
          </w:p>
        </w:tc>
        <w:tc>
          <w:tcPr>
            <w:tcW w:w="1473" w:type="dxa"/>
            <w:noWrap w:val="0"/>
            <w:vAlign w:val="top"/>
          </w:tcPr>
          <w:p w14:paraId="3DB6740A"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项</w:t>
            </w:r>
          </w:p>
        </w:tc>
        <w:tc>
          <w:tcPr>
            <w:tcW w:w="1947" w:type="dxa"/>
            <w:noWrap w:val="0"/>
            <w:vAlign w:val="top"/>
          </w:tcPr>
          <w:p w14:paraId="0FA07450">
            <w:pPr>
              <w:rPr>
                <w:rFonts w:hint="eastAsia"/>
                <w:sz w:val="24"/>
                <w:highlight w:val="none"/>
              </w:rPr>
            </w:pPr>
          </w:p>
        </w:tc>
      </w:tr>
    </w:tbl>
    <w:p w14:paraId="4226B1FD">
      <w:pPr>
        <w:numPr>
          <w:ilvl w:val="0"/>
          <w:numId w:val="1"/>
        </w:numPr>
        <w:adjustRightInd w:val="0"/>
        <w:spacing w:line="360" w:lineRule="atLeast"/>
        <w:jc w:val="left"/>
        <w:textAlignment w:val="baseline"/>
        <w:rPr>
          <w:b/>
          <w:sz w:val="24"/>
          <w:highlight w:val="none"/>
        </w:rPr>
      </w:pPr>
      <w:r>
        <w:rPr>
          <w:rFonts w:hint="eastAsia"/>
          <w:b/>
          <w:sz w:val="24"/>
          <w:highlight w:val="none"/>
        </w:rPr>
        <w:t>项目背景或概述</w:t>
      </w:r>
    </w:p>
    <w:p w14:paraId="36C0F719">
      <w:pPr>
        <w:adjustRightInd w:val="0"/>
        <w:spacing w:line="360" w:lineRule="atLeast"/>
        <w:ind w:firstLine="480" w:firstLineChars="200"/>
        <w:jc w:val="left"/>
        <w:textAlignment w:val="baseline"/>
        <w:rPr>
          <w:rFonts w:hint="eastAsia"/>
          <w:bCs/>
          <w:sz w:val="24"/>
          <w:highlight w:val="none"/>
        </w:rPr>
      </w:pPr>
      <w:r>
        <w:rPr>
          <w:rFonts w:hint="eastAsia"/>
          <w:bCs/>
          <w:sz w:val="24"/>
          <w:highlight w:val="none"/>
        </w:rPr>
        <w:t>为进一步规范北京信息科技大学信息与网络中心202</w:t>
      </w:r>
      <w:r>
        <w:rPr>
          <w:bCs/>
          <w:sz w:val="24"/>
          <w:highlight w:val="none"/>
        </w:rPr>
        <w:t>6</w:t>
      </w:r>
      <w:r>
        <w:rPr>
          <w:rFonts w:hint="eastAsia"/>
          <w:bCs/>
          <w:sz w:val="24"/>
          <w:highlight w:val="none"/>
        </w:rPr>
        <w:t>年度互联网带宽采购流程，本着“公开、公平、公正”的原则，做好此项目采购工作。学校拟定于202</w:t>
      </w:r>
      <w:r>
        <w:rPr>
          <w:bCs/>
          <w:sz w:val="24"/>
          <w:highlight w:val="none"/>
        </w:rPr>
        <w:t>6</w:t>
      </w:r>
      <w:r>
        <w:rPr>
          <w:rFonts w:hint="eastAsia"/>
          <w:bCs/>
          <w:sz w:val="24"/>
          <w:highlight w:val="none"/>
        </w:rPr>
        <w:t>年5月前对北京信息科技大学202</w:t>
      </w:r>
      <w:r>
        <w:rPr>
          <w:bCs/>
          <w:sz w:val="24"/>
          <w:highlight w:val="none"/>
        </w:rPr>
        <w:t>6</w:t>
      </w:r>
      <w:r>
        <w:rPr>
          <w:rFonts w:hint="eastAsia"/>
          <w:bCs/>
          <w:sz w:val="24"/>
          <w:highlight w:val="none"/>
        </w:rPr>
        <w:t>年互联网带宽采购项目进行公开招标，采购预算</w:t>
      </w:r>
      <w:r>
        <w:rPr>
          <w:rFonts w:hint="eastAsia"/>
          <w:bCs/>
          <w:sz w:val="24"/>
          <w:highlight w:val="none"/>
          <w:u w:val="single"/>
        </w:rPr>
        <w:t>__</w:t>
      </w:r>
      <w:r>
        <w:rPr>
          <w:bCs/>
          <w:sz w:val="24"/>
          <w:highlight w:val="none"/>
          <w:u w:val="single"/>
        </w:rPr>
        <w:t>90</w:t>
      </w:r>
      <w:r>
        <w:rPr>
          <w:rFonts w:hint="eastAsia"/>
          <w:bCs/>
          <w:sz w:val="24"/>
          <w:highlight w:val="none"/>
          <w:u w:val="single"/>
        </w:rPr>
        <w:t>_</w:t>
      </w:r>
      <w:r>
        <w:rPr>
          <w:rFonts w:hint="eastAsia"/>
          <w:bCs/>
          <w:sz w:val="24"/>
          <w:highlight w:val="none"/>
        </w:rPr>
        <w:t>万元。</w:t>
      </w:r>
    </w:p>
    <w:p w14:paraId="3C65A3B2">
      <w:pPr>
        <w:numPr>
          <w:ilvl w:val="0"/>
          <w:numId w:val="1"/>
        </w:numPr>
        <w:adjustRightInd w:val="0"/>
        <w:spacing w:line="360" w:lineRule="atLeast"/>
        <w:jc w:val="left"/>
        <w:textAlignment w:val="baseline"/>
        <w:rPr>
          <w:b/>
          <w:sz w:val="24"/>
          <w:highlight w:val="none"/>
        </w:rPr>
      </w:pPr>
      <w:r>
        <w:rPr>
          <w:rFonts w:hint="eastAsia"/>
          <w:b/>
          <w:sz w:val="24"/>
          <w:highlight w:val="none"/>
        </w:rPr>
        <w:t>技术参数要求。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613"/>
        <w:gridCol w:w="1036"/>
        <w:gridCol w:w="4939"/>
        <w:gridCol w:w="2198"/>
      </w:tblGrid>
      <w:tr w14:paraId="63018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02" w:type="dxa"/>
            <w:shd w:val="clear" w:color="auto" w:fill="A6A6A6"/>
            <w:noWrap w:val="0"/>
            <w:vAlign w:val="center"/>
          </w:tcPr>
          <w:p w14:paraId="04217D8A">
            <w:pPr>
              <w:jc w:val="center"/>
              <w:rPr>
                <w:rFonts w:hint="eastAsia"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序号</w:t>
            </w:r>
          </w:p>
        </w:tc>
        <w:tc>
          <w:tcPr>
            <w:tcW w:w="613" w:type="dxa"/>
            <w:shd w:val="clear" w:color="auto" w:fill="A6A6A6"/>
            <w:noWrap w:val="0"/>
            <w:vAlign w:val="center"/>
          </w:tcPr>
          <w:p w14:paraId="39D8AD52">
            <w:pPr>
              <w:jc w:val="center"/>
              <w:rPr>
                <w:rFonts w:hint="eastAsia"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重要性</w:t>
            </w:r>
          </w:p>
        </w:tc>
        <w:tc>
          <w:tcPr>
            <w:tcW w:w="1036" w:type="dxa"/>
            <w:shd w:val="clear" w:color="auto" w:fill="A6A6A6"/>
            <w:noWrap w:val="0"/>
            <w:vAlign w:val="center"/>
          </w:tcPr>
          <w:p w14:paraId="5001922E">
            <w:pPr>
              <w:jc w:val="center"/>
              <w:rPr>
                <w:rFonts w:hint="eastAsia"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指标项</w:t>
            </w:r>
          </w:p>
        </w:tc>
        <w:tc>
          <w:tcPr>
            <w:tcW w:w="4939" w:type="dxa"/>
            <w:shd w:val="clear" w:color="auto" w:fill="A6A6A6"/>
            <w:noWrap w:val="0"/>
            <w:vAlign w:val="center"/>
          </w:tcPr>
          <w:p w14:paraId="43BB71B8">
            <w:pPr>
              <w:jc w:val="center"/>
              <w:rPr>
                <w:rFonts w:hint="eastAsia"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指标要求</w:t>
            </w:r>
          </w:p>
        </w:tc>
        <w:tc>
          <w:tcPr>
            <w:tcW w:w="2198" w:type="dxa"/>
            <w:shd w:val="clear" w:color="auto" w:fill="A6A6A6"/>
            <w:noWrap w:val="0"/>
            <w:vAlign w:val="center"/>
          </w:tcPr>
          <w:p w14:paraId="05D1BFF3">
            <w:pPr>
              <w:jc w:val="center"/>
              <w:rPr>
                <w:rFonts w:hint="eastAsia"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证明材料要求</w:t>
            </w:r>
          </w:p>
        </w:tc>
      </w:tr>
      <w:tr w14:paraId="21412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502" w:type="dxa"/>
            <w:noWrap w:val="0"/>
            <w:vAlign w:val="center"/>
          </w:tcPr>
          <w:p w14:paraId="73CE7B0A"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1</w:t>
            </w:r>
          </w:p>
        </w:tc>
        <w:tc>
          <w:tcPr>
            <w:tcW w:w="613" w:type="dxa"/>
            <w:noWrap w:val="0"/>
            <w:vAlign w:val="center"/>
          </w:tcPr>
          <w:p w14:paraId="143CA991">
            <w:pPr>
              <w:jc w:val="center"/>
              <w:rPr>
                <w:rFonts w:hint="eastAsia" w:ascii="宋体" w:hAnsi="宋体" w:cs="宋体"/>
                <w:b/>
                <w:sz w:val="24"/>
                <w:highlight w:val="none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70ABE583">
            <w:pPr>
              <w:jc w:val="center"/>
              <w:rPr>
                <w:rFonts w:hint="eastAsia" w:ascii="宋体" w:hAnsi="宋体" w:cs="宋体"/>
                <w:sz w:val="24"/>
                <w:highlight w:val="none"/>
                <w:lang w:bidi="en-US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链路要求</w:t>
            </w:r>
          </w:p>
        </w:tc>
        <w:tc>
          <w:tcPr>
            <w:tcW w:w="4939" w:type="dxa"/>
            <w:noWrap w:val="0"/>
            <w:vAlign w:val="center"/>
          </w:tcPr>
          <w:p w14:paraId="60803093">
            <w:pPr>
              <w:jc w:val="left"/>
              <w:rPr>
                <w:rFonts w:hint="eastAsia" w:ascii="宋体" w:hAnsi="宋体" w:cs="宋体"/>
                <w:sz w:val="24"/>
                <w:highlight w:val="none"/>
                <w:lang w:bidi="en-US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bidi="en-US"/>
              </w:rPr>
              <w:t>校园网出口上联至运营商网络，必须独享22Gbps及以上带宽光纤专线；</w:t>
            </w:r>
          </w:p>
          <w:p w14:paraId="2C579BE5">
            <w:pPr>
              <w:jc w:val="left"/>
              <w:rPr>
                <w:rFonts w:hint="eastAsia" w:ascii="宋体" w:hAnsi="宋体" w:cs="宋体"/>
                <w:sz w:val="24"/>
                <w:highlight w:val="none"/>
                <w:lang w:bidi="en-US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bidi="en-US"/>
              </w:rPr>
              <w:t>互联网公网地址：北京本地电信级运营商所提供的IP地址，不做二次转换。</w:t>
            </w:r>
          </w:p>
        </w:tc>
        <w:tc>
          <w:tcPr>
            <w:tcW w:w="2198" w:type="dxa"/>
            <w:noWrap w:val="0"/>
            <w:vAlign w:val="center"/>
          </w:tcPr>
          <w:p w14:paraId="117238A2">
            <w:pPr>
              <w:jc w:val="center"/>
              <w:rPr>
                <w:rFonts w:ascii="宋体" w:hAnsi="宋体" w:cs="宋体"/>
                <w:sz w:val="24"/>
                <w:highlight w:val="none"/>
                <w:lang w:bidi="en-US"/>
              </w:rPr>
            </w:pPr>
          </w:p>
        </w:tc>
      </w:tr>
      <w:tr w14:paraId="4FA71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02" w:type="dxa"/>
            <w:noWrap w:val="0"/>
            <w:vAlign w:val="center"/>
          </w:tcPr>
          <w:p w14:paraId="4C6AB098"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2</w:t>
            </w:r>
          </w:p>
        </w:tc>
        <w:tc>
          <w:tcPr>
            <w:tcW w:w="613" w:type="dxa"/>
            <w:noWrap w:val="0"/>
            <w:vAlign w:val="center"/>
          </w:tcPr>
          <w:p w14:paraId="797A8891">
            <w:pPr>
              <w:jc w:val="center"/>
              <w:rPr>
                <w:rFonts w:hint="eastAsia" w:ascii="宋体" w:hAnsi="宋体" w:cs="宋体"/>
                <w:b/>
                <w:sz w:val="24"/>
                <w:highlight w:val="none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2D6A34A8">
            <w:pPr>
              <w:jc w:val="center"/>
              <w:rPr>
                <w:rFonts w:ascii="宋体" w:hAnsi="宋体" w:cs="宋体"/>
                <w:sz w:val="24"/>
                <w:highlight w:val="none"/>
                <w:lang w:bidi="en-US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端口接入方式及带宽可用率</w:t>
            </w:r>
          </w:p>
        </w:tc>
        <w:tc>
          <w:tcPr>
            <w:tcW w:w="4939" w:type="dxa"/>
            <w:noWrap w:val="0"/>
            <w:vAlign w:val="center"/>
          </w:tcPr>
          <w:p w14:paraId="307EF5DE">
            <w:pPr>
              <w:jc w:val="left"/>
              <w:rPr>
                <w:rFonts w:hint="eastAsia" w:ascii="宋体" w:hAnsi="宋体" w:cs="宋体"/>
                <w:sz w:val="24"/>
                <w:highlight w:val="none"/>
                <w:lang w:bidi="en-US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bidi="en-US"/>
              </w:rPr>
              <w:t>提供10Gbps接口，超10Gbps带宽，采用多个10Gbps端口捆绑方式实现。</w:t>
            </w:r>
          </w:p>
        </w:tc>
        <w:tc>
          <w:tcPr>
            <w:tcW w:w="2198" w:type="dxa"/>
            <w:noWrap w:val="0"/>
            <w:vAlign w:val="center"/>
          </w:tcPr>
          <w:p w14:paraId="54FCEBFB">
            <w:pPr>
              <w:jc w:val="center"/>
              <w:rPr>
                <w:rFonts w:hint="eastAsia" w:ascii="宋体" w:hAnsi="宋体" w:cs="宋体"/>
                <w:sz w:val="24"/>
                <w:highlight w:val="none"/>
                <w:lang w:bidi="en-US"/>
              </w:rPr>
            </w:pPr>
          </w:p>
        </w:tc>
      </w:tr>
      <w:tr w14:paraId="5A938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02" w:type="dxa"/>
            <w:noWrap w:val="0"/>
            <w:vAlign w:val="center"/>
          </w:tcPr>
          <w:p w14:paraId="45ED8EFF">
            <w:pPr>
              <w:jc w:val="center"/>
              <w:rPr>
                <w:rFonts w:hint="eastAsia"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3</w:t>
            </w:r>
          </w:p>
        </w:tc>
        <w:tc>
          <w:tcPr>
            <w:tcW w:w="613" w:type="dxa"/>
            <w:noWrap w:val="0"/>
            <w:vAlign w:val="center"/>
          </w:tcPr>
          <w:p w14:paraId="6C029402"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12456EC2">
            <w:pPr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独享要求</w:t>
            </w:r>
          </w:p>
        </w:tc>
        <w:tc>
          <w:tcPr>
            <w:tcW w:w="4939" w:type="dxa"/>
            <w:noWrap w:val="0"/>
            <w:vAlign w:val="center"/>
          </w:tcPr>
          <w:p w14:paraId="6AFBE83C">
            <w:pPr>
              <w:jc w:val="left"/>
              <w:rPr>
                <w:rFonts w:hint="eastAsia" w:ascii="宋体" w:hAnsi="宋体" w:cs="宋体"/>
                <w:sz w:val="24"/>
                <w:highlight w:val="none"/>
                <w:lang w:bidi="en-US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bidi="en-US"/>
              </w:rPr>
              <w:t>互联网接入线路必须独享、不再复用、不得通过接入商缓存、cache等类似设备。</w:t>
            </w:r>
          </w:p>
        </w:tc>
        <w:tc>
          <w:tcPr>
            <w:tcW w:w="2198" w:type="dxa"/>
            <w:noWrap w:val="0"/>
            <w:vAlign w:val="center"/>
          </w:tcPr>
          <w:p w14:paraId="3B670BEC">
            <w:pPr>
              <w:jc w:val="center"/>
              <w:rPr>
                <w:rFonts w:hint="eastAsia" w:ascii="宋体" w:hAnsi="宋体" w:cs="宋体"/>
                <w:sz w:val="24"/>
                <w:highlight w:val="none"/>
                <w:lang w:bidi="en-US"/>
              </w:rPr>
            </w:pPr>
          </w:p>
        </w:tc>
      </w:tr>
      <w:tr w14:paraId="46196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02" w:type="dxa"/>
            <w:noWrap w:val="0"/>
            <w:vAlign w:val="center"/>
          </w:tcPr>
          <w:p w14:paraId="782FC2AF">
            <w:pPr>
              <w:jc w:val="center"/>
              <w:rPr>
                <w:rFonts w:hint="eastAsia"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4</w:t>
            </w:r>
          </w:p>
        </w:tc>
        <w:tc>
          <w:tcPr>
            <w:tcW w:w="613" w:type="dxa"/>
            <w:noWrap w:val="0"/>
            <w:vAlign w:val="center"/>
          </w:tcPr>
          <w:p w14:paraId="49373F90">
            <w:pPr>
              <w:jc w:val="center"/>
              <w:rPr>
                <w:rFonts w:hint="eastAsia" w:ascii="宋体" w:hAnsi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highlight w:val="none"/>
              </w:rPr>
              <w:t>#</w:t>
            </w:r>
          </w:p>
        </w:tc>
        <w:tc>
          <w:tcPr>
            <w:tcW w:w="1036" w:type="dxa"/>
            <w:noWrap w:val="0"/>
            <w:vAlign w:val="center"/>
          </w:tcPr>
          <w:p w14:paraId="4C28C728">
            <w:pPr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IP地址要求</w:t>
            </w:r>
          </w:p>
        </w:tc>
        <w:tc>
          <w:tcPr>
            <w:tcW w:w="4939" w:type="dxa"/>
            <w:noWrap w:val="0"/>
            <w:vAlign w:val="center"/>
          </w:tcPr>
          <w:p w14:paraId="06AE51CF">
            <w:pPr>
              <w:jc w:val="left"/>
              <w:rPr>
                <w:rFonts w:hint="eastAsia" w:ascii="宋体" w:hAnsi="宋体" w:cs="宋体"/>
                <w:sz w:val="24"/>
                <w:highlight w:val="none"/>
                <w:lang w:bidi="en-US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提供C类公网IPv4地址≥264个，其中的256个为一个前缀，/56前缀IPv6地址≥2个。</w:t>
            </w:r>
          </w:p>
        </w:tc>
        <w:tc>
          <w:tcPr>
            <w:tcW w:w="2198" w:type="dxa"/>
            <w:noWrap w:val="0"/>
            <w:vAlign w:val="center"/>
          </w:tcPr>
          <w:p w14:paraId="1216F087">
            <w:pPr>
              <w:jc w:val="center"/>
              <w:rPr>
                <w:rFonts w:hint="eastAsia" w:ascii="宋体" w:hAnsi="宋体" w:cs="宋体"/>
                <w:sz w:val="24"/>
                <w:highlight w:val="none"/>
                <w:lang w:bidi="en-US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提供承诺函并加盖投标人公章</w:t>
            </w:r>
          </w:p>
        </w:tc>
      </w:tr>
      <w:tr w14:paraId="71900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02" w:type="dxa"/>
            <w:noWrap w:val="0"/>
            <w:vAlign w:val="center"/>
          </w:tcPr>
          <w:p w14:paraId="4254DEFE">
            <w:pPr>
              <w:jc w:val="center"/>
              <w:rPr>
                <w:rFonts w:hint="eastAsia"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5</w:t>
            </w:r>
          </w:p>
        </w:tc>
        <w:tc>
          <w:tcPr>
            <w:tcW w:w="613" w:type="dxa"/>
            <w:noWrap w:val="0"/>
            <w:vAlign w:val="center"/>
          </w:tcPr>
          <w:p w14:paraId="7A3E7A27">
            <w:pPr>
              <w:jc w:val="center"/>
              <w:rPr>
                <w:rFonts w:hint="eastAsia" w:ascii="宋体" w:hAnsi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highlight w:val="none"/>
              </w:rPr>
              <w:t>#</w:t>
            </w:r>
          </w:p>
        </w:tc>
        <w:tc>
          <w:tcPr>
            <w:tcW w:w="1036" w:type="dxa"/>
            <w:noWrap w:val="0"/>
            <w:vAlign w:val="center"/>
          </w:tcPr>
          <w:p w14:paraId="156A7526">
            <w:pPr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路由跳数</w:t>
            </w:r>
          </w:p>
        </w:tc>
        <w:tc>
          <w:tcPr>
            <w:tcW w:w="4939" w:type="dxa"/>
            <w:noWrap w:val="0"/>
            <w:vAlign w:val="center"/>
          </w:tcPr>
          <w:p w14:paraId="0BA02062">
            <w:pPr>
              <w:jc w:val="left"/>
              <w:rPr>
                <w:rFonts w:hint="eastAsia" w:ascii="宋体" w:hAnsi="宋体" w:cs="宋体"/>
                <w:sz w:val="24"/>
                <w:highlight w:val="none"/>
                <w:lang w:bidi="en-US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提供北京市城域网主干或北京市主干最高级别可接入链路入口，以不多于2跳数连接运营商网络核心层。</w:t>
            </w:r>
          </w:p>
        </w:tc>
        <w:tc>
          <w:tcPr>
            <w:tcW w:w="2198" w:type="dxa"/>
            <w:noWrap w:val="0"/>
            <w:vAlign w:val="center"/>
          </w:tcPr>
          <w:p w14:paraId="6E223584">
            <w:pPr>
              <w:jc w:val="center"/>
              <w:rPr>
                <w:rFonts w:hint="eastAsia" w:ascii="宋体" w:hAnsi="宋体" w:cs="宋体"/>
                <w:sz w:val="24"/>
                <w:highlight w:val="none"/>
                <w:lang w:bidi="en-US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提供跳数说明并加盖投标人公章</w:t>
            </w:r>
          </w:p>
        </w:tc>
      </w:tr>
      <w:tr w14:paraId="034BC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02" w:type="dxa"/>
            <w:noWrap w:val="0"/>
            <w:vAlign w:val="center"/>
          </w:tcPr>
          <w:p w14:paraId="023F1509">
            <w:pPr>
              <w:jc w:val="center"/>
              <w:rPr>
                <w:rFonts w:hint="eastAsia"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6</w:t>
            </w:r>
          </w:p>
        </w:tc>
        <w:tc>
          <w:tcPr>
            <w:tcW w:w="613" w:type="dxa"/>
            <w:noWrap w:val="0"/>
            <w:vAlign w:val="center"/>
          </w:tcPr>
          <w:p w14:paraId="4FA0591F">
            <w:pPr>
              <w:jc w:val="center"/>
              <w:rPr>
                <w:rFonts w:hint="eastAsia" w:ascii="宋体" w:hAnsi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highlight w:val="none"/>
              </w:rPr>
              <w:t>#</w:t>
            </w:r>
          </w:p>
        </w:tc>
        <w:tc>
          <w:tcPr>
            <w:tcW w:w="1036" w:type="dxa"/>
            <w:noWrap w:val="0"/>
            <w:vAlign w:val="center"/>
          </w:tcPr>
          <w:p w14:paraId="68AC6178">
            <w:pPr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国际出口要求</w:t>
            </w:r>
          </w:p>
        </w:tc>
        <w:tc>
          <w:tcPr>
            <w:tcW w:w="4939" w:type="dxa"/>
            <w:noWrap w:val="0"/>
            <w:vAlign w:val="center"/>
          </w:tcPr>
          <w:p w14:paraId="417699BB">
            <w:pPr>
              <w:jc w:val="left"/>
              <w:rPr>
                <w:rFonts w:hint="eastAsia" w:ascii="宋体" w:hAnsi="宋体" w:cs="宋体"/>
                <w:sz w:val="24"/>
                <w:highlight w:val="none"/>
                <w:lang w:bidi="en-US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具有独立的国际带宽出口，出口带宽≥3200G。</w:t>
            </w:r>
          </w:p>
        </w:tc>
        <w:tc>
          <w:tcPr>
            <w:tcW w:w="2198" w:type="dxa"/>
            <w:noWrap w:val="0"/>
            <w:vAlign w:val="center"/>
          </w:tcPr>
          <w:p w14:paraId="6FF94D3F">
            <w:pPr>
              <w:jc w:val="center"/>
              <w:rPr>
                <w:rFonts w:hint="eastAsia" w:ascii="宋体" w:hAnsi="宋体" w:cs="宋体"/>
                <w:sz w:val="24"/>
                <w:highlight w:val="none"/>
                <w:lang w:bidi="en-US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提供承诺函并加盖投标人公章</w:t>
            </w:r>
          </w:p>
        </w:tc>
      </w:tr>
      <w:tr w14:paraId="628BD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02" w:type="dxa"/>
            <w:noWrap w:val="0"/>
            <w:vAlign w:val="center"/>
          </w:tcPr>
          <w:p w14:paraId="23479AC9">
            <w:pPr>
              <w:jc w:val="center"/>
              <w:rPr>
                <w:rFonts w:hint="eastAsia"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7</w:t>
            </w:r>
          </w:p>
        </w:tc>
        <w:tc>
          <w:tcPr>
            <w:tcW w:w="613" w:type="dxa"/>
            <w:noWrap w:val="0"/>
            <w:vAlign w:val="center"/>
          </w:tcPr>
          <w:p w14:paraId="4E8A6D1B">
            <w:pPr>
              <w:jc w:val="center"/>
              <w:rPr>
                <w:rFonts w:hint="eastAsia" w:ascii="宋体" w:hAnsi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highlight w:val="none"/>
              </w:rPr>
              <w:t>#</w:t>
            </w:r>
          </w:p>
        </w:tc>
        <w:tc>
          <w:tcPr>
            <w:tcW w:w="1036" w:type="dxa"/>
            <w:noWrap w:val="0"/>
            <w:vAlign w:val="center"/>
          </w:tcPr>
          <w:p w14:paraId="041F6A4E">
            <w:pPr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延时和丢包率要求</w:t>
            </w:r>
          </w:p>
        </w:tc>
        <w:tc>
          <w:tcPr>
            <w:tcW w:w="4939" w:type="dxa"/>
            <w:noWrap w:val="0"/>
            <w:vAlign w:val="center"/>
          </w:tcPr>
          <w:p w14:paraId="73A72589">
            <w:pPr>
              <w:jc w:val="left"/>
              <w:rPr>
                <w:rFonts w:hint="eastAsia" w:ascii="宋体" w:hAnsi="宋体" w:cs="宋体"/>
                <w:sz w:val="24"/>
                <w:highlight w:val="none"/>
                <w:lang w:bidi="en-US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通道互联地址（定义）对PING（100字节），平均时延≤3ms，丢包率≤0.01%。</w:t>
            </w:r>
          </w:p>
        </w:tc>
        <w:tc>
          <w:tcPr>
            <w:tcW w:w="2198" w:type="dxa"/>
            <w:noWrap w:val="0"/>
            <w:vAlign w:val="center"/>
          </w:tcPr>
          <w:p w14:paraId="3A1149D8">
            <w:pPr>
              <w:jc w:val="center"/>
              <w:rPr>
                <w:rFonts w:hint="eastAsia" w:ascii="宋体" w:hAnsi="宋体" w:cs="宋体"/>
                <w:sz w:val="24"/>
                <w:highlight w:val="none"/>
                <w:lang w:bidi="en-US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提供PING、traceroute记录截图并加盖投标人公章</w:t>
            </w:r>
          </w:p>
        </w:tc>
      </w:tr>
      <w:tr w14:paraId="14533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02" w:type="dxa"/>
            <w:noWrap w:val="0"/>
            <w:vAlign w:val="center"/>
          </w:tcPr>
          <w:p w14:paraId="344306C4">
            <w:pPr>
              <w:jc w:val="center"/>
              <w:rPr>
                <w:rFonts w:hint="eastAsia"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8</w:t>
            </w:r>
          </w:p>
        </w:tc>
        <w:tc>
          <w:tcPr>
            <w:tcW w:w="613" w:type="dxa"/>
            <w:noWrap w:val="0"/>
            <w:vAlign w:val="center"/>
          </w:tcPr>
          <w:p w14:paraId="3CF6111E">
            <w:pPr>
              <w:jc w:val="center"/>
              <w:rPr>
                <w:rFonts w:hint="eastAsia" w:ascii="宋体" w:hAnsi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highlight w:val="none"/>
              </w:rPr>
              <w:t>#</w:t>
            </w:r>
          </w:p>
        </w:tc>
        <w:tc>
          <w:tcPr>
            <w:tcW w:w="1036" w:type="dxa"/>
            <w:noWrap w:val="0"/>
            <w:vAlign w:val="center"/>
          </w:tcPr>
          <w:p w14:paraId="009D8D04">
            <w:pPr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线路连通性</w:t>
            </w:r>
          </w:p>
        </w:tc>
        <w:tc>
          <w:tcPr>
            <w:tcW w:w="4939" w:type="dxa"/>
            <w:noWrap w:val="0"/>
            <w:vAlign w:val="center"/>
          </w:tcPr>
          <w:p w14:paraId="0F989853">
            <w:pPr>
              <w:jc w:val="left"/>
              <w:rPr>
                <w:rFonts w:hint="eastAsia" w:ascii="宋体" w:hAnsi="宋体" w:cs="宋体"/>
                <w:sz w:val="24"/>
                <w:highlight w:val="none"/>
                <w:lang w:bidi="en-US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互联网专线接入服务可发布全球路由表，专线通路可用率平均达到99.9%（不可抗力除外），速率值偏差不超过3%。</w:t>
            </w:r>
          </w:p>
        </w:tc>
        <w:tc>
          <w:tcPr>
            <w:tcW w:w="2198" w:type="dxa"/>
            <w:noWrap w:val="0"/>
            <w:vAlign w:val="center"/>
          </w:tcPr>
          <w:p w14:paraId="24DA9747">
            <w:pPr>
              <w:jc w:val="center"/>
              <w:rPr>
                <w:rFonts w:ascii="宋体" w:hAnsi="宋体" w:cs="宋体"/>
                <w:sz w:val="24"/>
                <w:highlight w:val="none"/>
                <w:lang w:bidi="en-US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提供承诺函并加盖投标人公章</w:t>
            </w:r>
          </w:p>
        </w:tc>
      </w:tr>
      <w:tr w14:paraId="496F4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02" w:type="dxa"/>
            <w:noWrap w:val="0"/>
            <w:vAlign w:val="center"/>
          </w:tcPr>
          <w:p w14:paraId="7445A5C5">
            <w:pPr>
              <w:jc w:val="center"/>
              <w:rPr>
                <w:rFonts w:hint="eastAsia"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9</w:t>
            </w:r>
          </w:p>
        </w:tc>
        <w:tc>
          <w:tcPr>
            <w:tcW w:w="613" w:type="dxa"/>
            <w:noWrap w:val="0"/>
            <w:vAlign w:val="center"/>
          </w:tcPr>
          <w:p w14:paraId="3E1D026A"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7FB52656">
            <w:pPr>
              <w:jc w:val="center"/>
              <w:rPr>
                <w:rFonts w:hint="eastAsia"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网络建设要求</w:t>
            </w:r>
          </w:p>
        </w:tc>
        <w:tc>
          <w:tcPr>
            <w:tcW w:w="4939" w:type="dxa"/>
            <w:noWrap w:val="0"/>
            <w:vAlign w:val="center"/>
          </w:tcPr>
          <w:p w14:paraId="059AC18F">
            <w:pPr>
              <w:jc w:val="left"/>
              <w:rPr>
                <w:rFonts w:hint="eastAsia"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本项目建设地点为北京信息科技大学沙河校区（北京市昌平区），须提供相关的接入设备，并提供相关网络资源及服务人员配合学校完成网络架构调整。</w:t>
            </w:r>
          </w:p>
        </w:tc>
        <w:tc>
          <w:tcPr>
            <w:tcW w:w="2198" w:type="dxa"/>
            <w:noWrap w:val="0"/>
            <w:vAlign w:val="center"/>
          </w:tcPr>
          <w:p w14:paraId="3347474A">
            <w:pPr>
              <w:jc w:val="center"/>
              <w:rPr>
                <w:rFonts w:hint="eastAsia" w:ascii="宋体" w:hAnsi="宋体" w:cs="宋体"/>
                <w:b/>
                <w:sz w:val="24"/>
                <w:highlight w:val="none"/>
              </w:rPr>
            </w:pPr>
          </w:p>
        </w:tc>
      </w:tr>
    </w:tbl>
    <w:p w14:paraId="2C81C43C">
      <w:pPr>
        <w:pStyle w:val="3"/>
        <w:rPr>
          <w:highlight w:val="none"/>
        </w:rPr>
      </w:pPr>
    </w:p>
    <w:p w14:paraId="5DF1DC62">
      <w:pPr>
        <w:adjustRightInd w:val="0"/>
        <w:spacing w:line="360" w:lineRule="atLeast"/>
        <w:ind w:firstLine="480" w:firstLineChars="200"/>
        <w:jc w:val="left"/>
        <w:textAlignment w:val="baseline"/>
        <w:rPr>
          <w:rFonts w:hint="eastAsia"/>
          <w:bCs/>
          <w:sz w:val="24"/>
          <w:highlight w:val="none"/>
        </w:rPr>
      </w:pPr>
    </w:p>
    <w:p w14:paraId="59CB27D9">
      <w:pPr>
        <w:numPr>
          <w:ilvl w:val="0"/>
          <w:numId w:val="1"/>
        </w:numPr>
        <w:adjustRightInd w:val="0"/>
        <w:spacing w:line="360" w:lineRule="atLeast"/>
        <w:jc w:val="left"/>
        <w:textAlignment w:val="baseline"/>
        <w:rPr>
          <w:b/>
          <w:sz w:val="24"/>
          <w:highlight w:val="none"/>
        </w:rPr>
      </w:pPr>
      <w:r>
        <w:rPr>
          <w:rFonts w:hint="eastAsia"/>
          <w:b/>
          <w:sz w:val="24"/>
          <w:highlight w:val="none"/>
        </w:rPr>
        <w:t>售后服务及培训要求</w:t>
      </w:r>
    </w:p>
    <w:p w14:paraId="19E498C0">
      <w:pPr>
        <w:adjustRightInd w:val="0"/>
        <w:spacing w:line="360" w:lineRule="atLeast"/>
        <w:ind w:firstLine="480" w:firstLineChars="200"/>
        <w:jc w:val="left"/>
        <w:textAlignment w:val="baseline"/>
        <w:rPr>
          <w:rFonts w:hint="eastAsia"/>
          <w:bCs/>
          <w:sz w:val="24"/>
          <w:highlight w:val="none"/>
        </w:rPr>
      </w:pPr>
      <w:r>
        <w:rPr>
          <w:rFonts w:hint="eastAsia"/>
          <w:bCs/>
          <w:sz w:val="24"/>
          <w:highlight w:val="none"/>
        </w:rPr>
        <w:t>1、要求提供7*24小时的热线电话服务。立即响应，快速解决故障和问题</w:t>
      </w:r>
    </w:p>
    <w:p w14:paraId="1536246B">
      <w:pPr>
        <w:adjustRightInd w:val="0"/>
        <w:spacing w:line="360" w:lineRule="atLeast"/>
        <w:ind w:firstLine="480" w:firstLineChars="200"/>
        <w:jc w:val="left"/>
        <w:textAlignment w:val="baseline"/>
        <w:rPr>
          <w:rFonts w:hint="eastAsia"/>
          <w:bCs/>
          <w:sz w:val="24"/>
          <w:highlight w:val="none"/>
        </w:rPr>
      </w:pPr>
      <w:r>
        <w:rPr>
          <w:rFonts w:hint="eastAsia"/>
          <w:bCs/>
          <w:sz w:val="24"/>
          <w:highlight w:val="none"/>
        </w:rPr>
        <w:t>2、当网络链路中断持续2分钟以上时需在1小时内解决中断问题，如需现场服务则需在1小时内到达现场：故障最长修复时限不超过4小时,问题解决后3日内提交故障报告。</w:t>
      </w:r>
    </w:p>
    <w:p w14:paraId="458D6AEC">
      <w:pPr>
        <w:adjustRightInd w:val="0"/>
        <w:spacing w:line="360" w:lineRule="atLeast"/>
        <w:ind w:firstLine="480" w:firstLineChars="200"/>
        <w:jc w:val="left"/>
        <w:textAlignment w:val="baseline"/>
        <w:rPr>
          <w:rFonts w:hint="eastAsia"/>
          <w:bCs/>
          <w:sz w:val="24"/>
          <w:highlight w:val="none"/>
        </w:rPr>
      </w:pPr>
      <w:r>
        <w:rPr>
          <w:rFonts w:hint="eastAsia"/>
          <w:bCs/>
          <w:sz w:val="24"/>
          <w:highlight w:val="none"/>
        </w:rPr>
        <w:t>3、链路中断修复时间：除因不可抗力导致链路中断以外，光纤问题应在6小时内修复（如因市政工程破坏24小时内修复），采购人节点到光纤收发器端口的设备故障（1小时内）每月平均修复及时率＞98%。</w:t>
      </w:r>
    </w:p>
    <w:p w14:paraId="04751C12">
      <w:pPr>
        <w:pStyle w:val="3"/>
        <w:rPr>
          <w:rFonts w:ascii="Times New Roman" w:hAnsi="Times New Roman"/>
          <w:bCs/>
          <w:highlight w:val="none"/>
        </w:rPr>
      </w:pPr>
      <w:r>
        <w:rPr>
          <w:rFonts w:hint="eastAsia" w:ascii="Times New Roman" w:hAnsi="Times New Roman"/>
          <w:bCs/>
          <w:highlight w:val="none"/>
        </w:rPr>
        <w:t xml:space="preserve">    4、如遇采购人有重大活动，需提供专业人员现场保障网络运行。</w:t>
      </w:r>
    </w:p>
    <w:p w14:paraId="40B02263">
      <w:pPr>
        <w:adjustRightInd w:val="0"/>
        <w:spacing w:line="360" w:lineRule="atLeast"/>
        <w:ind w:firstLine="480" w:firstLineChars="200"/>
        <w:jc w:val="left"/>
        <w:textAlignment w:val="baseline"/>
        <w:rPr>
          <w:rFonts w:hint="eastAsia"/>
          <w:bCs/>
          <w:sz w:val="24"/>
          <w:highlight w:val="none"/>
        </w:rPr>
      </w:pPr>
      <w:r>
        <w:rPr>
          <w:rFonts w:hint="eastAsia"/>
          <w:bCs/>
          <w:sz w:val="24"/>
          <w:highlight w:val="none"/>
        </w:rPr>
        <w:t>5、中标人根据采购人安排重点开展网络基础知识及网络安全培训。包括：制定详细的人员培训方案、选派培训授课人员、培训内容、培训材料、培训时间等。</w:t>
      </w:r>
    </w:p>
    <w:p w14:paraId="41BED6F3">
      <w:pPr>
        <w:numPr>
          <w:ilvl w:val="0"/>
          <w:numId w:val="1"/>
        </w:numPr>
        <w:adjustRightInd w:val="0"/>
        <w:spacing w:line="360" w:lineRule="atLeast"/>
        <w:jc w:val="left"/>
        <w:textAlignment w:val="baseline"/>
        <w:rPr>
          <w:b/>
          <w:sz w:val="24"/>
          <w:highlight w:val="none"/>
        </w:rPr>
      </w:pPr>
      <w:r>
        <w:rPr>
          <w:rFonts w:hint="eastAsia"/>
          <w:b/>
          <w:sz w:val="24"/>
          <w:highlight w:val="none"/>
        </w:rPr>
        <w:t>交付时间及地点（服务期限）</w:t>
      </w:r>
    </w:p>
    <w:p w14:paraId="130D4F31">
      <w:pPr>
        <w:adjustRightInd w:val="0"/>
        <w:spacing w:line="360" w:lineRule="atLeast"/>
        <w:ind w:firstLine="480" w:firstLineChars="200"/>
        <w:jc w:val="left"/>
        <w:textAlignment w:val="baseline"/>
        <w:rPr>
          <w:rFonts w:hint="eastAsia"/>
          <w:bCs/>
          <w:sz w:val="24"/>
          <w:highlight w:val="none"/>
        </w:rPr>
      </w:pPr>
      <w:r>
        <w:rPr>
          <w:rFonts w:hint="eastAsia"/>
          <w:bCs/>
          <w:sz w:val="24"/>
          <w:highlight w:val="none"/>
        </w:rPr>
        <w:t>服务时间：合同签订后一年</w:t>
      </w:r>
    </w:p>
    <w:p w14:paraId="4DA2BD74">
      <w:pPr>
        <w:adjustRightInd w:val="0"/>
        <w:spacing w:line="360" w:lineRule="atLeast"/>
        <w:ind w:firstLine="480" w:firstLineChars="200"/>
        <w:jc w:val="left"/>
        <w:textAlignment w:val="baseline"/>
        <w:rPr>
          <w:bCs/>
          <w:sz w:val="24"/>
          <w:highlight w:val="none"/>
        </w:rPr>
      </w:pPr>
      <w:r>
        <w:rPr>
          <w:rFonts w:hint="eastAsia"/>
          <w:bCs/>
          <w:sz w:val="24"/>
          <w:highlight w:val="none"/>
        </w:rPr>
        <w:t>交付地点：北京信息科技大学沙河校区</w:t>
      </w:r>
    </w:p>
    <w:p w14:paraId="491097BD">
      <w:pPr>
        <w:numPr>
          <w:ilvl w:val="0"/>
          <w:numId w:val="1"/>
        </w:numPr>
        <w:adjustRightInd w:val="0"/>
        <w:spacing w:line="360" w:lineRule="atLeast"/>
        <w:jc w:val="left"/>
        <w:textAlignment w:val="baseline"/>
        <w:rPr>
          <w:b/>
          <w:sz w:val="24"/>
          <w:highlight w:val="none"/>
        </w:rPr>
      </w:pPr>
      <w:r>
        <w:rPr>
          <w:rFonts w:hint="eastAsia"/>
          <w:b/>
          <w:sz w:val="24"/>
          <w:highlight w:val="none"/>
        </w:rPr>
        <w:t>验收服务要求</w:t>
      </w:r>
    </w:p>
    <w:p w14:paraId="0ECD6D2C">
      <w:pPr>
        <w:adjustRightInd w:val="0"/>
        <w:spacing w:line="360" w:lineRule="atLeast"/>
        <w:ind w:firstLine="480" w:firstLineChars="200"/>
        <w:jc w:val="left"/>
        <w:textAlignment w:val="baseline"/>
        <w:rPr>
          <w:rFonts w:hint="eastAsia"/>
          <w:bCs/>
          <w:sz w:val="24"/>
          <w:highlight w:val="none"/>
        </w:rPr>
      </w:pPr>
      <w:r>
        <w:rPr>
          <w:rFonts w:hint="eastAsia"/>
          <w:bCs/>
          <w:sz w:val="24"/>
          <w:highlight w:val="none"/>
        </w:rPr>
        <w:t>在项目具备验收条件下，双方组织验收会议，针对中标人提供的网络服务按照投标文件所提供的参数进行验收。</w:t>
      </w:r>
    </w:p>
    <w:p w14:paraId="20146D85">
      <w:pPr>
        <w:numPr>
          <w:ilvl w:val="0"/>
          <w:numId w:val="1"/>
        </w:numPr>
        <w:adjustRightInd w:val="0"/>
        <w:spacing w:line="360" w:lineRule="atLeast"/>
        <w:jc w:val="left"/>
        <w:textAlignment w:val="baseline"/>
        <w:rPr>
          <w:b/>
          <w:sz w:val="24"/>
          <w:highlight w:val="none"/>
        </w:rPr>
      </w:pPr>
      <w:r>
        <w:rPr>
          <w:rFonts w:hint="eastAsia"/>
          <w:b/>
          <w:sz w:val="24"/>
          <w:highlight w:val="none"/>
        </w:rPr>
        <w:t>付款方式</w:t>
      </w:r>
    </w:p>
    <w:p w14:paraId="0F0D4D51">
      <w:pPr>
        <w:pStyle w:val="4"/>
        <w:ind w:firstLine="480" w:firstLineChars="200"/>
        <w:rPr>
          <w:highlight w:val="none"/>
        </w:rPr>
      </w:pPr>
      <w:r>
        <w:rPr>
          <w:rFonts w:hint="eastAsia"/>
          <w:highlight w:val="none"/>
        </w:rPr>
        <w:t>合同签订生效后10个工作日内，采购人向中标人支付合同总额的</w:t>
      </w:r>
      <w:r>
        <w:rPr>
          <w:highlight w:val="none"/>
        </w:rPr>
        <w:t>100</w:t>
      </w:r>
      <w:r>
        <w:rPr>
          <w:rFonts w:hint="eastAsia"/>
          <w:highlight w:val="none"/>
        </w:rPr>
        <w:t>%，中标人需提供等额有效的增值税发票。</w:t>
      </w:r>
    </w:p>
    <w:p w14:paraId="717314A0">
      <w:pPr>
        <w:pStyle w:val="3"/>
        <w:rPr>
          <w:rFonts w:hint="eastAsia"/>
          <w:highlight w:val="none"/>
        </w:rPr>
      </w:pPr>
    </w:p>
    <w:p w14:paraId="1068DF8F">
      <w:pPr>
        <w:spacing w:line="360" w:lineRule="auto"/>
        <w:jc w:val="center"/>
        <w:outlineLvl w:val="0"/>
        <w:rPr>
          <w:b/>
          <w:sz w:val="36"/>
          <w:szCs w:val="36"/>
          <w:highlight w:val="none"/>
        </w:rPr>
        <w:sectPr>
          <w:pgSz w:w="11907" w:h="16840"/>
          <w:pgMar w:top="1418" w:right="1134" w:bottom="1418" w:left="1701" w:header="851" w:footer="851" w:gutter="0"/>
          <w:cols w:space="720" w:num="1"/>
          <w:docGrid w:linePitch="462" w:charSpace="0"/>
        </w:sectPr>
      </w:pPr>
    </w:p>
    <w:p w14:paraId="7AA73C67">
      <w:pPr>
        <w:jc w:val="center"/>
        <w:rPr>
          <w:rFonts w:hint="eastAsia" w:ascii="黑体" w:hAnsi="宋体" w:eastAsia="黑体" w:cs="宋体"/>
          <w:kern w:val="0"/>
          <w:sz w:val="36"/>
          <w:szCs w:val="36"/>
          <w:highlight w:val="none"/>
        </w:rPr>
      </w:pPr>
      <w:r>
        <w:rPr>
          <w:rFonts w:hint="eastAsia" w:ascii="黑体" w:hAnsi="宋体" w:eastAsia="黑体" w:cs="宋体"/>
          <w:kern w:val="0"/>
          <w:sz w:val="36"/>
          <w:szCs w:val="36"/>
          <w:highlight w:val="none"/>
        </w:rPr>
        <w:t>第2包</w:t>
      </w:r>
    </w:p>
    <w:p w14:paraId="5BAF0AD0">
      <w:pPr>
        <w:numPr>
          <w:ilvl w:val="0"/>
          <w:numId w:val="1"/>
        </w:numPr>
        <w:adjustRightInd w:val="0"/>
        <w:spacing w:line="360" w:lineRule="atLeast"/>
        <w:jc w:val="left"/>
        <w:textAlignment w:val="baseline"/>
        <w:rPr>
          <w:b/>
          <w:sz w:val="24"/>
          <w:highlight w:val="none"/>
        </w:rPr>
      </w:pPr>
      <w:r>
        <w:rPr>
          <w:rFonts w:hint="eastAsia"/>
          <w:b/>
          <w:sz w:val="24"/>
          <w:highlight w:val="none"/>
        </w:rPr>
        <w:t>采购清单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2343"/>
        <w:gridCol w:w="1701"/>
        <w:gridCol w:w="1473"/>
        <w:gridCol w:w="1947"/>
      </w:tblGrid>
      <w:tr w14:paraId="76A60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noWrap w:val="0"/>
            <w:vAlign w:val="center"/>
          </w:tcPr>
          <w:p w14:paraId="6CBDE031">
            <w:pPr>
              <w:jc w:val="center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序号</w:t>
            </w:r>
          </w:p>
        </w:tc>
        <w:tc>
          <w:tcPr>
            <w:tcW w:w="2343" w:type="dxa"/>
            <w:noWrap w:val="0"/>
            <w:vAlign w:val="center"/>
          </w:tcPr>
          <w:p w14:paraId="689861FE">
            <w:pPr>
              <w:jc w:val="center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货物或服务名称</w:t>
            </w:r>
          </w:p>
        </w:tc>
        <w:tc>
          <w:tcPr>
            <w:tcW w:w="1701" w:type="dxa"/>
            <w:noWrap w:val="0"/>
            <w:vAlign w:val="center"/>
          </w:tcPr>
          <w:p w14:paraId="573ADCBF">
            <w:pPr>
              <w:jc w:val="center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数量</w:t>
            </w:r>
          </w:p>
        </w:tc>
        <w:tc>
          <w:tcPr>
            <w:tcW w:w="1473" w:type="dxa"/>
            <w:noWrap w:val="0"/>
            <w:vAlign w:val="center"/>
          </w:tcPr>
          <w:p w14:paraId="32D93C35">
            <w:pPr>
              <w:jc w:val="center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单位</w:t>
            </w:r>
          </w:p>
        </w:tc>
        <w:tc>
          <w:tcPr>
            <w:tcW w:w="1947" w:type="dxa"/>
            <w:noWrap w:val="0"/>
            <w:vAlign w:val="center"/>
          </w:tcPr>
          <w:p w14:paraId="7E083C13">
            <w:pPr>
              <w:jc w:val="center"/>
              <w:rPr>
                <w:rFonts w:hint="eastAsia"/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备注（核心产品）</w:t>
            </w:r>
          </w:p>
        </w:tc>
      </w:tr>
      <w:tr w14:paraId="1E24B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noWrap w:val="0"/>
            <w:vAlign w:val="center"/>
          </w:tcPr>
          <w:p w14:paraId="24ABFF2C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</w:t>
            </w:r>
          </w:p>
        </w:tc>
        <w:tc>
          <w:tcPr>
            <w:tcW w:w="2343" w:type="dxa"/>
            <w:noWrap w:val="0"/>
            <w:vAlign w:val="top"/>
          </w:tcPr>
          <w:p w14:paraId="795E7E77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互联网带宽</w:t>
            </w:r>
          </w:p>
        </w:tc>
        <w:tc>
          <w:tcPr>
            <w:tcW w:w="1701" w:type="dxa"/>
            <w:noWrap w:val="0"/>
            <w:vAlign w:val="top"/>
          </w:tcPr>
          <w:p w14:paraId="3C19AA21"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</w:t>
            </w:r>
          </w:p>
        </w:tc>
        <w:tc>
          <w:tcPr>
            <w:tcW w:w="1473" w:type="dxa"/>
            <w:noWrap w:val="0"/>
            <w:vAlign w:val="top"/>
          </w:tcPr>
          <w:p w14:paraId="79C4CC68"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项</w:t>
            </w:r>
          </w:p>
        </w:tc>
        <w:tc>
          <w:tcPr>
            <w:tcW w:w="1947" w:type="dxa"/>
            <w:noWrap w:val="0"/>
            <w:vAlign w:val="top"/>
          </w:tcPr>
          <w:p w14:paraId="20981C92">
            <w:pPr>
              <w:rPr>
                <w:sz w:val="24"/>
                <w:highlight w:val="none"/>
              </w:rPr>
            </w:pPr>
          </w:p>
        </w:tc>
      </w:tr>
    </w:tbl>
    <w:p w14:paraId="5BD81132">
      <w:pPr>
        <w:numPr>
          <w:ilvl w:val="0"/>
          <w:numId w:val="1"/>
        </w:numPr>
        <w:adjustRightInd w:val="0"/>
        <w:spacing w:line="360" w:lineRule="atLeast"/>
        <w:jc w:val="left"/>
        <w:textAlignment w:val="baseline"/>
        <w:rPr>
          <w:b/>
          <w:sz w:val="24"/>
          <w:highlight w:val="none"/>
        </w:rPr>
      </w:pPr>
      <w:r>
        <w:rPr>
          <w:rFonts w:hint="eastAsia"/>
          <w:b/>
          <w:sz w:val="24"/>
          <w:highlight w:val="none"/>
        </w:rPr>
        <w:t>项目背景或简况</w:t>
      </w:r>
    </w:p>
    <w:p w14:paraId="6DA72AEC">
      <w:pPr>
        <w:adjustRightInd w:val="0"/>
        <w:spacing w:line="360" w:lineRule="atLeast"/>
        <w:ind w:firstLine="480" w:firstLineChars="200"/>
        <w:jc w:val="left"/>
        <w:textAlignment w:val="baseline"/>
        <w:rPr>
          <w:rFonts w:hint="eastAsia"/>
          <w:bCs/>
          <w:sz w:val="24"/>
          <w:highlight w:val="none"/>
        </w:rPr>
      </w:pPr>
      <w:r>
        <w:rPr>
          <w:rFonts w:hint="eastAsia"/>
          <w:bCs/>
          <w:sz w:val="24"/>
          <w:highlight w:val="none"/>
        </w:rPr>
        <w:t>为进一步规范北京信息科技大学信息与网络中心202</w:t>
      </w:r>
      <w:r>
        <w:rPr>
          <w:bCs/>
          <w:sz w:val="24"/>
          <w:highlight w:val="none"/>
        </w:rPr>
        <w:t>6</w:t>
      </w:r>
      <w:r>
        <w:rPr>
          <w:rFonts w:hint="eastAsia"/>
          <w:bCs/>
          <w:sz w:val="24"/>
          <w:highlight w:val="none"/>
        </w:rPr>
        <w:t>年度互联网带宽采购流程，本着“公开、公平、公正”的原则，做好此项目采购工作。学校拟定于</w:t>
      </w:r>
      <w:r>
        <w:rPr>
          <w:rFonts w:hint="eastAsia"/>
          <w:bCs/>
          <w:color w:val="auto"/>
          <w:sz w:val="24"/>
          <w:highlight w:val="none"/>
        </w:rPr>
        <w:t>202</w:t>
      </w:r>
      <w:r>
        <w:rPr>
          <w:bCs/>
          <w:color w:val="auto"/>
          <w:sz w:val="24"/>
          <w:highlight w:val="none"/>
        </w:rPr>
        <w:t>6</w:t>
      </w:r>
      <w:r>
        <w:rPr>
          <w:rFonts w:hint="eastAsia"/>
          <w:bCs/>
          <w:color w:val="auto"/>
          <w:sz w:val="24"/>
          <w:highlight w:val="none"/>
        </w:rPr>
        <w:t>年</w:t>
      </w:r>
      <w:r>
        <w:rPr>
          <w:bCs/>
          <w:color w:val="auto"/>
          <w:sz w:val="24"/>
          <w:highlight w:val="none"/>
        </w:rPr>
        <w:t>5</w:t>
      </w:r>
      <w:r>
        <w:rPr>
          <w:rFonts w:hint="eastAsia"/>
          <w:bCs/>
          <w:sz w:val="24"/>
          <w:highlight w:val="none"/>
        </w:rPr>
        <w:t>月前对北京信息科技大学202</w:t>
      </w:r>
      <w:r>
        <w:rPr>
          <w:bCs/>
          <w:sz w:val="24"/>
          <w:highlight w:val="none"/>
        </w:rPr>
        <w:t>6</w:t>
      </w:r>
      <w:r>
        <w:rPr>
          <w:rFonts w:hint="eastAsia"/>
          <w:bCs/>
          <w:sz w:val="24"/>
          <w:highlight w:val="none"/>
        </w:rPr>
        <w:t>年互联网带宽采购项目进行公开招标，采购金额</w:t>
      </w:r>
      <w:r>
        <w:rPr>
          <w:bCs/>
          <w:sz w:val="24"/>
          <w:highlight w:val="none"/>
          <w:u w:val="single"/>
        </w:rPr>
        <w:t>6</w:t>
      </w:r>
      <w:r>
        <w:rPr>
          <w:rFonts w:hint="eastAsia"/>
          <w:bCs/>
          <w:sz w:val="24"/>
          <w:highlight w:val="none"/>
          <w:u w:val="single"/>
        </w:rPr>
        <w:t>0</w:t>
      </w:r>
      <w:r>
        <w:rPr>
          <w:rFonts w:hint="eastAsia"/>
          <w:bCs/>
          <w:sz w:val="24"/>
          <w:highlight w:val="none"/>
        </w:rPr>
        <w:t>万元。</w:t>
      </w:r>
    </w:p>
    <w:p w14:paraId="69B2C348">
      <w:pPr>
        <w:numPr>
          <w:ilvl w:val="0"/>
          <w:numId w:val="1"/>
        </w:numPr>
        <w:adjustRightInd w:val="0"/>
        <w:spacing w:line="360" w:lineRule="atLeast"/>
        <w:jc w:val="left"/>
        <w:textAlignment w:val="baseline"/>
        <w:rPr>
          <w:b/>
          <w:sz w:val="24"/>
          <w:highlight w:val="none"/>
        </w:rPr>
      </w:pPr>
      <w:r>
        <w:rPr>
          <w:rFonts w:hint="eastAsia"/>
          <w:b/>
          <w:sz w:val="24"/>
          <w:highlight w:val="none"/>
        </w:rPr>
        <w:t>技术参数要求（技术指标包括性能、规格、材质等，但不能指定品牌）或服务要求。如有实质性条款的，须以</w:t>
      </w:r>
      <w:r>
        <w:rPr>
          <w:b/>
          <w:sz w:val="24"/>
          <w:highlight w:val="none"/>
        </w:rPr>
        <w:t>*</w:t>
      </w:r>
      <w:r>
        <w:rPr>
          <w:rFonts w:hint="eastAsia"/>
          <w:b/>
          <w:sz w:val="24"/>
          <w:highlight w:val="none"/>
        </w:rPr>
        <w:t>标出。</w:t>
      </w:r>
    </w:p>
    <w:p w14:paraId="77CA75DA">
      <w:pPr>
        <w:adjustRightInd w:val="0"/>
        <w:spacing w:line="360" w:lineRule="atLeast"/>
        <w:ind w:firstLine="480" w:firstLineChars="200"/>
        <w:jc w:val="left"/>
        <w:textAlignment w:val="baseline"/>
        <w:rPr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接入带宽：≥</w:t>
      </w:r>
      <w:r>
        <w:rPr>
          <w:rFonts w:hint="eastAsia"/>
          <w:bCs/>
          <w:sz w:val="24"/>
          <w:highlight w:val="none"/>
        </w:rPr>
        <w:t>20Gbps</w:t>
      </w:r>
      <w:r>
        <w:rPr>
          <w:rFonts w:hint="eastAsia" w:ascii="宋体" w:hAnsi="宋体"/>
          <w:bCs/>
          <w:sz w:val="24"/>
          <w:highlight w:val="none"/>
        </w:rPr>
        <w:t>；</w:t>
      </w:r>
    </w:p>
    <w:p w14:paraId="5D5BF26E">
      <w:pPr>
        <w:adjustRightInd w:val="0"/>
        <w:spacing w:line="360" w:lineRule="atLeast"/>
        <w:ind w:firstLine="480" w:firstLineChars="200"/>
        <w:jc w:val="left"/>
        <w:textAlignment w:val="baseline"/>
        <w:rPr>
          <w:rFonts w:hint="eastAsia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接入方式：光纤；</w:t>
      </w:r>
    </w:p>
    <w:p w14:paraId="297BD130">
      <w:pPr>
        <w:adjustRightInd w:val="0"/>
        <w:spacing w:line="360" w:lineRule="atLeast"/>
        <w:ind w:firstLine="480" w:firstLineChars="200"/>
        <w:jc w:val="left"/>
        <w:textAlignment w:val="baseline"/>
        <w:rPr>
          <w:rFonts w:hint="eastAsia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互联网公网地址：北京本地电信级运营商所提供的</w:t>
      </w:r>
      <w:r>
        <w:rPr>
          <w:rFonts w:hint="eastAsia"/>
          <w:bCs/>
          <w:sz w:val="24"/>
          <w:highlight w:val="none"/>
        </w:rPr>
        <w:t>IP</w:t>
      </w:r>
      <w:r>
        <w:rPr>
          <w:rFonts w:hint="eastAsia" w:ascii="宋体" w:hAnsi="宋体"/>
          <w:bCs/>
          <w:sz w:val="24"/>
          <w:highlight w:val="none"/>
        </w:rPr>
        <w:t>地址，不做二次转换；</w:t>
      </w:r>
    </w:p>
    <w:p w14:paraId="50D14210">
      <w:pPr>
        <w:adjustRightInd w:val="0"/>
        <w:spacing w:line="360" w:lineRule="atLeast"/>
        <w:ind w:firstLine="480" w:firstLineChars="200"/>
        <w:jc w:val="left"/>
        <w:textAlignment w:val="baseline"/>
        <w:rPr>
          <w:rFonts w:hint="eastAsia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服务期限：合同签订后</w:t>
      </w:r>
      <w:r>
        <w:rPr>
          <w:rFonts w:hint="eastAsia"/>
          <w:bCs/>
          <w:sz w:val="24"/>
          <w:highlight w:val="none"/>
        </w:rPr>
        <w:t>1</w:t>
      </w:r>
      <w:r>
        <w:rPr>
          <w:rFonts w:hint="eastAsia" w:ascii="宋体" w:hAnsi="宋体"/>
          <w:bCs/>
          <w:sz w:val="24"/>
          <w:highlight w:val="none"/>
        </w:rPr>
        <w:t>年。</w:t>
      </w:r>
    </w:p>
    <w:p w14:paraId="6B7E8E97">
      <w:pPr>
        <w:adjustRightInd w:val="0"/>
        <w:spacing w:line="360" w:lineRule="atLeast"/>
        <w:ind w:firstLine="480" w:firstLineChars="200"/>
        <w:jc w:val="left"/>
        <w:textAlignment w:val="baseline"/>
        <w:rPr>
          <w:rFonts w:hint="eastAsia"/>
          <w:bCs/>
          <w:sz w:val="24"/>
          <w:highlight w:val="none"/>
        </w:rPr>
      </w:pPr>
      <w:r>
        <w:rPr>
          <w:rFonts w:hint="eastAsia"/>
          <w:bCs/>
          <w:sz w:val="24"/>
          <w:highlight w:val="none"/>
        </w:rPr>
        <w:t>1</w:t>
      </w:r>
      <w:r>
        <w:rPr>
          <w:rFonts w:hint="eastAsia" w:ascii="宋体" w:hAnsi="宋体"/>
          <w:bCs/>
          <w:sz w:val="24"/>
          <w:highlight w:val="none"/>
        </w:rPr>
        <w:t>、端口接入方式：提供</w:t>
      </w:r>
      <w:r>
        <w:rPr>
          <w:rFonts w:hint="eastAsia"/>
          <w:bCs/>
          <w:sz w:val="24"/>
          <w:highlight w:val="none"/>
        </w:rPr>
        <w:t>10Gbps</w:t>
      </w:r>
      <w:r>
        <w:rPr>
          <w:rFonts w:hint="eastAsia" w:ascii="宋体" w:hAnsi="宋体"/>
          <w:bCs/>
          <w:sz w:val="24"/>
          <w:highlight w:val="none"/>
        </w:rPr>
        <w:t>接口，超</w:t>
      </w:r>
      <w:r>
        <w:rPr>
          <w:rFonts w:hint="eastAsia"/>
          <w:bCs/>
          <w:sz w:val="24"/>
          <w:highlight w:val="none"/>
        </w:rPr>
        <w:t>10Gbps</w:t>
      </w:r>
      <w:r>
        <w:rPr>
          <w:rFonts w:hint="eastAsia" w:ascii="宋体" w:hAnsi="宋体"/>
          <w:bCs/>
          <w:sz w:val="24"/>
          <w:highlight w:val="none"/>
        </w:rPr>
        <w:t>带宽，采用多个</w:t>
      </w:r>
      <w:r>
        <w:rPr>
          <w:rFonts w:hint="eastAsia"/>
          <w:bCs/>
          <w:sz w:val="24"/>
          <w:highlight w:val="none"/>
        </w:rPr>
        <w:t>10Gbps</w:t>
      </w:r>
      <w:r>
        <w:rPr>
          <w:rFonts w:hint="eastAsia" w:ascii="宋体" w:hAnsi="宋体"/>
          <w:bCs/>
          <w:sz w:val="24"/>
          <w:highlight w:val="none"/>
        </w:rPr>
        <w:t>端口捆绑方式实现。</w:t>
      </w:r>
    </w:p>
    <w:p w14:paraId="1023C826">
      <w:pPr>
        <w:adjustRightInd w:val="0"/>
        <w:spacing w:line="360" w:lineRule="atLeast"/>
        <w:ind w:firstLine="482" w:firstLineChars="200"/>
        <w:jc w:val="left"/>
        <w:textAlignment w:val="baseline"/>
        <w:rPr>
          <w:rFonts w:hint="eastAsia"/>
          <w:bCs/>
          <w:sz w:val="24"/>
          <w:highlight w:val="none"/>
        </w:rPr>
      </w:pPr>
      <w:r>
        <w:rPr>
          <w:rFonts w:hint="eastAsia"/>
          <w:b/>
          <w:sz w:val="24"/>
          <w:highlight w:val="none"/>
        </w:rPr>
        <w:t>#</w:t>
      </w:r>
      <w:r>
        <w:rPr>
          <w:rFonts w:hint="eastAsia"/>
          <w:bCs/>
          <w:sz w:val="24"/>
          <w:highlight w:val="none"/>
        </w:rPr>
        <w:t>2</w:t>
      </w:r>
      <w:r>
        <w:rPr>
          <w:rFonts w:hint="eastAsia" w:ascii="宋体" w:hAnsi="宋体"/>
          <w:bCs/>
          <w:sz w:val="24"/>
          <w:highlight w:val="none"/>
        </w:rPr>
        <w:t>、独享要求：互联网接入线路必须独享、不再复用、不得通过接入商缓存、</w:t>
      </w:r>
      <w:r>
        <w:rPr>
          <w:rFonts w:hint="eastAsia"/>
          <w:bCs/>
          <w:sz w:val="24"/>
          <w:highlight w:val="none"/>
        </w:rPr>
        <w:t>cache</w:t>
      </w:r>
      <w:r>
        <w:rPr>
          <w:rFonts w:hint="eastAsia" w:ascii="宋体" w:hAnsi="宋体"/>
          <w:bCs/>
          <w:sz w:val="24"/>
          <w:highlight w:val="none"/>
        </w:rPr>
        <w:t>等类似设备。</w:t>
      </w:r>
    </w:p>
    <w:p w14:paraId="77319D83">
      <w:pPr>
        <w:adjustRightInd w:val="0"/>
        <w:spacing w:line="360" w:lineRule="atLeast"/>
        <w:ind w:firstLine="480" w:firstLineChars="200"/>
        <w:jc w:val="left"/>
        <w:textAlignment w:val="baseline"/>
        <w:rPr>
          <w:rFonts w:hint="eastAsia"/>
          <w:bCs/>
          <w:sz w:val="24"/>
          <w:highlight w:val="none"/>
        </w:rPr>
      </w:pPr>
      <w:r>
        <w:rPr>
          <w:rFonts w:hint="eastAsia"/>
          <w:bCs/>
          <w:sz w:val="24"/>
          <w:highlight w:val="none"/>
        </w:rPr>
        <w:t>3</w:t>
      </w:r>
      <w:r>
        <w:rPr>
          <w:rFonts w:hint="eastAsia" w:ascii="宋体" w:hAnsi="宋体"/>
          <w:bCs/>
          <w:sz w:val="24"/>
          <w:highlight w:val="none"/>
        </w:rPr>
        <w:t>、带宽可用率：保证带宽可用率≥</w:t>
      </w:r>
      <w:r>
        <w:rPr>
          <w:rFonts w:hint="eastAsia"/>
          <w:bCs/>
          <w:sz w:val="24"/>
          <w:highlight w:val="none"/>
        </w:rPr>
        <w:t>99.9%</w:t>
      </w:r>
      <w:r>
        <w:rPr>
          <w:rFonts w:hint="eastAsia" w:ascii="宋体" w:hAnsi="宋体"/>
          <w:bCs/>
          <w:sz w:val="24"/>
          <w:highlight w:val="none"/>
        </w:rPr>
        <w:t>。</w:t>
      </w:r>
    </w:p>
    <w:p w14:paraId="1A63B329">
      <w:pPr>
        <w:adjustRightInd w:val="0"/>
        <w:spacing w:line="360" w:lineRule="atLeast"/>
        <w:ind w:firstLine="482" w:firstLineChars="200"/>
        <w:jc w:val="left"/>
        <w:textAlignment w:val="baseline"/>
        <w:rPr>
          <w:rFonts w:hint="eastAsia"/>
          <w:bCs/>
          <w:sz w:val="24"/>
          <w:highlight w:val="none"/>
        </w:rPr>
      </w:pPr>
      <w:r>
        <w:rPr>
          <w:rFonts w:hint="eastAsia"/>
          <w:b/>
          <w:sz w:val="24"/>
          <w:highlight w:val="none"/>
        </w:rPr>
        <w:t>#</w:t>
      </w:r>
      <w:r>
        <w:rPr>
          <w:rFonts w:hint="eastAsia"/>
          <w:bCs/>
          <w:sz w:val="24"/>
          <w:highlight w:val="none"/>
        </w:rPr>
        <w:t>4</w:t>
      </w:r>
      <w:r>
        <w:rPr>
          <w:rFonts w:hint="eastAsia" w:ascii="宋体" w:hAnsi="宋体"/>
          <w:bCs/>
          <w:sz w:val="24"/>
          <w:highlight w:val="none"/>
        </w:rPr>
        <w:t>、</w:t>
      </w:r>
      <w:r>
        <w:rPr>
          <w:rFonts w:hint="eastAsia"/>
          <w:bCs/>
          <w:sz w:val="24"/>
          <w:highlight w:val="none"/>
        </w:rPr>
        <w:t>IP</w:t>
      </w:r>
      <w:r>
        <w:rPr>
          <w:rFonts w:hint="eastAsia" w:ascii="宋体" w:hAnsi="宋体"/>
          <w:bCs/>
          <w:sz w:val="24"/>
          <w:highlight w:val="none"/>
        </w:rPr>
        <w:t>地址要求：提供</w:t>
      </w:r>
      <w:r>
        <w:rPr>
          <w:rFonts w:hint="eastAsia"/>
          <w:bCs/>
          <w:sz w:val="24"/>
          <w:highlight w:val="none"/>
        </w:rPr>
        <w:t>C</w:t>
      </w:r>
      <w:r>
        <w:rPr>
          <w:rFonts w:hint="eastAsia" w:ascii="宋体" w:hAnsi="宋体"/>
          <w:bCs/>
          <w:sz w:val="24"/>
          <w:highlight w:val="none"/>
        </w:rPr>
        <w:t>类公网</w:t>
      </w:r>
      <w:r>
        <w:rPr>
          <w:rFonts w:hint="eastAsia"/>
          <w:bCs/>
          <w:sz w:val="24"/>
          <w:highlight w:val="none"/>
        </w:rPr>
        <w:t>IPv4</w:t>
      </w:r>
      <w:r>
        <w:rPr>
          <w:rFonts w:hint="eastAsia" w:ascii="宋体" w:hAnsi="宋体"/>
          <w:bCs/>
          <w:sz w:val="24"/>
          <w:highlight w:val="none"/>
        </w:rPr>
        <w:t>地址≥</w:t>
      </w:r>
      <w:r>
        <w:rPr>
          <w:rFonts w:hint="eastAsia"/>
          <w:bCs/>
          <w:sz w:val="24"/>
          <w:highlight w:val="none"/>
        </w:rPr>
        <w:t>256</w:t>
      </w:r>
      <w:r>
        <w:rPr>
          <w:rFonts w:hint="eastAsia" w:ascii="宋体" w:hAnsi="宋体"/>
          <w:bCs/>
          <w:sz w:val="24"/>
          <w:highlight w:val="none"/>
        </w:rPr>
        <w:t>个，其中的</w:t>
      </w:r>
      <w:r>
        <w:rPr>
          <w:rFonts w:hint="eastAsia"/>
          <w:bCs/>
          <w:sz w:val="24"/>
          <w:highlight w:val="none"/>
        </w:rPr>
        <w:t>256</w:t>
      </w:r>
      <w:r>
        <w:rPr>
          <w:rFonts w:hint="eastAsia" w:ascii="宋体" w:hAnsi="宋体"/>
          <w:bCs/>
          <w:sz w:val="24"/>
          <w:highlight w:val="none"/>
        </w:rPr>
        <w:t>个为一个前缀</w:t>
      </w:r>
      <w:r>
        <w:rPr>
          <w:rFonts w:hint="eastAsia" w:ascii="宋体" w:hAnsi="宋体"/>
          <w:highlight w:val="none"/>
        </w:rPr>
        <w:t>，</w:t>
      </w:r>
      <w:r>
        <w:rPr>
          <w:rFonts w:hint="eastAsia"/>
          <w:bCs/>
          <w:sz w:val="24"/>
          <w:highlight w:val="none"/>
        </w:rPr>
        <w:t>/56</w:t>
      </w:r>
      <w:r>
        <w:rPr>
          <w:rFonts w:hint="eastAsia" w:ascii="宋体" w:hAnsi="宋体"/>
          <w:bCs/>
          <w:sz w:val="24"/>
          <w:highlight w:val="none"/>
        </w:rPr>
        <w:t>前缀</w:t>
      </w:r>
      <w:r>
        <w:rPr>
          <w:rFonts w:hint="eastAsia"/>
          <w:bCs/>
          <w:sz w:val="24"/>
          <w:highlight w:val="none"/>
        </w:rPr>
        <w:t>IPv6</w:t>
      </w:r>
      <w:r>
        <w:rPr>
          <w:rFonts w:hint="eastAsia" w:ascii="宋体" w:hAnsi="宋体"/>
          <w:bCs/>
          <w:sz w:val="24"/>
          <w:highlight w:val="none"/>
        </w:rPr>
        <w:t>地址≥</w:t>
      </w:r>
      <w:r>
        <w:rPr>
          <w:rFonts w:hint="eastAsia"/>
          <w:bCs/>
          <w:sz w:val="24"/>
          <w:highlight w:val="none"/>
        </w:rPr>
        <w:t>2</w:t>
      </w:r>
      <w:r>
        <w:rPr>
          <w:rFonts w:hint="eastAsia" w:ascii="宋体" w:hAnsi="宋体"/>
          <w:bCs/>
          <w:sz w:val="24"/>
          <w:highlight w:val="none"/>
        </w:rPr>
        <w:t>个。</w:t>
      </w:r>
      <w:r>
        <w:rPr>
          <w:rFonts w:hint="eastAsia" w:ascii="宋体" w:hAnsi="宋体"/>
          <w:b/>
          <w:sz w:val="24"/>
          <w:highlight w:val="none"/>
        </w:rPr>
        <w:t>（提供承诺函并加盖公章）</w:t>
      </w:r>
    </w:p>
    <w:p w14:paraId="19C7BF71">
      <w:pPr>
        <w:adjustRightInd w:val="0"/>
        <w:spacing w:line="360" w:lineRule="atLeast"/>
        <w:ind w:firstLine="480" w:firstLineChars="200"/>
        <w:jc w:val="left"/>
        <w:textAlignment w:val="baseline"/>
        <w:rPr>
          <w:rFonts w:hint="eastAsia"/>
          <w:bCs/>
          <w:sz w:val="24"/>
          <w:highlight w:val="none"/>
        </w:rPr>
      </w:pPr>
      <w:r>
        <w:rPr>
          <w:rFonts w:hint="eastAsia"/>
          <w:bCs/>
          <w:sz w:val="24"/>
          <w:highlight w:val="none"/>
        </w:rPr>
        <w:t>5</w:t>
      </w:r>
      <w:r>
        <w:rPr>
          <w:rFonts w:hint="eastAsia" w:ascii="宋体" w:hAnsi="宋体"/>
          <w:bCs/>
          <w:sz w:val="24"/>
          <w:highlight w:val="none"/>
        </w:rPr>
        <w:t>、配套设备要求：提供相关的接入设备。</w:t>
      </w:r>
    </w:p>
    <w:p w14:paraId="6137A408">
      <w:pPr>
        <w:adjustRightInd w:val="0"/>
        <w:spacing w:line="360" w:lineRule="atLeast"/>
        <w:ind w:firstLine="482" w:firstLineChars="200"/>
        <w:jc w:val="left"/>
        <w:textAlignment w:val="baseline"/>
        <w:rPr>
          <w:rFonts w:hint="eastAsia"/>
          <w:bCs/>
          <w:sz w:val="24"/>
          <w:highlight w:val="none"/>
        </w:rPr>
      </w:pPr>
      <w:r>
        <w:rPr>
          <w:rFonts w:hint="eastAsia"/>
          <w:b/>
          <w:sz w:val="24"/>
          <w:highlight w:val="none"/>
        </w:rPr>
        <w:t>#</w:t>
      </w:r>
      <w:r>
        <w:rPr>
          <w:rFonts w:hint="eastAsia"/>
          <w:bCs/>
          <w:sz w:val="24"/>
          <w:highlight w:val="none"/>
        </w:rPr>
        <w:t>6</w:t>
      </w:r>
      <w:r>
        <w:rPr>
          <w:rFonts w:hint="eastAsia" w:ascii="宋体" w:hAnsi="宋体"/>
          <w:bCs/>
          <w:sz w:val="24"/>
          <w:highlight w:val="none"/>
        </w:rPr>
        <w:t>、路由跳数：提供北京市城域网主干或北京市主干最高级别可接入链路入口，以不多于</w:t>
      </w:r>
      <w:r>
        <w:rPr>
          <w:rFonts w:hint="eastAsia"/>
          <w:bCs/>
          <w:sz w:val="24"/>
          <w:highlight w:val="none"/>
        </w:rPr>
        <w:t>2</w:t>
      </w:r>
      <w:r>
        <w:rPr>
          <w:rFonts w:hint="eastAsia" w:ascii="宋体" w:hAnsi="宋体"/>
          <w:bCs/>
          <w:sz w:val="24"/>
          <w:highlight w:val="none"/>
        </w:rPr>
        <w:t>跳数连接运营商网络核心层，并提供跳数说明。</w:t>
      </w:r>
      <w:r>
        <w:rPr>
          <w:rFonts w:hint="eastAsia" w:ascii="宋体" w:hAnsi="宋体"/>
          <w:b/>
          <w:sz w:val="24"/>
          <w:highlight w:val="none"/>
        </w:rPr>
        <w:t>（提供跳数说明并加盖公章）</w:t>
      </w:r>
    </w:p>
    <w:p w14:paraId="76492794">
      <w:pPr>
        <w:adjustRightInd w:val="0"/>
        <w:spacing w:line="360" w:lineRule="atLeast"/>
        <w:ind w:firstLine="482" w:firstLineChars="200"/>
        <w:jc w:val="left"/>
        <w:textAlignment w:val="baseline"/>
        <w:rPr>
          <w:rFonts w:hint="eastAsia"/>
          <w:bCs/>
          <w:sz w:val="24"/>
          <w:highlight w:val="none"/>
        </w:rPr>
      </w:pPr>
      <w:r>
        <w:rPr>
          <w:rFonts w:hint="eastAsia"/>
          <w:b/>
          <w:sz w:val="24"/>
          <w:highlight w:val="none"/>
        </w:rPr>
        <w:t>#</w:t>
      </w:r>
      <w:r>
        <w:rPr>
          <w:rFonts w:hint="eastAsia"/>
          <w:bCs/>
          <w:sz w:val="24"/>
          <w:highlight w:val="none"/>
        </w:rPr>
        <w:t>7</w:t>
      </w:r>
      <w:r>
        <w:rPr>
          <w:rFonts w:hint="eastAsia" w:ascii="宋体" w:hAnsi="宋体"/>
          <w:bCs/>
          <w:sz w:val="24"/>
          <w:highlight w:val="none"/>
        </w:rPr>
        <w:t>、投标人国际出口要求：具有独立的国际带宽出口</w:t>
      </w:r>
      <w:r>
        <w:rPr>
          <w:rFonts w:hint="eastAsia" w:ascii="宋体" w:hAnsi="宋体"/>
          <w:b/>
          <w:sz w:val="24"/>
          <w:highlight w:val="none"/>
        </w:rPr>
        <w:t>，出口带宽≥</w:t>
      </w:r>
      <w:r>
        <w:rPr>
          <w:rFonts w:hint="eastAsia"/>
          <w:b/>
          <w:sz w:val="24"/>
          <w:highlight w:val="none"/>
        </w:rPr>
        <w:t>3200G</w:t>
      </w:r>
      <w:r>
        <w:rPr>
          <w:rFonts w:hint="eastAsia" w:ascii="宋体" w:hAnsi="宋体"/>
          <w:b/>
          <w:sz w:val="24"/>
          <w:highlight w:val="none"/>
        </w:rPr>
        <w:t>。（须提供承诺函并加盖投标人公章）</w:t>
      </w:r>
    </w:p>
    <w:p w14:paraId="312576D1">
      <w:pPr>
        <w:adjustRightInd w:val="0"/>
        <w:spacing w:line="360" w:lineRule="atLeast"/>
        <w:ind w:firstLine="482" w:firstLineChars="200"/>
        <w:jc w:val="left"/>
        <w:textAlignment w:val="baseline"/>
        <w:rPr>
          <w:rFonts w:hint="eastAsia"/>
          <w:bCs/>
          <w:sz w:val="24"/>
          <w:highlight w:val="none"/>
        </w:rPr>
      </w:pPr>
      <w:r>
        <w:rPr>
          <w:rFonts w:hint="eastAsia"/>
          <w:b/>
          <w:sz w:val="24"/>
          <w:highlight w:val="none"/>
        </w:rPr>
        <w:t>#</w:t>
      </w:r>
      <w:r>
        <w:rPr>
          <w:rFonts w:hint="eastAsia"/>
          <w:bCs/>
          <w:sz w:val="24"/>
          <w:highlight w:val="none"/>
        </w:rPr>
        <w:t>8</w:t>
      </w:r>
      <w:r>
        <w:rPr>
          <w:rFonts w:hint="eastAsia" w:ascii="宋体" w:hAnsi="宋体"/>
          <w:bCs/>
          <w:sz w:val="24"/>
          <w:highlight w:val="none"/>
        </w:rPr>
        <w:t>、延时和丢包率要求：通道互联地址（定义）对</w:t>
      </w:r>
      <w:r>
        <w:rPr>
          <w:rFonts w:hint="eastAsia"/>
          <w:bCs/>
          <w:sz w:val="24"/>
          <w:highlight w:val="none"/>
        </w:rPr>
        <w:t>PING</w:t>
      </w:r>
      <w:r>
        <w:rPr>
          <w:rFonts w:hint="eastAsia" w:ascii="宋体" w:hAnsi="宋体"/>
          <w:bCs/>
          <w:sz w:val="24"/>
          <w:highlight w:val="none"/>
        </w:rPr>
        <w:t>（</w:t>
      </w:r>
      <w:r>
        <w:rPr>
          <w:rFonts w:hint="eastAsia"/>
          <w:bCs/>
          <w:sz w:val="24"/>
          <w:highlight w:val="none"/>
        </w:rPr>
        <w:t>100</w:t>
      </w:r>
      <w:r>
        <w:rPr>
          <w:rFonts w:hint="eastAsia" w:ascii="宋体" w:hAnsi="宋体"/>
          <w:bCs/>
          <w:sz w:val="24"/>
          <w:highlight w:val="none"/>
        </w:rPr>
        <w:t>字节），平均时延≤</w:t>
      </w:r>
      <w:r>
        <w:rPr>
          <w:rFonts w:hint="eastAsia"/>
          <w:bCs/>
          <w:sz w:val="24"/>
          <w:highlight w:val="none"/>
        </w:rPr>
        <w:t>3ms</w:t>
      </w:r>
      <w:r>
        <w:rPr>
          <w:rFonts w:hint="eastAsia" w:ascii="宋体" w:hAnsi="宋体"/>
          <w:bCs/>
          <w:sz w:val="24"/>
          <w:highlight w:val="none"/>
        </w:rPr>
        <w:t>，丢包率≤</w:t>
      </w:r>
      <w:r>
        <w:rPr>
          <w:rFonts w:hint="eastAsia"/>
          <w:bCs/>
          <w:sz w:val="24"/>
          <w:highlight w:val="none"/>
        </w:rPr>
        <w:t>0.01%</w:t>
      </w:r>
      <w:r>
        <w:rPr>
          <w:rFonts w:hint="eastAsia" w:ascii="宋体" w:hAnsi="宋体"/>
          <w:bCs/>
          <w:sz w:val="24"/>
          <w:highlight w:val="none"/>
        </w:rPr>
        <w:t>。</w:t>
      </w:r>
      <w:r>
        <w:rPr>
          <w:rFonts w:hint="eastAsia" w:ascii="宋体" w:hAnsi="宋体"/>
          <w:b/>
          <w:sz w:val="24"/>
          <w:highlight w:val="none"/>
        </w:rPr>
        <w:t>提供</w:t>
      </w:r>
      <w:r>
        <w:rPr>
          <w:rFonts w:hint="eastAsia"/>
          <w:b/>
          <w:sz w:val="24"/>
          <w:highlight w:val="none"/>
        </w:rPr>
        <w:t>PING</w:t>
      </w:r>
      <w:r>
        <w:rPr>
          <w:rFonts w:hint="eastAsia" w:ascii="宋体" w:hAnsi="宋体"/>
          <w:b/>
          <w:sz w:val="24"/>
          <w:highlight w:val="none"/>
        </w:rPr>
        <w:t>、</w:t>
      </w:r>
      <w:r>
        <w:rPr>
          <w:rFonts w:hint="eastAsia"/>
          <w:b/>
          <w:sz w:val="24"/>
          <w:highlight w:val="none"/>
        </w:rPr>
        <w:t>traceroute</w:t>
      </w:r>
      <w:r>
        <w:rPr>
          <w:rFonts w:hint="eastAsia" w:ascii="宋体" w:hAnsi="宋体"/>
          <w:b/>
          <w:sz w:val="24"/>
          <w:highlight w:val="none"/>
        </w:rPr>
        <w:t>记录截图）</w:t>
      </w:r>
    </w:p>
    <w:p w14:paraId="4A87987E">
      <w:pPr>
        <w:adjustRightInd w:val="0"/>
        <w:spacing w:line="360" w:lineRule="atLeast"/>
        <w:ind w:firstLine="482" w:firstLineChars="200"/>
        <w:jc w:val="left"/>
        <w:textAlignment w:val="baseline"/>
        <w:rPr>
          <w:rFonts w:hint="eastAsia"/>
          <w:bCs/>
          <w:sz w:val="24"/>
          <w:highlight w:val="none"/>
        </w:rPr>
      </w:pPr>
      <w:r>
        <w:rPr>
          <w:rFonts w:hint="eastAsia"/>
          <w:b/>
          <w:sz w:val="24"/>
          <w:highlight w:val="none"/>
        </w:rPr>
        <w:t>#</w:t>
      </w:r>
      <w:r>
        <w:rPr>
          <w:rFonts w:hint="eastAsia"/>
          <w:bCs/>
          <w:sz w:val="24"/>
          <w:highlight w:val="none"/>
        </w:rPr>
        <w:t>9</w:t>
      </w:r>
      <w:r>
        <w:rPr>
          <w:rFonts w:hint="eastAsia" w:ascii="宋体" w:hAnsi="宋体"/>
          <w:bCs/>
          <w:sz w:val="24"/>
          <w:highlight w:val="none"/>
        </w:rPr>
        <w:t>、线路连通性：专线通路可用率平均达到</w:t>
      </w:r>
      <w:r>
        <w:rPr>
          <w:rFonts w:hint="eastAsia"/>
          <w:bCs/>
          <w:sz w:val="24"/>
          <w:highlight w:val="none"/>
        </w:rPr>
        <w:t>99.9%</w:t>
      </w:r>
      <w:r>
        <w:rPr>
          <w:rFonts w:hint="eastAsia" w:ascii="宋体" w:hAnsi="宋体"/>
          <w:bCs/>
          <w:sz w:val="24"/>
          <w:highlight w:val="none"/>
        </w:rPr>
        <w:t>（不可抗力除外），速率值偏差≤</w:t>
      </w:r>
      <w:r>
        <w:rPr>
          <w:rFonts w:hint="eastAsia"/>
          <w:bCs/>
          <w:sz w:val="24"/>
          <w:highlight w:val="none"/>
        </w:rPr>
        <w:t>3%</w:t>
      </w:r>
      <w:r>
        <w:rPr>
          <w:rFonts w:hint="eastAsia" w:ascii="宋体" w:hAnsi="宋体"/>
          <w:b/>
          <w:sz w:val="24"/>
          <w:highlight w:val="none"/>
        </w:rPr>
        <w:t>（提供承诺函并加盖投标人公章）</w:t>
      </w:r>
    </w:p>
    <w:p w14:paraId="5506420E">
      <w:pPr>
        <w:numPr>
          <w:ilvl w:val="0"/>
          <w:numId w:val="2"/>
        </w:numPr>
        <w:adjustRightInd w:val="0"/>
        <w:spacing w:line="360" w:lineRule="atLeast"/>
        <w:ind w:firstLine="480" w:firstLineChars="200"/>
        <w:jc w:val="left"/>
        <w:textAlignment w:val="baseline"/>
        <w:rPr>
          <w:rFonts w:hint="eastAsia"/>
          <w:szCs w:val="21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网络建设要求：本项目建设地点为北京信息科技大学小营校区（北京市海淀区），须提供相关网络资源及服务人员配合学校完成网络架构调整。</w:t>
      </w:r>
    </w:p>
    <w:p w14:paraId="36951F48">
      <w:pPr>
        <w:pStyle w:val="2"/>
        <w:rPr>
          <w:rFonts w:hint="eastAsia"/>
          <w:b w:val="0"/>
          <w:sz w:val="24"/>
          <w:highlight w:val="none"/>
        </w:rPr>
      </w:pPr>
    </w:p>
    <w:p w14:paraId="650796D7">
      <w:pPr>
        <w:numPr>
          <w:ilvl w:val="0"/>
          <w:numId w:val="1"/>
        </w:numPr>
        <w:adjustRightInd w:val="0"/>
        <w:spacing w:line="360" w:lineRule="atLeast"/>
        <w:jc w:val="left"/>
        <w:textAlignment w:val="baseline"/>
        <w:rPr>
          <w:b/>
          <w:sz w:val="24"/>
          <w:highlight w:val="none"/>
        </w:rPr>
      </w:pPr>
      <w:r>
        <w:rPr>
          <w:rFonts w:hint="eastAsia"/>
          <w:b/>
          <w:sz w:val="24"/>
          <w:highlight w:val="none"/>
        </w:rPr>
        <w:t>售后服务及培训要求</w:t>
      </w:r>
    </w:p>
    <w:p w14:paraId="4A30F57D">
      <w:pPr>
        <w:adjustRightInd w:val="0"/>
        <w:spacing w:line="360" w:lineRule="atLeast"/>
        <w:ind w:firstLine="480" w:firstLineChars="200"/>
        <w:jc w:val="left"/>
        <w:textAlignment w:val="baseline"/>
        <w:rPr>
          <w:rFonts w:hint="eastAsia"/>
          <w:bCs/>
          <w:sz w:val="24"/>
          <w:highlight w:val="none"/>
        </w:rPr>
      </w:pPr>
      <w:r>
        <w:rPr>
          <w:rFonts w:hint="eastAsia"/>
          <w:bCs/>
          <w:sz w:val="24"/>
          <w:highlight w:val="none"/>
        </w:rPr>
        <w:t>1、要求提供7*24小时的热线电话服务。立即响应，快速解决故障和问题</w:t>
      </w:r>
    </w:p>
    <w:p w14:paraId="37968DFD">
      <w:pPr>
        <w:adjustRightInd w:val="0"/>
        <w:spacing w:line="360" w:lineRule="atLeast"/>
        <w:ind w:firstLine="480" w:firstLineChars="200"/>
        <w:jc w:val="left"/>
        <w:textAlignment w:val="baseline"/>
        <w:rPr>
          <w:rFonts w:hint="eastAsia"/>
          <w:bCs/>
          <w:sz w:val="24"/>
          <w:highlight w:val="none"/>
        </w:rPr>
      </w:pPr>
      <w:r>
        <w:rPr>
          <w:rFonts w:hint="eastAsia"/>
          <w:bCs/>
          <w:sz w:val="24"/>
          <w:highlight w:val="none"/>
        </w:rPr>
        <w:t>2、当网络链路中断持续2分钟以上时需在1小时内解决中断问题，如需现场服务则需在1小时内到达现场：故障最长修复时限不超过4小时,问题解决后3日内提交故障报告。</w:t>
      </w:r>
    </w:p>
    <w:p w14:paraId="51FCCD18">
      <w:pPr>
        <w:adjustRightInd w:val="0"/>
        <w:spacing w:line="360" w:lineRule="atLeast"/>
        <w:ind w:firstLine="480" w:firstLineChars="200"/>
        <w:jc w:val="left"/>
        <w:textAlignment w:val="baseline"/>
        <w:rPr>
          <w:rFonts w:hint="eastAsia"/>
          <w:bCs/>
          <w:sz w:val="24"/>
          <w:highlight w:val="none"/>
        </w:rPr>
      </w:pPr>
      <w:r>
        <w:rPr>
          <w:rFonts w:hint="eastAsia"/>
          <w:bCs/>
          <w:sz w:val="24"/>
          <w:highlight w:val="none"/>
        </w:rPr>
        <w:t>3、链路中断修复时间：除因不可抗力导致链路中断以外，光纤问题应在6小时内修复（如因市政工程破坏24小时内修复），招标人节点到光纤收发器端口的设备故障（1小时内）每月平均修复及时率＞98%。</w:t>
      </w:r>
    </w:p>
    <w:p w14:paraId="71409E1B">
      <w:pPr>
        <w:pStyle w:val="3"/>
        <w:rPr>
          <w:rFonts w:ascii="Times New Roman" w:hAnsi="Times New Roman"/>
          <w:bCs/>
          <w:highlight w:val="none"/>
        </w:rPr>
      </w:pPr>
      <w:r>
        <w:rPr>
          <w:rFonts w:hint="eastAsia" w:ascii="Times New Roman" w:hAnsi="Times New Roman"/>
          <w:bCs/>
          <w:highlight w:val="none"/>
        </w:rPr>
        <w:t xml:space="preserve">    4、如遇校方有重大活动，需提供专业人员现场保障网络运行。</w:t>
      </w:r>
    </w:p>
    <w:p w14:paraId="7F720C56">
      <w:pPr>
        <w:adjustRightInd w:val="0"/>
        <w:spacing w:line="360" w:lineRule="atLeast"/>
        <w:ind w:firstLine="480" w:firstLineChars="200"/>
        <w:jc w:val="left"/>
        <w:textAlignment w:val="baseline"/>
        <w:rPr>
          <w:rFonts w:hint="eastAsia"/>
          <w:bCs/>
          <w:sz w:val="24"/>
          <w:highlight w:val="none"/>
        </w:rPr>
      </w:pPr>
      <w:r>
        <w:rPr>
          <w:rFonts w:hint="eastAsia"/>
          <w:bCs/>
          <w:sz w:val="24"/>
          <w:highlight w:val="none"/>
        </w:rPr>
        <w:t>5、中标单位根据招标人安排重点开展网络基础知识及网络安全培训。包括：制定详细的人员培训方案、选派培训授课人员、培训内容、培训材料、培训时间等。</w:t>
      </w:r>
    </w:p>
    <w:p w14:paraId="577FB7EE">
      <w:pPr>
        <w:numPr>
          <w:ilvl w:val="0"/>
          <w:numId w:val="1"/>
        </w:numPr>
        <w:adjustRightInd w:val="0"/>
        <w:spacing w:line="360" w:lineRule="atLeast"/>
        <w:jc w:val="left"/>
        <w:textAlignment w:val="baseline"/>
        <w:rPr>
          <w:b/>
          <w:sz w:val="24"/>
          <w:highlight w:val="none"/>
        </w:rPr>
      </w:pPr>
      <w:r>
        <w:rPr>
          <w:rFonts w:hint="eastAsia"/>
          <w:b/>
          <w:sz w:val="24"/>
          <w:highlight w:val="none"/>
        </w:rPr>
        <w:t>交付时间及地点（服务期限）</w:t>
      </w:r>
    </w:p>
    <w:p w14:paraId="5921201D">
      <w:pPr>
        <w:adjustRightInd w:val="0"/>
        <w:spacing w:line="360" w:lineRule="atLeast"/>
        <w:ind w:firstLine="480" w:firstLineChars="200"/>
        <w:jc w:val="left"/>
        <w:textAlignment w:val="baseline"/>
        <w:rPr>
          <w:rFonts w:hint="eastAsia"/>
          <w:bCs/>
          <w:color w:val="auto"/>
          <w:sz w:val="24"/>
          <w:highlight w:val="none"/>
        </w:rPr>
      </w:pPr>
      <w:r>
        <w:rPr>
          <w:rFonts w:hint="eastAsia"/>
          <w:bCs/>
          <w:color w:val="auto"/>
          <w:sz w:val="24"/>
          <w:highlight w:val="none"/>
        </w:rPr>
        <w:t>服务时间：合同签订后一年</w:t>
      </w:r>
    </w:p>
    <w:p w14:paraId="1E182443">
      <w:pPr>
        <w:adjustRightInd w:val="0"/>
        <w:spacing w:line="360" w:lineRule="atLeast"/>
        <w:ind w:firstLine="480" w:firstLineChars="200"/>
        <w:jc w:val="left"/>
        <w:textAlignment w:val="baseline"/>
        <w:rPr>
          <w:bCs/>
          <w:color w:val="auto"/>
          <w:sz w:val="24"/>
          <w:highlight w:val="none"/>
        </w:rPr>
      </w:pPr>
      <w:r>
        <w:rPr>
          <w:rFonts w:hint="eastAsia"/>
          <w:bCs/>
          <w:color w:val="auto"/>
          <w:sz w:val="24"/>
          <w:highlight w:val="none"/>
        </w:rPr>
        <w:t>交付地点：北京信息科技大学小营校区</w:t>
      </w:r>
    </w:p>
    <w:p w14:paraId="56D94D3E">
      <w:pPr>
        <w:numPr>
          <w:ilvl w:val="0"/>
          <w:numId w:val="1"/>
        </w:numPr>
        <w:adjustRightInd w:val="0"/>
        <w:spacing w:line="360" w:lineRule="atLeast"/>
        <w:jc w:val="left"/>
        <w:textAlignment w:val="baseline"/>
        <w:rPr>
          <w:b/>
          <w:sz w:val="24"/>
          <w:highlight w:val="none"/>
        </w:rPr>
      </w:pPr>
      <w:r>
        <w:rPr>
          <w:rFonts w:hint="eastAsia"/>
          <w:b/>
          <w:sz w:val="24"/>
          <w:highlight w:val="none"/>
        </w:rPr>
        <w:t>验收服务要求</w:t>
      </w:r>
    </w:p>
    <w:p w14:paraId="4150BC5C">
      <w:pPr>
        <w:adjustRightInd w:val="0"/>
        <w:spacing w:line="360" w:lineRule="atLeast"/>
        <w:ind w:firstLine="480" w:firstLineChars="200"/>
        <w:jc w:val="left"/>
        <w:textAlignment w:val="baseline"/>
        <w:rPr>
          <w:rFonts w:hint="eastAsia"/>
          <w:bCs/>
          <w:sz w:val="24"/>
          <w:highlight w:val="none"/>
        </w:rPr>
      </w:pPr>
      <w:r>
        <w:rPr>
          <w:rFonts w:hint="eastAsia"/>
          <w:bCs/>
          <w:sz w:val="24"/>
          <w:highlight w:val="none"/>
        </w:rPr>
        <w:t>在项目具备验收条件下，双方组织验收会议，针对中标单位提供的网络服务按照投标文件所提供的参数进行验收。</w:t>
      </w:r>
    </w:p>
    <w:p w14:paraId="098C78F9">
      <w:pPr>
        <w:numPr>
          <w:ilvl w:val="0"/>
          <w:numId w:val="1"/>
        </w:numPr>
        <w:adjustRightInd w:val="0"/>
        <w:spacing w:line="360" w:lineRule="atLeast"/>
        <w:jc w:val="left"/>
        <w:textAlignment w:val="baseline"/>
        <w:rPr>
          <w:b/>
          <w:sz w:val="24"/>
          <w:highlight w:val="none"/>
        </w:rPr>
      </w:pPr>
      <w:r>
        <w:rPr>
          <w:rFonts w:hint="eastAsia"/>
          <w:b/>
          <w:sz w:val="24"/>
          <w:highlight w:val="none"/>
        </w:rPr>
        <w:t>付款方式</w:t>
      </w:r>
    </w:p>
    <w:p w14:paraId="1C46F40D">
      <w:pPr>
        <w:pStyle w:val="4"/>
        <w:ind w:firstLine="480" w:firstLineChars="2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合同签订生效后</w:t>
      </w:r>
      <w:r>
        <w:rPr>
          <w:color w:val="auto"/>
          <w:highlight w:val="none"/>
        </w:rPr>
        <w:t>1</w:t>
      </w:r>
      <w:r>
        <w:rPr>
          <w:rFonts w:hint="eastAsia"/>
          <w:color w:val="auto"/>
          <w:highlight w:val="none"/>
        </w:rPr>
        <w:t>0个工作日内，甲方向乙方支付合同总额的</w:t>
      </w:r>
      <w:r>
        <w:rPr>
          <w:color w:val="auto"/>
          <w:highlight w:val="none"/>
        </w:rPr>
        <w:t>100</w:t>
      </w:r>
      <w:r>
        <w:rPr>
          <w:rFonts w:hint="eastAsia"/>
          <w:color w:val="auto"/>
          <w:highlight w:val="none"/>
        </w:rPr>
        <w:t>%，供应商需提供等额有效的增值税发票。</w:t>
      </w:r>
    </w:p>
    <w:p w14:paraId="0CD5DBAB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D4497"/>
    <w:multiLevelType w:val="multilevel"/>
    <w:tmpl w:val="1FCD4497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ED5AD9"/>
    <w:multiLevelType w:val="multilevel"/>
    <w:tmpl w:val="6AED5AD9"/>
    <w:lvl w:ilvl="0" w:tentative="0">
      <w:start w:val="10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6576C"/>
    <w:rsid w:val="23B6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3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2025-12-18T07:52:00Z</dcterms:created>
  <dc:creator>卓</dc:creator>
  <cp:lastModifiedBy>卓</cp:lastModifiedBy>
  <dcterms:modified xsi:type="dcterms:W3CDTF">2025-12-18T07:52:21Z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5158980A5BB3440F8E507C0D77093355_11</vt:lpwstr>
  </property>
  <property fmtid="{D5CDD505-2E9C-101B-9397-08002B2CF9AE}" pid="4" name="KSOTemplateDocerSaveRecord">
    <vt:lpwstr>eyJoZGlkIjoiNTQ2YWU4ZmVkMTg2MmRlOGU2ZWVkODQzZWU5OTBiZDAiLCJ1c2VySWQiOiI1NDQ3NjE0MjMifQ==</vt:lpwstr>
  </property>
</Properties>
</file>