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855F">
      <w:pPr>
        <w:pStyle w:val="7"/>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52A19FBF">
      <w:pPr>
        <w:spacing w:line="360" w:lineRule="auto"/>
        <w:contextualSpacing/>
        <w:rPr>
          <w:bCs/>
          <w:color w:val="auto"/>
          <w:sz w:val="24"/>
          <w:highlight w:val="none"/>
        </w:rPr>
      </w:pPr>
      <w:r>
        <w:rPr>
          <w:bCs/>
          <w:color w:val="auto"/>
          <w:sz w:val="24"/>
          <w:highlight w:val="none"/>
        </w:rPr>
        <w:t>1.采购标的</w:t>
      </w:r>
    </w:p>
    <w:tbl>
      <w:tblPr>
        <w:tblStyle w:val="5"/>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547"/>
        <w:gridCol w:w="1236"/>
        <w:gridCol w:w="2435"/>
        <w:gridCol w:w="1555"/>
      </w:tblGrid>
      <w:tr w14:paraId="7A04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053B02C0">
            <w:pPr>
              <w:jc w:val="center"/>
              <w:rPr>
                <w:rFonts w:ascii="宋体" w:hAnsi="宋体" w:cs="宋体"/>
                <w:b/>
                <w:color w:val="auto"/>
                <w:sz w:val="24"/>
                <w:highlight w:val="none"/>
              </w:rPr>
            </w:pPr>
            <w:r>
              <w:rPr>
                <w:rFonts w:hint="eastAsia" w:ascii="宋体" w:hAnsi="宋体" w:cs="宋体"/>
                <w:b/>
                <w:color w:val="auto"/>
                <w:sz w:val="24"/>
                <w:highlight w:val="none"/>
                <w:lang w:eastAsia="zh-CN"/>
              </w:rPr>
              <w:t>包号</w:t>
            </w:r>
          </w:p>
        </w:tc>
        <w:tc>
          <w:tcPr>
            <w:tcW w:w="1079" w:type="dxa"/>
            <w:vAlign w:val="center"/>
          </w:tcPr>
          <w:p w14:paraId="49FAF467">
            <w:pPr>
              <w:jc w:val="center"/>
              <w:rPr>
                <w:rFonts w:ascii="宋体" w:hAnsi="宋体" w:cs="宋体"/>
                <w:b/>
                <w:color w:val="auto"/>
                <w:sz w:val="24"/>
                <w:highlight w:val="none"/>
              </w:rPr>
            </w:pPr>
            <w:r>
              <w:rPr>
                <w:rFonts w:hint="eastAsia" w:ascii="宋体" w:hAnsi="宋体" w:cs="宋体"/>
                <w:b/>
                <w:color w:val="auto"/>
                <w:sz w:val="24"/>
                <w:highlight w:val="none"/>
              </w:rPr>
              <w:t>采购预算金额（万元）</w:t>
            </w:r>
          </w:p>
        </w:tc>
        <w:tc>
          <w:tcPr>
            <w:tcW w:w="1547" w:type="dxa"/>
            <w:vAlign w:val="center"/>
          </w:tcPr>
          <w:p w14:paraId="1043E802">
            <w:pPr>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236" w:type="dxa"/>
            <w:vAlign w:val="center"/>
          </w:tcPr>
          <w:p w14:paraId="53036D09">
            <w:pPr>
              <w:jc w:val="center"/>
              <w:rPr>
                <w:rFonts w:ascii="宋体" w:hAnsi="宋体" w:cs="宋体"/>
                <w:b/>
                <w:color w:val="auto"/>
                <w:sz w:val="24"/>
                <w:highlight w:val="none"/>
              </w:rPr>
            </w:pPr>
            <w:r>
              <w:rPr>
                <w:rFonts w:hint="eastAsia" w:ascii="宋体" w:hAnsi="宋体" w:cs="宋体"/>
                <w:b/>
                <w:color w:val="auto"/>
                <w:sz w:val="24"/>
                <w:highlight w:val="none"/>
              </w:rPr>
              <w:t>数量</w:t>
            </w:r>
          </w:p>
          <w:p w14:paraId="601F9EFA">
            <w:pPr>
              <w:jc w:val="center"/>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eastAsia="zh-CN"/>
              </w:rPr>
              <w:t>项</w:t>
            </w:r>
            <w:r>
              <w:rPr>
                <w:rFonts w:hint="eastAsia" w:ascii="宋体" w:hAnsi="宋体" w:cs="宋体"/>
                <w:b/>
                <w:color w:val="auto"/>
                <w:sz w:val="24"/>
                <w:highlight w:val="none"/>
              </w:rPr>
              <w:t>）</w:t>
            </w:r>
          </w:p>
        </w:tc>
        <w:tc>
          <w:tcPr>
            <w:tcW w:w="2435" w:type="dxa"/>
            <w:vAlign w:val="center"/>
          </w:tcPr>
          <w:p w14:paraId="4E81AE86">
            <w:pPr>
              <w:jc w:val="center"/>
              <w:rPr>
                <w:rFonts w:ascii="宋体" w:hAnsi="宋体" w:cs="宋体"/>
                <w:b/>
                <w:color w:val="auto"/>
                <w:sz w:val="24"/>
                <w:highlight w:val="none"/>
              </w:rPr>
            </w:pPr>
            <w:r>
              <w:rPr>
                <w:rFonts w:hint="eastAsia" w:ascii="宋体" w:hAnsi="宋体" w:cs="宋体"/>
                <w:b/>
                <w:color w:val="auto"/>
                <w:sz w:val="24"/>
                <w:highlight w:val="none"/>
              </w:rPr>
              <w:t>简要技术需求或服务要求</w:t>
            </w:r>
          </w:p>
        </w:tc>
        <w:tc>
          <w:tcPr>
            <w:tcW w:w="1555" w:type="dxa"/>
            <w:vAlign w:val="center"/>
          </w:tcPr>
          <w:p w14:paraId="3A3854DD">
            <w:pPr>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12D6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494EB987">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01</w:t>
            </w:r>
          </w:p>
        </w:tc>
        <w:tc>
          <w:tcPr>
            <w:tcW w:w="1079" w:type="dxa"/>
            <w:vAlign w:val="center"/>
          </w:tcPr>
          <w:p w14:paraId="614D1B5D">
            <w:pPr>
              <w:keepNext w:val="0"/>
              <w:keepLines w:val="0"/>
              <w:widowControl/>
              <w:suppressLineNumbers w:val="0"/>
              <w:jc w:val="center"/>
              <w:textAlignment w:val="center"/>
              <w:rPr>
                <w:rFonts w:ascii="宋体" w:hAnsi="宋体" w:cs="宋体"/>
                <w:color w:val="auto"/>
                <w:kern w:val="0"/>
                <w:sz w:val="24"/>
                <w:highlight w:val="none"/>
              </w:rPr>
            </w:pPr>
            <w:r>
              <w:rPr>
                <w:rFonts w:hint="eastAsia"/>
                <w:color w:val="auto"/>
                <w:sz w:val="24"/>
                <w:highlight w:val="none"/>
                <w:lang w:val="en-US" w:eastAsia="zh-CN"/>
              </w:rPr>
              <w:t>195</w:t>
            </w:r>
          </w:p>
        </w:tc>
        <w:tc>
          <w:tcPr>
            <w:tcW w:w="1547" w:type="dxa"/>
            <w:vAlign w:val="center"/>
          </w:tcPr>
          <w:p w14:paraId="016A13B6">
            <w:pPr>
              <w:keepNext w:val="0"/>
              <w:keepLines w:val="0"/>
              <w:widowControl/>
              <w:suppressLineNumbers w:val="0"/>
              <w:jc w:val="center"/>
              <w:textAlignment w:val="center"/>
              <w:rPr>
                <w:rFonts w:hint="eastAsia" w:ascii="宋体" w:hAnsi="宋体" w:eastAsia="宋体" w:cs="宋体"/>
                <w:color w:val="auto"/>
                <w:kern w:val="0"/>
                <w:sz w:val="24"/>
                <w:highlight w:val="none"/>
                <w:lang w:eastAsia="zh-CN"/>
              </w:rPr>
            </w:pPr>
            <w:r>
              <w:rPr>
                <w:rFonts w:hint="eastAsia" w:ascii="Times New Roman" w:hAnsi="Times New Roman" w:eastAsia="宋体"/>
                <w:b w:val="0"/>
                <w:bCs w:val="0"/>
                <w:sz w:val="21"/>
                <w:szCs w:val="24"/>
              </w:rPr>
              <w:t>污水站</w:t>
            </w:r>
            <w:r>
              <w:rPr>
                <w:rFonts w:hint="eastAsia" w:ascii="Times New Roman" w:hAnsi="Times New Roman"/>
                <w:b w:val="0"/>
                <w:bCs w:val="0"/>
                <w:sz w:val="21"/>
                <w:szCs w:val="24"/>
                <w:lang w:val="en-US" w:eastAsia="zh-CN"/>
              </w:rPr>
              <w:t>外包</w:t>
            </w:r>
            <w:r>
              <w:rPr>
                <w:rFonts w:hint="eastAsia"/>
                <w:lang w:eastAsia="zh-CN"/>
              </w:rPr>
              <w:t>服务</w:t>
            </w:r>
          </w:p>
        </w:tc>
        <w:tc>
          <w:tcPr>
            <w:tcW w:w="1236" w:type="dxa"/>
            <w:vAlign w:val="center"/>
          </w:tcPr>
          <w:p w14:paraId="3FF8EE93">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cs="宋体"/>
                <w:i w:val="0"/>
                <w:iCs w:val="0"/>
                <w:color w:val="auto"/>
                <w:kern w:val="0"/>
                <w:sz w:val="24"/>
                <w:szCs w:val="24"/>
                <w:highlight w:val="none"/>
                <w:u w:val="none"/>
                <w:lang w:val="en-US" w:eastAsia="zh-CN" w:bidi="ar"/>
              </w:rPr>
              <w:t>1</w:t>
            </w:r>
          </w:p>
        </w:tc>
        <w:tc>
          <w:tcPr>
            <w:tcW w:w="2435" w:type="dxa"/>
            <w:vAlign w:val="center"/>
          </w:tcPr>
          <w:p w14:paraId="616A03DC">
            <w:pPr>
              <w:widowControl/>
              <w:jc w:val="center"/>
              <w:rPr>
                <w:rFonts w:hint="eastAsia" w:ascii="宋体" w:hAnsi="宋体" w:eastAsia="宋体" w:cs="宋体"/>
                <w:color w:val="auto"/>
                <w:kern w:val="0"/>
                <w:sz w:val="24"/>
                <w:highlight w:val="none"/>
                <w:lang w:eastAsia="zh-CN"/>
              </w:rPr>
            </w:pPr>
            <w:r>
              <w:rPr>
                <w:rFonts w:hint="eastAsia" w:hAnsi="Times New Roman" w:cs="Times New Roman"/>
                <w:color w:val="auto"/>
                <w:sz w:val="24"/>
                <w:highlight w:val="none"/>
                <w:lang w:val="en-US" w:eastAsia="zh-CN"/>
              </w:rPr>
              <w:t>负责</w:t>
            </w:r>
            <w:r>
              <w:rPr>
                <w:rFonts w:hint="eastAsia" w:cs="Times New Roman"/>
                <w:color w:val="auto"/>
                <w:sz w:val="24"/>
                <w:highlight w:val="none"/>
                <w:lang w:val="en-US" w:eastAsia="zh-CN"/>
              </w:rPr>
              <w:t>医院污水站托管运营</w:t>
            </w:r>
          </w:p>
        </w:tc>
        <w:tc>
          <w:tcPr>
            <w:tcW w:w="1555" w:type="dxa"/>
            <w:vAlign w:val="center"/>
          </w:tcPr>
          <w:p w14:paraId="76C1FF0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无</w:t>
            </w:r>
          </w:p>
        </w:tc>
      </w:tr>
    </w:tbl>
    <w:p w14:paraId="368E8DFC">
      <w:pPr>
        <w:pStyle w:val="2"/>
        <w:rPr>
          <w:color w:val="auto"/>
          <w:highlight w:val="none"/>
        </w:rPr>
      </w:pPr>
    </w:p>
    <w:p w14:paraId="15C694D0">
      <w:pPr>
        <w:pStyle w:val="7"/>
        <w:numPr>
          <w:ilvl w:val="0"/>
          <w:numId w:val="1"/>
        </w:numPr>
        <w:spacing w:line="360" w:lineRule="auto"/>
        <w:ind w:left="499" w:hanging="499"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4D4AFC1D">
      <w:pPr>
        <w:spacing w:line="360" w:lineRule="auto"/>
        <w:contextualSpacing/>
        <w:rPr>
          <w:i/>
          <w:color w:val="auto"/>
          <w:sz w:val="24"/>
          <w:highlight w:val="none"/>
        </w:rPr>
      </w:pPr>
      <w:r>
        <w:rPr>
          <w:color w:val="auto"/>
          <w:sz w:val="24"/>
          <w:highlight w:val="none"/>
        </w:rPr>
        <w:t>1.实施的期限和地点</w:t>
      </w:r>
    </w:p>
    <w:p w14:paraId="2E3E13BF">
      <w:pPr>
        <w:pStyle w:val="4"/>
        <w:spacing w:line="360" w:lineRule="auto"/>
        <w:jc w:val="both"/>
        <w:outlineLvl w:val="9"/>
        <w:rPr>
          <w:rFonts w:ascii="宋体" w:hAnsi="宋体" w:cs="宋体"/>
          <w:b w:val="0"/>
          <w:color w:val="auto"/>
          <w:sz w:val="24"/>
          <w:szCs w:val="24"/>
          <w:highlight w:val="none"/>
        </w:rPr>
      </w:pPr>
      <w:bookmarkStart w:id="0" w:name="_Toc21887"/>
      <w:r>
        <w:rPr>
          <w:rFonts w:ascii="宋体" w:hAnsi="宋体" w:cs="宋体"/>
          <w:b w:val="0"/>
          <w:color w:val="auto"/>
          <w:sz w:val="24"/>
          <w:szCs w:val="24"/>
          <w:highlight w:val="none"/>
        </w:rPr>
        <w:t>1.</w:t>
      </w:r>
      <w:r>
        <w:rPr>
          <w:rFonts w:hint="eastAsia" w:ascii="宋体" w:hAnsi="宋体" w:cs="宋体"/>
          <w:b w:val="0"/>
          <w:color w:val="auto"/>
          <w:sz w:val="24"/>
          <w:szCs w:val="24"/>
          <w:highlight w:val="none"/>
        </w:rPr>
        <w:t>1采购项目（标的）实施的时间：</w:t>
      </w:r>
      <w:bookmarkEnd w:id="0"/>
      <w:r>
        <w:rPr>
          <w:rFonts w:hint="eastAsia" w:ascii="宋体" w:hAnsi="宋体"/>
          <w:sz w:val="24"/>
          <w:lang w:val="en-US" w:eastAsia="zh-CN"/>
        </w:rPr>
        <w:t>自合同签订之日起3年</w:t>
      </w:r>
      <w:r>
        <w:rPr>
          <w:rFonts w:hint="eastAsia"/>
          <w:color w:val="auto"/>
          <w:sz w:val="24"/>
          <w:highlight w:val="none"/>
          <w:lang w:val="en-US" w:eastAsia="zh-CN"/>
        </w:rPr>
        <w:t>（一次采购三年有效，合同一年一签订）</w:t>
      </w:r>
    </w:p>
    <w:p w14:paraId="2361548C">
      <w:pPr>
        <w:pStyle w:val="4"/>
        <w:tabs>
          <w:tab w:val="left" w:pos="0"/>
        </w:tabs>
        <w:spacing w:line="360" w:lineRule="auto"/>
        <w:jc w:val="both"/>
        <w:outlineLvl w:val="9"/>
        <w:rPr>
          <w:i/>
          <w:color w:val="auto"/>
          <w:sz w:val="24"/>
          <w:highlight w:val="none"/>
        </w:rPr>
      </w:pPr>
      <w:bookmarkStart w:id="1" w:name="_Toc4342"/>
      <w:r>
        <w:rPr>
          <w:rFonts w:hint="eastAsia" w:ascii="宋体" w:hAnsi="宋体" w:cs="宋体"/>
          <w:b w:val="0"/>
          <w:color w:val="auto"/>
          <w:sz w:val="24"/>
          <w:szCs w:val="24"/>
          <w:highlight w:val="none"/>
        </w:rPr>
        <w:t>1.</w:t>
      </w:r>
      <w:r>
        <w:rPr>
          <w:rFonts w:ascii="宋体" w:hAnsi="宋体" w:cs="宋体"/>
          <w:b w:val="0"/>
          <w:color w:val="auto"/>
          <w:sz w:val="24"/>
          <w:szCs w:val="24"/>
          <w:highlight w:val="none"/>
        </w:rPr>
        <w:t>2</w:t>
      </w:r>
      <w:r>
        <w:rPr>
          <w:rFonts w:hint="eastAsia" w:ascii="宋体" w:hAnsi="宋体" w:cs="宋体"/>
          <w:b w:val="0"/>
          <w:color w:val="auto"/>
          <w:sz w:val="24"/>
          <w:szCs w:val="24"/>
          <w:highlight w:val="none"/>
        </w:rPr>
        <w:t>采购项目（标的）实施的地点：北京回龙观医院指定地点</w:t>
      </w:r>
      <w:bookmarkEnd w:id="1"/>
    </w:p>
    <w:p w14:paraId="09FA8964">
      <w:pPr>
        <w:spacing w:line="360" w:lineRule="auto"/>
        <w:contextualSpacing/>
        <w:rPr>
          <w:color w:val="auto"/>
          <w:sz w:val="24"/>
          <w:highlight w:val="none"/>
        </w:rPr>
      </w:pPr>
      <w:r>
        <w:rPr>
          <w:color w:val="auto"/>
          <w:sz w:val="24"/>
          <w:highlight w:val="none"/>
        </w:rPr>
        <w:t>2.付款条件（进度和方式）</w:t>
      </w:r>
    </w:p>
    <w:p w14:paraId="5A2AEBDB">
      <w:pPr>
        <w:spacing w:line="360" w:lineRule="auto"/>
        <w:ind w:firstLine="240" w:firstLineChars="100"/>
        <w:contextualSpacing/>
        <w:rPr>
          <w:bCs/>
          <w:iCs/>
          <w:color w:val="auto"/>
          <w:sz w:val="24"/>
          <w:highlight w:val="none"/>
        </w:rPr>
      </w:pPr>
      <w:r>
        <w:rPr>
          <w:rFonts w:hint="eastAsia" w:ascii="宋体" w:hAnsi="宋体" w:cs="宋体"/>
          <w:color w:val="auto"/>
          <w:sz w:val="24"/>
          <w:highlight w:val="none"/>
        </w:rPr>
        <w:t>以最终合同签订为准。</w:t>
      </w:r>
    </w:p>
    <w:p w14:paraId="48397A8D">
      <w:pPr>
        <w:pStyle w:val="7"/>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3245062E">
      <w:pPr>
        <w:pStyle w:val="7"/>
        <w:tabs>
          <w:tab w:val="left" w:pos="470"/>
        </w:tabs>
        <w:spacing w:before="0" w:line="360" w:lineRule="auto"/>
        <w:ind w:left="0" w:firstLine="0"/>
        <w:jc w:val="both"/>
        <w:rPr>
          <w:sz w:val="24"/>
          <w:lang w:eastAsia="zh-CN"/>
        </w:rPr>
      </w:pPr>
      <w:r>
        <w:rPr>
          <w:rFonts w:hint="eastAsia"/>
          <w:spacing w:val="-2"/>
          <w:w w:val="114"/>
          <w:sz w:val="24"/>
          <w:szCs w:val="24"/>
          <w:lang w:eastAsia="zh-CN"/>
        </w:rPr>
        <w:t>1.</w:t>
      </w:r>
      <w:r>
        <w:rPr>
          <w:rFonts w:hint="eastAsia"/>
          <w:sz w:val="24"/>
          <w:lang w:eastAsia="zh-CN"/>
        </w:rPr>
        <w:t>基本要求</w:t>
      </w:r>
    </w:p>
    <w:p w14:paraId="7A58E2BB">
      <w:pPr>
        <w:spacing w:line="360" w:lineRule="auto"/>
        <w:jc w:val="both"/>
        <w:rPr>
          <w:sz w:val="24"/>
          <w:lang w:eastAsia="zh-CN"/>
        </w:rPr>
      </w:pPr>
      <w:r>
        <w:rPr>
          <w:rFonts w:hint="eastAsia"/>
          <w:sz w:val="24"/>
          <w:lang w:eastAsia="zh-CN"/>
        </w:rPr>
        <w:t>1.1采购标的需实现的功能或者目标</w:t>
      </w:r>
    </w:p>
    <w:p w14:paraId="1010C309">
      <w:pPr>
        <w:spacing w:line="360" w:lineRule="auto"/>
        <w:ind w:firstLine="480" w:firstLineChars="200"/>
        <w:contextualSpacing/>
        <w:rPr>
          <w:sz w:val="24"/>
          <w:lang w:eastAsia="zh-CN"/>
        </w:rPr>
      </w:pPr>
      <w:r>
        <w:rPr>
          <w:rFonts w:hint="eastAsia"/>
          <w:sz w:val="24"/>
          <w:lang w:eastAsia="zh-CN"/>
        </w:rPr>
        <w:t>本次招标采购是为北京回龙观医院提供</w:t>
      </w:r>
      <w:r>
        <w:rPr>
          <w:rFonts w:hint="eastAsia"/>
          <w:sz w:val="24"/>
          <w:szCs w:val="24"/>
          <w:lang w:eastAsia="zh-CN"/>
        </w:rPr>
        <w:t>污水处理站托管运营服务</w:t>
      </w:r>
      <w:r>
        <w:rPr>
          <w:rFonts w:hint="eastAsia"/>
          <w:sz w:val="24"/>
          <w:lang w:eastAsia="zh-CN"/>
        </w:rPr>
        <w:t>，供应商应根据招标文件所提出的技术规格和服务要求以先进的技术、优良的服务和优惠的价格，充分显示自己的竞争实力。</w:t>
      </w:r>
    </w:p>
    <w:p w14:paraId="5293FD17">
      <w:pPr>
        <w:spacing w:line="360" w:lineRule="auto"/>
        <w:contextualSpacing/>
        <w:rPr>
          <w:sz w:val="24"/>
          <w:lang w:eastAsia="zh-CN"/>
        </w:rPr>
      </w:pPr>
      <w:r>
        <w:rPr>
          <w:sz w:val="24"/>
          <w:lang w:eastAsia="zh-CN"/>
        </w:rPr>
        <w:t>1.2 需执行的国家相关标准、行业标准、地方标准或者其他标准、规范</w:t>
      </w:r>
    </w:p>
    <w:p w14:paraId="5E4D0263">
      <w:pPr>
        <w:spacing w:line="360" w:lineRule="auto"/>
        <w:ind w:firstLine="480" w:firstLineChars="200"/>
        <w:contextualSpacing/>
        <w:rPr>
          <w:sz w:val="24"/>
          <w:lang w:eastAsia="zh-CN"/>
        </w:rPr>
      </w:pPr>
      <w:r>
        <w:rPr>
          <w:rFonts w:hint="eastAsia"/>
          <w:sz w:val="24"/>
          <w:lang w:eastAsia="zh-CN"/>
        </w:rPr>
        <w:t>供应商应保证所提供的服务符合国家相关法律法规的要求。</w:t>
      </w:r>
    </w:p>
    <w:p w14:paraId="6947A11C">
      <w:pPr>
        <w:spacing w:line="360" w:lineRule="auto"/>
        <w:contextualSpacing/>
        <w:rPr>
          <w:i/>
          <w:iCs/>
          <w:sz w:val="24"/>
          <w:lang w:eastAsia="zh-CN"/>
        </w:rPr>
      </w:pPr>
      <w:r>
        <w:rPr>
          <w:rFonts w:hint="eastAsia"/>
          <w:sz w:val="24"/>
          <w:lang w:eastAsia="zh-CN"/>
        </w:rPr>
        <w:t>2</w:t>
      </w:r>
      <w:r>
        <w:rPr>
          <w:sz w:val="24"/>
          <w:lang w:eastAsia="zh-CN"/>
        </w:rPr>
        <w:t xml:space="preserve"> 验收标准</w:t>
      </w:r>
    </w:p>
    <w:p w14:paraId="01C953B3">
      <w:pPr>
        <w:pStyle w:val="4"/>
        <w:spacing w:line="360" w:lineRule="auto"/>
        <w:jc w:val="both"/>
        <w:outlineLvl w:val="9"/>
        <w:rPr>
          <w:b w:val="0"/>
          <w:sz w:val="24"/>
          <w:szCs w:val="24"/>
          <w:lang w:eastAsia="zh-CN"/>
        </w:rPr>
      </w:pPr>
      <w:bookmarkStart w:id="2" w:name="_Toc21528"/>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bookmarkEnd w:id="2"/>
    </w:p>
    <w:p w14:paraId="08184C82">
      <w:pPr>
        <w:pStyle w:val="4"/>
        <w:spacing w:line="360" w:lineRule="auto"/>
        <w:jc w:val="both"/>
        <w:outlineLvl w:val="9"/>
        <w:rPr>
          <w:b w:val="0"/>
          <w:sz w:val="24"/>
          <w:szCs w:val="24"/>
          <w:lang w:eastAsia="zh-CN"/>
        </w:rPr>
      </w:pPr>
      <w:bookmarkStart w:id="3" w:name="_Toc12227"/>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bookmarkEnd w:id="3"/>
    </w:p>
    <w:p w14:paraId="571DDB1F">
      <w:pPr>
        <w:pStyle w:val="4"/>
        <w:spacing w:line="360" w:lineRule="auto"/>
        <w:jc w:val="both"/>
        <w:outlineLvl w:val="9"/>
        <w:rPr>
          <w:b w:val="0"/>
          <w:sz w:val="24"/>
          <w:szCs w:val="24"/>
          <w:lang w:eastAsia="zh-CN"/>
        </w:rPr>
      </w:pPr>
      <w:bookmarkStart w:id="4" w:name="_Toc21151"/>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bookmarkEnd w:id="4"/>
    </w:p>
    <w:p w14:paraId="3196902D">
      <w:pPr>
        <w:pStyle w:val="4"/>
        <w:spacing w:line="360" w:lineRule="auto"/>
        <w:jc w:val="both"/>
        <w:outlineLvl w:val="9"/>
        <w:rPr>
          <w:b w:val="0"/>
          <w:sz w:val="24"/>
          <w:szCs w:val="24"/>
          <w:lang w:eastAsia="zh-CN"/>
        </w:rPr>
      </w:pPr>
      <w:bookmarkStart w:id="5" w:name="_Toc5795"/>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bookmarkEnd w:id="5"/>
    </w:p>
    <w:p w14:paraId="61A64EAC">
      <w:pPr>
        <w:spacing w:line="360" w:lineRule="auto"/>
        <w:contextualSpacing/>
        <w:rPr>
          <w:sz w:val="24"/>
          <w:lang w:eastAsia="zh-CN"/>
        </w:rPr>
      </w:pPr>
      <w:r>
        <w:rPr>
          <w:rFonts w:hint="eastAsia"/>
          <w:sz w:val="24"/>
          <w:lang w:eastAsia="zh-CN"/>
        </w:rPr>
        <w:t>3</w:t>
      </w:r>
      <w:r>
        <w:rPr>
          <w:sz w:val="24"/>
          <w:lang w:eastAsia="zh-CN"/>
        </w:rPr>
        <w:t xml:space="preserve">. </w:t>
      </w:r>
      <w:r>
        <w:rPr>
          <w:rFonts w:hint="eastAsia"/>
          <w:sz w:val="24"/>
          <w:lang w:eastAsia="zh-CN"/>
        </w:rPr>
        <w:t>服务内容要求、</w:t>
      </w:r>
      <w:r>
        <w:rPr>
          <w:sz w:val="24"/>
          <w:lang w:eastAsia="zh-CN"/>
        </w:rPr>
        <w:t>技术要求</w:t>
      </w:r>
    </w:p>
    <w:p w14:paraId="3E3B94BB">
      <w:pPr>
        <w:widowControl/>
        <w:spacing w:line="360" w:lineRule="auto"/>
        <w:contextualSpacing/>
        <w:rPr>
          <w:sz w:val="24"/>
          <w:lang w:eastAsia="zh-CN"/>
        </w:rPr>
      </w:pPr>
      <w:r>
        <w:rPr>
          <w:rFonts w:hint="eastAsia"/>
          <w:sz w:val="24"/>
          <w:lang w:eastAsia="zh-CN"/>
        </w:rPr>
        <w:t>3</w:t>
      </w:r>
      <w:r>
        <w:rPr>
          <w:sz w:val="24"/>
          <w:lang w:eastAsia="zh-CN"/>
        </w:rPr>
        <w:t>.1采购标的需满足的性能、材料、结构、外观、质量、安全、技术规格、物理特性等要求；</w:t>
      </w:r>
    </w:p>
    <w:p w14:paraId="60F5EC26">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03CF5BDA">
      <w:pPr>
        <w:widowControl/>
        <w:spacing w:line="360" w:lineRule="auto"/>
        <w:contextualSpacing/>
        <w:rPr>
          <w:sz w:val="24"/>
          <w:lang w:eastAsia="zh-CN"/>
        </w:rPr>
      </w:pPr>
      <w:r>
        <w:rPr>
          <w:rFonts w:hint="eastAsia"/>
          <w:sz w:val="24"/>
          <w:lang w:eastAsia="zh-CN"/>
        </w:rPr>
        <w:t>3</w:t>
      </w:r>
      <w:r>
        <w:rPr>
          <w:sz w:val="24"/>
          <w:lang w:eastAsia="zh-CN"/>
        </w:rPr>
        <w:t>.2采购标的需满足的服务标准、期限、效率等要求；</w:t>
      </w:r>
    </w:p>
    <w:p w14:paraId="772E9BA7">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147B4271">
      <w:pPr>
        <w:tabs>
          <w:tab w:val="left" w:pos="900"/>
        </w:tabs>
        <w:spacing w:before="120" w:beforeLines="50" w:line="360" w:lineRule="auto"/>
        <w:ind w:left="480" w:hanging="480" w:hangingChars="200"/>
        <w:rPr>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14:paraId="401C46A5">
      <w:pPr>
        <w:tabs>
          <w:tab w:val="left" w:pos="900"/>
        </w:tabs>
        <w:spacing w:before="120" w:beforeLines="50" w:line="360" w:lineRule="auto"/>
        <w:rPr>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14:paraId="4BE8C593">
      <w:pPr>
        <w:tabs>
          <w:tab w:val="left" w:pos="900"/>
        </w:tabs>
        <w:spacing w:before="120" w:beforeLines="50" w:line="360" w:lineRule="auto"/>
        <w:rPr>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62A881E7">
      <w:pPr>
        <w:tabs>
          <w:tab w:val="left" w:pos="900"/>
        </w:tabs>
        <w:spacing w:before="120" w:beforeLines="50" w:line="360" w:lineRule="auto"/>
        <w:rPr>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7FAEE02">
      <w:pPr>
        <w:tabs>
          <w:tab w:val="left" w:pos="900"/>
        </w:tabs>
        <w:spacing w:before="120" w:beforeLines="50" w:line="360" w:lineRule="auto"/>
        <w:rPr>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p>
    <w:p w14:paraId="72ED48B3">
      <w:pPr>
        <w:tabs>
          <w:tab w:val="left" w:pos="900"/>
        </w:tabs>
        <w:spacing w:line="360" w:lineRule="auto"/>
        <w:jc w:val="both"/>
        <w:rPr>
          <w:sz w:val="24"/>
          <w:lang w:eastAsia="zh-CN"/>
        </w:rPr>
      </w:pPr>
      <w:r>
        <w:rPr>
          <w:rFonts w:hint="eastAsia"/>
          <w:sz w:val="24"/>
          <w:lang w:eastAsia="zh-CN"/>
        </w:rPr>
        <w:t>3</w:t>
      </w:r>
      <w:r>
        <w:rPr>
          <w:sz w:val="24"/>
          <w:lang w:eastAsia="zh-CN"/>
        </w:rPr>
        <w:t>.4采购标的的其他技术、服务等要求；</w:t>
      </w:r>
    </w:p>
    <w:p w14:paraId="04BDF179">
      <w:pPr>
        <w:pStyle w:val="3"/>
        <w:numPr>
          <w:ilvl w:val="0"/>
          <w:numId w:val="0"/>
        </w:numPr>
        <w:spacing w:line="360" w:lineRule="auto"/>
        <w:rPr>
          <w:rFonts w:hint="eastAsia" w:hAnsi="Times New Roman" w:cs="Times New Roman"/>
          <w:color w:val="auto"/>
          <w:sz w:val="24"/>
          <w:highlight w:val="none"/>
          <w:lang w:val="en-US" w:eastAsia="zh-CN"/>
        </w:rPr>
      </w:pPr>
      <w:r>
        <w:rPr>
          <w:rFonts w:hint="eastAsia" w:cs="Times New Roman"/>
          <w:color w:val="auto"/>
          <w:sz w:val="24"/>
          <w:highlight w:val="none"/>
          <w:lang w:val="en-US" w:eastAsia="zh-CN"/>
        </w:rPr>
        <w:t>（1）</w:t>
      </w:r>
      <w:r>
        <w:rPr>
          <w:rFonts w:hint="eastAsia" w:hAnsi="Times New Roman" w:cs="Times New Roman"/>
          <w:color w:val="auto"/>
          <w:sz w:val="24"/>
          <w:highlight w:val="none"/>
          <w:lang w:val="en-US" w:eastAsia="zh-CN"/>
        </w:rPr>
        <w:t>北京回龙观医院一座污水处理站，日处理量约为450吨。出水水质污水处理站采用二级生化处理工艺，设计出水水质达到《医疗机构水污染物排放标准》（GB18466-2005）中预处理标准，排入市政污水管网。污水处理站运营托管服务项目所有设备包含：加药泵、曝气机、污水泵（提升、排泥、排水），污水流量监测1 套，污水废气处理设备 1 套，配电柜 1 套)；及相关管路（含附件）、仪器、仪表设备和药剂等设施。医院污水处理站范围内所有建构筑物。</w:t>
      </w:r>
    </w:p>
    <w:p w14:paraId="65AB9D0D">
      <w:pPr>
        <w:pStyle w:val="3"/>
        <w:numPr>
          <w:ilvl w:val="0"/>
          <w:numId w:val="0"/>
        </w:numPr>
        <w:spacing w:line="360" w:lineRule="auto"/>
        <w:rPr>
          <w:rFonts w:hint="eastAsia" w:hAnsi="Times New Roman" w:cs="Times New Roman"/>
          <w:color w:val="auto"/>
          <w:sz w:val="24"/>
          <w:highlight w:val="none"/>
          <w:lang w:val="en-US" w:eastAsia="zh-CN"/>
        </w:rPr>
      </w:pPr>
      <w:r>
        <w:rPr>
          <w:rFonts w:hint="eastAsia" w:cs="Times New Roman"/>
          <w:color w:val="auto"/>
          <w:sz w:val="24"/>
          <w:highlight w:val="none"/>
          <w:lang w:val="en-US" w:eastAsia="zh-CN"/>
        </w:rPr>
        <w:t>（2）</w:t>
      </w:r>
      <w:r>
        <w:rPr>
          <w:rFonts w:hint="eastAsia" w:hAnsi="Times New Roman" w:cs="Times New Roman"/>
          <w:color w:val="auto"/>
          <w:sz w:val="24"/>
          <w:highlight w:val="none"/>
          <w:lang w:val="en-US" w:eastAsia="zh-CN"/>
        </w:rPr>
        <w:t>负责医院院污水处理站系统日常运行、管理、设备维护（维修）、水质检测等工作；负责污水处理站水质处理原料（次氯酸钠）采购、搬运、储存、使用中的安全及设备的运行操作安全；负责医院污水处理站清底工作，每年清底两次。负责投放活性泥一年一次。将严格按照《国家水污染防治法》和《北京市城市公共供水管理办法》等相关规定进行污水运营，提供的服务水平应达到《医疗机构水污染物排放标准》GB18466-2005 标准要求；</w:t>
      </w:r>
    </w:p>
    <w:p w14:paraId="7D55D01F">
      <w:pPr>
        <w:pStyle w:val="3"/>
        <w:numPr>
          <w:ilvl w:val="0"/>
          <w:numId w:val="0"/>
        </w:numPr>
        <w:spacing w:line="360" w:lineRule="auto"/>
        <w:rPr>
          <w:rFonts w:hint="eastAsia" w:hAnsi="Times New Roman" w:cs="Times New Roman"/>
          <w:color w:val="auto"/>
          <w:sz w:val="24"/>
          <w:highlight w:val="none"/>
          <w:lang w:val="en-US" w:eastAsia="zh-CN"/>
        </w:rPr>
      </w:pPr>
      <w:r>
        <w:rPr>
          <w:rFonts w:hint="eastAsia" w:cs="Times New Roman"/>
          <w:color w:val="auto"/>
          <w:sz w:val="24"/>
          <w:highlight w:val="none"/>
          <w:lang w:val="en-US" w:eastAsia="zh-CN"/>
        </w:rPr>
        <w:t>（3）</w:t>
      </w:r>
      <w:r>
        <w:rPr>
          <w:rFonts w:hint="eastAsia" w:hAnsi="Times New Roman" w:cs="Times New Roman"/>
          <w:color w:val="auto"/>
          <w:sz w:val="24"/>
          <w:highlight w:val="none"/>
          <w:lang w:val="en-US" w:eastAsia="zh-CN"/>
        </w:rPr>
        <w:t>负责污水处理站可靠安全运行管理和维修工作及相关设备的日常维保、维修工作（负责单次维修保养 1000 元的部分，单次维修保养费&gt;1000 元时上报院方，由院方安排进行维修）。制定医院污水处理站运营管理服务及附属设备、安全附件等设备的检修、检验、保养维修计划。建立、健全设备档案，收集、整理和完善技术资料。按要求对医院的污水处理站内所有设备运行状态进行巡视并做记录，按规定做好每日检测（余氯值、PH 值），并负责登录《北京市企事业单位环境信息公开平台》填报每日、周、月、季度各类数据）污水处理站要求设备机房 365 天×24 小时（全年无休息日）有人值守，值班电话 24 小时畅通，运营公司项目负责人通讯方式24 小时畅通。要求相关岗位主要管理人员不少于3 年工作经验，员工不少于 2 年工作经验，及时发现水质问题，并配合排除设备故障及隐患。</w:t>
      </w:r>
    </w:p>
    <w:p w14:paraId="78F69271">
      <w:r>
        <w:rPr>
          <w:rFonts w:hint="eastAsia" w:cs="Times New Roman"/>
          <w:color w:val="auto"/>
          <w:sz w:val="24"/>
          <w:highlight w:val="none"/>
          <w:lang w:val="en-US" w:eastAsia="zh-CN"/>
        </w:rPr>
        <w:t>（4）</w:t>
      </w:r>
      <w:r>
        <w:rPr>
          <w:rFonts w:hint="eastAsia" w:hAnsi="Times New Roman" w:cs="Times New Roman"/>
          <w:color w:val="auto"/>
          <w:sz w:val="24"/>
          <w:highlight w:val="none"/>
          <w:lang w:val="en-US" w:eastAsia="zh-CN"/>
        </w:rPr>
        <w:t>若污水处理系统出现问题或突发情况时，负责运营托管公司应30 分钟内做出反应，4 小时提供解决方案，6 小时解决问题或有效控制突发情况。</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07341"/>
    <w:rsid w:val="1AE0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Title"/>
    <w:basedOn w:val="1"/>
    <w:qFormat/>
    <w:uiPriority w:val="0"/>
    <w:pPr>
      <w:jc w:val="center"/>
      <w:outlineLvl w:val="0"/>
    </w:pPr>
    <w:rPr>
      <w:b/>
      <w:sz w:val="32"/>
      <w:szCs w:val="20"/>
    </w:rPr>
  </w:style>
  <w:style w:type="paragraph" w:customStyle="1" w:styleId="7">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2025-12-26T09:21:00Z</dcterms:created>
  <dc:creator>Desperado</dc:creator>
  <cp:lastModifiedBy>Desperado</cp:lastModifiedBy>
  <dcterms:modified xsi:type="dcterms:W3CDTF">2025-12-26T09:21:36Z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4766695359CC404B8E9D1C60F75ACE59_11</vt:lpwstr>
  </property>
  <property fmtid="{D5CDD505-2E9C-101B-9397-08002B2CF9AE}" pid="4" name="KSOTemplateDocerSaveRecord">
    <vt:lpwstr>eyJoZGlkIjoiZDE4OTk5ZDlhMzUyYmRkY2IwZWNjYmIyMGQ4YjIwMmUiLCJ1c2VySWQiOiIyNzA1NTg4NTgifQ==</vt:lpwstr>
  </property>
</Properties>
</file>