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B3976">
      <w:pPr>
        <w:pStyle w:val="2"/>
      </w:pPr>
      <w:r>
        <w:rPr>
          <w:rFonts w:hint="eastAsia"/>
        </w:rPr>
        <w:t>技术服务需求</w:t>
      </w:r>
    </w:p>
    <w:p w14:paraId="779355F3">
      <w:pPr>
        <w:pStyle w:val="7"/>
        <w:ind w:firstLine="480"/>
        <w:rPr>
          <w:rFonts w:hint="eastAsia"/>
        </w:rPr>
      </w:pPr>
    </w:p>
    <w:p w14:paraId="7FE2C176">
      <w:pPr>
        <w:pStyle w:val="8"/>
        <w:numPr>
          <w:ilvl w:val="0"/>
          <w:numId w:val="0"/>
        </w:numPr>
        <w:ind w:leftChars="0"/>
        <w:jc w:val="center"/>
        <w:rPr>
          <w:rFonts w:hint="eastAsia"/>
        </w:rPr>
      </w:pPr>
      <w:bookmarkStart w:id="0" w:name="_Toc126334094"/>
      <w:r>
        <w:rPr>
          <w:rFonts w:hint="eastAsia"/>
        </w:rPr>
        <w:t>采购需求一览表</w:t>
      </w:r>
      <w:bookmarkEnd w:id="0"/>
    </w:p>
    <w:tbl>
      <w:tblPr>
        <w:tblStyle w:val="5"/>
        <w:tblW w:w="9506" w:type="dxa"/>
        <w:jc w:val="center"/>
        <w:shd w:val="clear" w:color="auto" w:fill="FFFFFF"/>
        <w:tblLayout w:type="fixed"/>
        <w:tblCellMar>
          <w:top w:w="0" w:type="dxa"/>
          <w:left w:w="0" w:type="dxa"/>
          <w:bottom w:w="0" w:type="dxa"/>
          <w:right w:w="0" w:type="dxa"/>
        </w:tblCellMar>
      </w:tblPr>
      <w:tblGrid>
        <w:gridCol w:w="700"/>
        <w:gridCol w:w="710"/>
        <w:gridCol w:w="629"/>
        <w:gridCol w:w="693"/>
        <w:gridCol w:w="1071"/>
        <w:gridCol w:w="765"/>
        <w:gridCol w:w="714"/>
        <w:gridCol w:w="4224"/>
      </w:tblGrid>
      <w:tr w14:paraId="1FC901B7">
        <w:tblPrEx>
          <w:shd w:val="clear" w:color="auto" w:fill="FFFFFF"/>
          <w:tblCellMar>
            <w:top w:w="0" w:type="dxa"/>
            <w:left w:w="0" w:type="dxa"/>
            <w:bottom w:w="0" w:type="dxa"/>
            <w:right w:w="0" w:type="dxa"/>
          </w:tblCellMar>
        </w:tblPrEx>
        <w:trPr>
          <w:trHeight w:val="54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8D72C2A">
            <w:pPr>
              <w:spacing w:line="240" w:lineRule="auto"/>
              <w:jc w:val="center"/>
              <w:rPr>
                <w:sz w:val="21"/>
              </w:rPr>
            </w:pPr>
            <w:r>
              <w:rPr>
                <w:rFonts w:hint="eastAsia"/>
                <w:sz w:val="21"/>
              </w:rPr>
              <w:t>包件号</w:t>
            </w:r>
          </w:p>
        </w:tc>
        <w:tc>
          <w:tcPr>
            <w:tcW w:w="7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B486F62">
            <w:pPr>
              <w:spacing w:line="240" w:lineRule="auto"/>
              <w:jc w:val="center"/>
              <w:rPr>
                <w:sz w:val="21"/>
              </w:rPr>
            </w:pPr>
            <w:r>
              <w:rPr>
                <w:rFonts w:hint="eastAsia"/>
                <w:sz w:val="21"/>
              </w:rPr>
              <w:t>包件名称</w:t>
            </w:r>
          </w:p>
        </w:tc>
        <w:tc>
          <w:tcPr>
            <w:tcW w:w="629" w:type="dxa"/>
            <w:tcBorders>
              <w:top w:val="single" w:color="auto" w:sz="4" w:space="0"/>
              <w:left w:val="single" w:color="auto" w:sz="4" w:space="0"/>
              <w:bottom w:val="single" w:color="auto" w:sz="4" w:space="0"/>
              <w:right w:val="single" w:color="auto" w:sz="4" w:space="0"/>
            </w:tcBorders>
            <w:shd w:val="clear" w:color="auto" w:fill="FFFFFF"/>
            <w:vAlign w:val="center"/>
          </w:tcPr>
          <w:p w14:paraId="088ED80E">
            <w:pPr>
              <w:spacing w:line="240" w:lineRule="auto"/>
              <w:jc w:val="center"/>
              <w:rPr>
                <w:sz w:val="21"/>
              </w:rPr>
            </w:pPr>
            <w:r>
              <w:rPr>
                <w:rFonts w:hint="eastAsia"/>
                <w:sz w:val="21"/>
              </w:rPr>
              <w:t>标的名称</w:t>
            </w:r>
          </w:p>
        </w:tc>
        <w:tc>
          <w:tcPr>
            <w:tcW w:w="6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A3EB6F">
            <w:pPr>
              <w:spacing w:line="240" w:lineRule="auto"/>
              <w:jc w:val="center"/>
              <w:rPr>
                <w:sz w:val="21"/>
              </w:rPr>
            </w:pPr>
            <w:r>
              <w:rPr>
                <w:rFonts w:hint="eastAsia"/>
                <w:sz w:val="21"/>
              </w:rPr>
              <w:t>数量</w:t>
            </w:r>
          </w:p>
        </w:tc>
        <w:tc>
          <w:tcPr>
            <w:tcW w:w="10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0DB0B45">
            <w:pPr>
              <w:spacing w:line="240" w:lineRule="auto"/>
              <w:jc w:val="center"/>
              <w:rPr>
                <w:sz w:val="21"/>
              </w:rPr>
            </w:pPr>
            <w:r>
              <w:rPr>
                <w:rFonts w:hint="eastAsia"/>
                <w:sz w:val="21"/>
              </w:rPr>
              <w:t>预算</w:t>
            </w:r>
          </w:p>
          <w:p w14:paraId="408E0FBB">
            <w:pPr>
              <w:spacing w:line="240" w:lineRule="auto"/>
              <w:jc w:val="center"/>
              <w:rPr>
                <w:sz w:val="21"/>
              </w:rPr>
            </w:pPr>
            <w:r>
              <w:rPr>
                <w:rFonts w:hint="eastAsia"/>
                <w:sz w:val="21"/>
              </w:rPr>
              <w:t>（万元）</w:t>
            </w:r>
          </w:p>
        </w:tc>
        <w:tc>
          <w:tcPr>
            <w:tcW w:w="7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2746254">
            <w:pPr>
              <w:spacing w:line="240" w:lineRule="auto"/>
              <w:jc w:val="center"/>
              <w:rPr>
                <w:sz w:val="21"/>
              </w:rPr>
            </w:pPr>
            <w:r>
              <w:rPr>
                <w:rFonts w:hint="eastAsia"/>
                <w:sz w:val="21"/>
              </w:rPr>
              <w:t>服务期限</w:t>
            </w:r>
          </w:p>
        </w:tc>
        <w:tc>
          <w:tcPr>
            <w:tcW w:w="71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B375B4B">
            <w:pPr>
              <w:spacing w:line="240" w:lineRule="auto"/>
              <w:jc w:val="center"/>
              <w:rPr>
                <w:sz w:val="21"/>
              </w:rPr>
            </w:pPr>
            <w:r>
              <w:rPr>
                <w:rFonts w:hint="eastAsia"/>
                <w:sz w:val="21"/>
              </w:rPr>
              <w:t>服务地点</w:t>
            </w:r>
          </w:p>
        </w:tc>
        <w:tc>
          <w:tcPr>
            <w:tcW w:w="42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1731660">
            <w:pPr>
              <w:spacing w:line="240" w:lineRule="auto"/>
              <w:jc w:val="center"/>
              <w:rPr>
                <w:sz w:val="21"/>
              </w:rPr>
            </w:pPr>
            <w:r>
              <w:rPr>
                <w:rFonts w:hint="eastAsia"/>
                <w:sz w:val="21"/>
              </w:rPr>
              <w:t>项目基本概况</w:t>
            </w:r>
          </w:p>
        </w:tc>
      </w:tr>
      <w:tr w14:paraId="5C48555E">
        <w:tblPrEx>
          <w:shd w:val="clear" w:color="auto" w:fill="FFFFFF"/>
          <w:tblCellMar>
            <w:top w:w="0" w:type="dxa"/>
            <w:left w:w="0" w:type="dxa"/>
            <w:bottom w:w="0" w:type="dxa"/>
            <w:right w:w="0" w:type="dxa"/>
          </w:tblCellMar>
        </w:tblPrEx>
        <w:trPr>
          <w:trHeight w:val="759"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6AA5571">
            <w:pPr>
              <w:spacing w:line="240" w:lineRule="auto"/>
              <w:jc w:val="center"/>
              <w:rPr>
                <w:sz w:val="21"/>
              </w:rPr>
            </w:pPr>
            <w:r>
              <w:rPr>
                <w:sz w:val="21"/>
              </w:rPr>
              <w:t>1</w:t>
            </w:r>
          </w:p>
        </w:tc>
        <w:tc>
          <w:tcPr>
            <w:tcW w:w="7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8A88F2F">
            <w:pPr>
              <w:spacing w:line="240" w:lineRule="auto"/>
              <w:jc w:val="center"/>
              <w:rPr>
                <w:rFonts w:hint="eastAsia" w:eastAsiaTheme="minorEastAsia"/>
                <w:sz w:val="21"/>
                <w:lang w:eastAsia="zh-CN"/>
              </w:rPr>
            </w:pPr>
            <w:r>
              <w:rPr>
                <w:rFonts w:hint="eastAsia"/>
                <w:sz w:val="21"/>
                <w:lang w:eastAsia="zh-CN"/>
              </w:rPr>
              <w:t>金审三期运维服务</w:t>
            </w:r>
          </w:p>
        </w:tc>
        <w:tc>
          <w:tcPr>
            <w:tcW w:w="629" w:type="dxa"/>
            <w:tcBorders>
              <w:top w:val="single" w:color="auto" w:sz="4" w:space="0"/>
              <w:left w:val="single" w:color="auto" w:sz="4" w:space="0"/>
              <w:bottom w:val="single" w:color="auto" w:sz="4" w:space="0"/>
              <w:right w:val="single" w:color="auto" w:sz="4" w:space="0"/>
            </w:tcBorders>
            <w:shd w:val="clear" w:color="auto" w:fill="FFFFFF"/>
            <w:vAlign w:val="center"/>
          </w:tcPr>
          <w:p w14:paraId="63D0DB3D">
            <w:pPr>
              <w:spacing w:line="240" w:lineRule="auto"/>
              <w:jc w:val="center"/>
              <w:rPr>
                <w:sz w:val="21"/>
              </w:rPr>
            </w:pPr>
            <w:r>
              <w:rPr>
                <w:rFonts w:hint="eastAsia"/>
                <w:sz w:val="21"/>
                <w:lang w:eastAsia="zh-CN"/>
              </w:rPr>
              <w:t>金审三期运维服务</w:t>
            </w:r>
          </w:p>
        </w:tc>
        <w:tc>
          <w:tcPr>
            <w:tcW w:w="6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9936D95">
            <w:pPr>
              <w:spacing w:line="240" w:lineRule="auto"/>
              <w:jc w:val="center"/>
              <w:rPr>
                <w:rFonts w:hint="default" w:eastAsiaTheme="minorEastAsia"/>
                <w:sz w:val="21"/>
                <w:lang w:val="en-US" w:eastAsia="zh-CN"/>
              </w:rPr>
            </w:pPr>
            <w:r>
              <w:rPr>
                <w:rFonts w:hint="eastAsia"/>
                <w:sz w:val="21"/>
                <w:lang w:val="en-US" w:eastAsia="zh-CN"/>
              </w:rPr>
              <w:t>1项</w:t>
            </w:r>
          </w:p>
        </w:tc>
        <w:tc>
          <w:tcPr>
            <w:tcW w:w="10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CBDFF5C">
            <w:pPr>
              <w:spacing w:line="240" w:lineRule="auto"/>
              <w:jc w:val="center"/>
              <w:rPr>
                <w:rFonts w:hint="eastAsia" w:eastAsiaTheme="minorEastAsia"/>
                <w:sz w:val="21"/>
                <w:lang w:eastAsia="zh-CN"/>
              </w:rPr>
            </w:pPr>
            <w:r>
              <w:rPr>
                <w:rFonts w:hint="eastAsia"/>
                <w:sz w:val="21"/>
                <w:lang w:eastAsia="zh-CN"/>
              </w:rPr>
              <w:t>239.047</w:t>
            </w:r>
          </w:p>
        </w:tc>
        <w:tc>
          <w:tcPr>
            <w:tcW w:w="7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FD5FDD8">
            <w:pPr>
              <w:spacing w:line="240" w:lineRule="auto"/>
              <w:jc w:val="center"/>
              <w:rPr>
                <w:rFonts w:hint="eastAsia" w:eastAsiaTheme="minorEastAsia"/>
                <w:sz w:val="21"/>
                <w:lang w:eastAsia="zh-CN"/>
              </w:rPr>
            </w:pPr>
            <w:r>
              <w:rPr>
                <w:rFonts w:hint="eastAsia"/>
                <w:sz w:val="21"/>
              </w:rPr>
              <w:t>202</w:t>
            </w:r>
            <w:r>
              <w:rPr>
                <w:rFonts w:hint="eastAsia"/>
                <w:sz w:val="21"/>
                <w:lang w:val="en-US" w:eastAsia="zh-CN"/>
              </w:rPr>
              <w:t>6</w:t>
            </w:r>
            <w:r>
              <w:rPr>
                <w:rFonts w:hint="eastAsia"/>
                <w:sz w:val="21"/>
              </w:rPr>
              <w:t>年1月1日至12月31日</w:t>
            </w:r>
            <w:r>
              <w:rPr>
                <w:rFonts w:hint="eastAsia"/>
                <w:sz w:val="21"/>
                <w:lang w:eastAsia="zh-CN"/>
              </w:rPr>
              <w:t>。</w:t>
            </w:r>
          </w:p>
        </w:tc>
        <w:tc>
          <w:tcPr>
            <w:tcW w:w="71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40C9400">
            <w:pPr>
              <w:spacing w:line="240" w:lineRule="auto"/>
              <w:jc w:val="center"/>
              <w:rPr>
                <w:rFonts w:hint="eastAsia" w:eastAsiaTheme="minorEastAsia"/>
                <w:sz w:val="21"/>
                <w:lang w:eastAsia="zh-CN"/>
              </w:rPr>
            </w:pPr>
            <w:r>
              <w:rPr>
                <w:rFonts w:hint="eastAsia"/>
                <w:sz w:val="21"/>
              </w:rPr>
              <w:t>采购人指定地点</w:t>
            </w:r>
            <w:r>
              <w:rPr>
                <w:rFonts w:hint="eastAsia"/>
                <w:sz w:val="21"/>
                <w:lang w:eastAsia="zh-CN"/>
              </w:rPr>
              <w:t>。</w:t>
            </w:r>
          </w:p>
        </w:tc>
        <w:tc>
          <w:tcPr>
            <w:tcW w:w="42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E3BE221">
            <w:pPr>
              <w:spacing w:line="240" w:lineRule="auto"/>
              <w:jc w:val="center"/>
              <w:rPr>
                <w:sz w:val="21"/>
              </w:rPr>
            </w:pPr>
            <w:r>
              <w:rPr>
                <w:rFonts w:hint="eastAsia"/>
                <w:sz w:val="21"/>
              </w:rPr>
              <w:t>随着金审三期系统上线，需要引入驻场运维团队,开展运维保障工作，保障各应用系统的平稳上线和正常使用，提高运维管理和服务水平。坚持问题导向，对运维期间发现的各类问题及时响应、高效处理，将解决问题的技术方案形成经验知识库，构建“总体统筹、一站服务、专家支持、科学决策”的一体化运维体系。</w:t>
            </w:r>
          </w:p>
        </w:tc>
      </w:tr>
    </w:tbl>
    <w:p w14:paraId="4310D39A"/>
    <w:p w14:paraId="78690268">
      <w:pPr>
        <w:pStyle w:val="8"/>
        <w:numPr>
          <w:ilvl w:val="0"/>
          <w:numId w:val="0"/>
        </w:numPr>
        <w:ind w:leftChars="0"/>
        <w:jc w:val="center"/>
        <w:rPr>
          <w:rFonts w:hint="eastAsia"/>
        </w:rPr>
      </w:pPr>
      <w:bookmarkStart w:id="1" w:name="_Toc126334095"/>
      <w:r>
        <w:rPr>
          <w:rFonts w:hint="eastAsia"/>
        </w:rPr>
        <w:t>技术需求</w:t>
      </w:r>
      <w:bookmarkEnd w:id="1"/>
    </w:p>
    <w:p w14:paraId="62348799">
      <w:pPr>
        <w:pStyle w:val="2"/>
        <w:keepNext w:val="0"/>
        <w:keepLines w:val="0"/>
        <w:snapToGrid/>
        <w:spacing w:line="360" w:lineRule="auto"/>
        <w:ind w:left="0" w:firstLine="0"/>
        <w:jc w:val="both"/>
        <w:rPr>
          <w:rFonts w:hint="eastAsia" w:ascii="宋体" w:hAnsi="宋体" w:eastAsia="宋体" w:cs="宋体"/>
          <w:b/>
          <w:bCs/>
          <w:color w:val="auto"/>
          <w:w w:val="100"/>
          <w:kern w:val="2"/>
          <w:sz w:val="24"/>
          <w:szCs w:val="24"/>
          <w:highlight w:val="none"/>
          <w:lang w:val="en-US" w:eastAsia="zh-CN" w:bidi="ar-SA"/>
        </w:rPr>
      </w:pPr>
      <w:r>
        <w:rPr>
          <w:rFonts w:hint="eastAsia" w:ascii="宋体" w:hAnsi="宋体" w:eastAsia="宋体" w:cs="宋体"/>
          <w:b/>
          <w:bCs/>
          <w:color w:val="auto"/>
          <w:w w:val="100"/>
          <w:kern w:val="2"/>
          <w:sz w:val="24"/>
          <w:szCs w:val="24"/>
          <w:highlight w:val="none"/>
          <w:lang w:val="en-US" w:eastAsia="zh-CN" w:bidi="ar-SA"/>
        </w:rPr>
        <w:t>一、项目背景</w:t>
      </w:r>
    </w:p>
    <w:p w14:paraId="462D0A63">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北京金审工程三期项目建设（以下简称“金审三期”）在2023年9月完成竣工验收，项目正式上线后，需采购专业运维团队，以保障全市审计机关有效开展金审三期系统运维服务项目工作。</w:t>
      </w:r>
    </w:p>
    <w:p w14:paraId="429440F5">
      <w:pPr>
        <w:pStyle w:val="4"/>
        <w:autoSpaceDE w:val="0"/>
        <w:autoSpaceDN w:val="0"/>
        <w:spacing w:line="360" w:lineRule="auto"/>
        <w:rPr>
          <w:rFonts w:hint="eastAsia" w:ascii="宋体" w:hAnsi="宋体" w:eastAsia="宋体" w:cs="宋体"/>
          <w:color w:val="auto"/>
          <w:sz w:val="24"/>
          <w:szCs w:val="24"/>
          <w:highlight w:val="none"/>
        </w:rPr>
      </w:pPr>
    </w:p>
    <w:p w14:paraId="21582934">
      <w:pPr>
        <w:pStyle w:val="2"/>
        <w:keepNext w:val="0"/>
        <w:keepLines w:val="0"/>
        <w:snapToGrid/>
        <w:spacing w:line="360" w:lineRule="auto"/>
        <w:ind w:left="0" w:firstLine="0"/>
        <w:jc w:val="both"/>
        <w:rPr>
          <w:rFonts w:hint="eastAsia" w:ascii="宋体" w:hAnsi="宋体" w:eastAsia="宋体" w:cs="宋体"/>
          <w:b/>
          <w:bCs/>
          <w:color w:val="auto"/>
          <w:w w:val="100"/>
          <w:kern w:val="2"/>
          <w:sz w:val="24"/>
          <w:szCs w:val="24"/>
          <w:highlight w:val="none"/>
          <w:lang w:val="en-US" w:eastAsia="zh-CN" w:bidi="ar-SA"/>
        </w:rPr>
      </w:pPr>
      <w:r>
        <w:rPr>
          <w:rFonts w:hint="eastAsia" w:ascii="宋体" w:hAnsi="宋体" w:eastAsia="宋体" w:cs="宋体"/>
          <w:b/>
          <w:bCs/>
          <w:color w:val="auto"/>
          <w:w w:val="100"/>
          <w:kern w:val="2"/>
          <w:sz w:val="24"/>
          <w:szCs w:val="24"/>
          <w:highlight w:val="none"/>
          <w:lang w:val="en-US" w:eastAsia="zh-CN" w:bidi="ar-SA"/>
        </w:rPr>
        <w:t>二、服务目标与原则</w:t>
      </w:r>
    </w:p>
    <w:p w14:paraId="7FFAB833">
      <w:pPr>
        <w:pStyle w:val="3"/>
        <w:keepNext w:val="0"/>
        <w:keepLines w:val="0"/>
        <w:snapToGrid/>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（一）服务目标</w:t>
      </w:r>
    </w:p>
    <w:p w14:paraId="47CC97D5">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着金审三期系统上线，需要引入驻场运维团队,开展运维保障工作，保障各应用系统的平稳上线和正常使用，提高运维管理和服务水平。坚持问题导向，对运维期间发现的各类问题及时响应、高效处理，将解决问题的技术方案形成经验知识库，构建“总体统筹、一站服务、专家支持、科学决策”的一体化运维体系。</w:t>
      </w:r>
    </w:p>
    <w:p w14:paraId="26F10294">
      <w:pPr>
        <w:pStyle w:val="3"/>
        <w:keepNext w:val="0"/>
        <w:keepLines w:val="0"/>
        <w:snapToGrid/>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服务原则</w:t>
      </w:r>
    </w:p>
    <w:p w14:paraId="379263C7">
      <w:pPr>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供应商应按如下原则提供运维服务：</w:t>
      </w:r>
    </w:p>
    <w:p w14:paraId="7C791802">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1．统筹规划，统一服务：在北京市审计局信息化运维服务总体规划框架指导下，为北京市审计局提供系统运维服务。</w:t>
      </w:r>
    </w:p>
    <w:p w14:paraId="31312CBA">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2．关注日常，保障应急：保证日常运维服务有序平稳进行，同时面对紧急情况制定应急方案，保障系统在应急情况下快速恢复并正常运转。</w:t>
      </w:r>
    </w:p>
    <w:p w14:paraId="1514622E">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3．规范管理，确保安全：依据规范化运维服务规范、流程、制度实施运维服务，确保系统运行安全。</w:t>
      </w:r>
    </w:p>
    <w:p w14:paraId="18DA731E">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4．提高质量，积极探索：在已有的运维经验基础上，不断改进服务质量，探索符合实际现状的服务模式。</w:t>
      </w:r>
    </w:p>
    <w:p w14:paraId="020E8404">
      <w:pPr>
        <w:pStyle w:val="4"/>
        <w:autoSpaceDE w:val="0"/>
        <w:autoSpaceDN w:val="0"/>
        <w:spacing w:line="360" w:lineRule="auto"/>
        <w:rPr>
          <w:rFonts w:hint="eastAsia" w:ascii="宋体" w:hAnsi="宋体" w:eastAsia="宋体" w:cs="宋体"/>
          <w:color w:val="auto"/>
          <w:sz w:val="24"/>
          <w:szCs w:val="24"/>
          <w:highlight w:val="none"/>
        </w:rPr>
      </w:pPr>
    </w:p>
    <w:p w14:paraId="2BB86683">
      <w:pPr>
        <w:pStyle w:val="2"/>
        <w:keepNext w:val="0"/>
        <w:keepLines w:val="0"/>
        <w:snapToGrid/>
        <w:spacing w:line="360" w:lineRule="auto"/>
        <w:ind w:left="0" w:firstLine="0"/>
        <w:jc w:val="both"/>
        <w:rPr>
          <w:rFonts w:hint="eastAsia" w:ascii="宋体" w:hAnsi="宋体" w:eastAsia="宋体" w:cs="宋体"/>
          <w:b/>
          <w:bCs/>
          <w:color w:val="auto"/>
          <w:w w:val="100"/>
          <w:kern w:val="2"/>
          <w:sz w:val="24"/>
          <w:szCs w:val="24"/>
          <w:highlight w:val="none"/>
          <w:lang w:val="en-US" w:eastAsia="zh-CN" w:bidi="ar-SA"/>
        </w:rPr>
      </w:pPr>
      <w:r>
        <w:rPr>
          <w:rFonts w:hint="eastAsia" w:ascii="宋体" w:hAnsi="宋体" w:eastAsia="宋体" w:cs="宋体"/>
          <w:b/>
          <w:bCs/>
          <w:color w:val="auto"/>
          <w:w w:val="100"/>
          <w:kern w:val="2"/>
          <w:sz w:val="24"/>
          <w:szCs w:val="24"/>
          <w:highlight w:val="none"/>
          <w:lang w:val="en-US" w:eastAsia="zh-CN" w:bidi="ar-SA"/>
        </w:rPr>
        <w:t>三、服务要求</w:t>
      </w:r>
    </w:p>
    <w:p w14:paraId="006FC966">
      <w:pPr>
        <w:pStyle w:val="3"/>
        <w:keepNext w:val="0"/>
        <w:keepLines w:val="0"/>
        <w:snapToGrid/>
        <w:spacing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（一）服务期限</w:t>
      </w:r>
    </w:p>
    <w:p w14:paraId="6935E23D">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本次采购的服务期限为202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年1月1日至202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年12月31日。</w:t>
      </w:r>
    </w:p>
    <w:p w14:paraId="32CF54D9">
      <w:pPr>
        <w:pStyle w:val="3"/>
        <w:keepNext w:val="0"/>
        <w:keepLines w:val="0"/>
        <w:snapToGrid/>
        <w:spacing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（二）服务范围</w:t>
      </w:r>
    </w:p>
    <w:p w14:paraId="49AC9D92">
      <w:pPr>
        <w:pStyle w:val="4"/>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金审三期建设的4大应用系统（包括国家审计大数据中心、审计综合作业平台、审计数字化管理平台及综合服务支撑系统，共涉及16个分系统）、相关支撑软件以及网络安全等的运维服务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采购原厂维保服务，成品软件维保服务期为2026年1月1日至2026年12月31日，硬件设备维保服务期为2026年1月17日至2026年12月31日</w:t>
      </w:r>
      <w:r>
        <w:rPr>
          <w:rFonts w:hint="eastAsia" w:ascii="宋体" w:hAnsi="宋体" w:eastAsia="宋体" w:cs="宋体"/>
          <w:color w:val="auto"/>
          <w:sz w:val="24"/>
          <w:szCs w:val="24"/>
          <w:highlight w:val="none"/>
          <w:lang w:eastAsia="zh-CN"/>
        </w:rPr>
        <w:t>。</w:t>
      </w:r>
    </w:p>
    <w:p w14:paraId="536C99EA">
      <w:pPr>
        <w:pStyle w:val="3"/>
        <w:keepNext w:val="0"/>
        <w:keepLines w:val="0"/>
        <w:snapToGrid/>
        <w:spacing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（三）服务对象</w:t>
      </w:r>
    </w:p>
    <w:p w14:paraId="2D76D743">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北京市审计局及17个区级审计机关。</w:t>
      </w:r>
    </w:p>
    <w:p w14:paraId="740CA117">
      <w:pPr>
        <w:pStyle w:val="3"/>
        <w:keepNext w:val="0"/>
        <w:keepLines w:val="0"/>
        <w:snapToGrid/>
        <w:spacing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（四）服务内容</w:t>
      </w:r>
    </w:p>
    <w:p w14:paraId="53F2D09E">
      <w:pPr>
        <w:autoSpaceDE w:val="0"/>
        <w:autoSpaceDN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金审三期</w:t>
      </w:r>
      <w:r>
        <w:rPr>
          <w:rFonts w:hint="eastAsia" w:ascii="宋体" w:hAnsi="宋体" w:eastAsia="宋体" w:cs="宋体"/>
          <w:color w:val="auto"/>
          <w:sz w:val="24"/>
          <w:szCs w:val="24"/>
          <w:highlight w:val="none"/>
          <w:lang w:val="en-US" w:eastAsia="zh-CN"/>
        </w:rPr>
        <w:t>成品软件维保原厂采购</w:t>
      </w:r>
      <w:r>
        <w:rPr>
          <w:rFonts w:hint="eastAsia" w:ascii="宋体" w:hAnsi="宋体" w:eastAsia="宋体" w:cs="宋体"/>
          <w:color w:val="auto"/>
          <w:sz w:val="24"/>
          <w:szCs w:val="24"/>
          <w:highlight w:val="none"/>
        </w:rPr>
        <w:t>服务：</w:t>
      </w:r>
    </w:p>
    <w:p w14:paraId="6C190C43">
      <w:pPr>
        <w:autoSpaceDE w:val="0"/>
        <w:autoSpaceDN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市局</w:t>
      </w:r>
      <w:r>
        <w:rPr>
          <w:rFonts w:hint="eastAsia" w:ascii="宋体" w:hAnsi="宋体" w:eastAsia="宋体" w:cs="宋体"/>
          <w:color w:val="auto"/>
          <w:sz w:val="24"/>
          <w:szCs w:val="24"/>
          <w:highlight w:val="none"/>
          <w:lang w:val="en-US" w:eastAsia="zh-CN"/>
        </w:rPr>
        <w:t>审计专网及审计数据分析网部署的相关成品软件在2025年12月31日出质保期，为保证相关应用系统和业务的正常运行，需采购维保服务。供应商需向原厂采购成品软件维保服务，维保服务期为2026年1月1日至2026年12月31日。</w:t>
      </w:r>
    </w:p>
    <w:p w14:paraId="1F2DC67E">
      <w:pPr>
        <w:numPr>
          <w:ilvl w:val="0"/>
          <w:numId w:val="0"/>
        </w:numPr>
        <w:autoSpaceDE w:val="0"/>
        <w:autoSpaceDN w:val="0"/>
        <w:snapToGrid/>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成品软件详细清单如下：</w:t>
      </w:r>
    </w:p>
    <w:tbl>
      <w:tblPr>
        <w:tblStyle w:val="5"/>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0"/>
        <w:gridCol w:w="3178"/>
        <w:gridCol w:w="3652"/>
        <w:gridCol w:w="990"/>
        <w:gridCol w:w="990"/>
      </w:tblGrid>
      <w:tr w14:paraId="0376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501B9">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C4F60">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名称</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6D8BE">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品牌/型号/产地</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685C6">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9DD39B">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p>
        </w:tc>
      </w:tr>
      <w:tr w14:paraId="51B4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D1FBD">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797D3">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审计专网-目录服务系统</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11893">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南大通用GBase8d目录服务软件</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7D9D65">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FA5C6">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5074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1FCE4E">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58813">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审计专网-RA(Registration Authority)系统（含Online系统）</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949C4">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格尔SZT0901-RA V6.6.0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格尔SZT0901-RA Online V6.5.9</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B267C1">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8EF62">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28E6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3BB49">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1EB98">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审计专网-密钥管理系统</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9E9C4">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海泰方圆SJT1811-G数据加解密系统</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BB487">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77508">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3CB4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4AD73">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D44C2">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审计专网-签名验签系统</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7314D">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海泰方圆SRT1716-G电子文件安全验证系统</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BF5CF">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C83A5">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25B3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37424">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3D5B6">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数据分析网-目录服务系统</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4F611">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南大通用GBase8d目录服务软件</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B85FC">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BE891">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1F23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CF1CE">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0DC48">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数据分析网-密钥管理系统</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17045">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海泰方圆SJT1811-G数据加解密系统</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48AFF">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B01407">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5E25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1F372">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D2D4E">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数据分析网-签名验签系统</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83598">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海泰方圆SRT1716-G电子文件安全验证系统</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F13688">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E54EC">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2635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3E7B6">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CA6BFF">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审计专网-应用中间件软件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1071B">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东方通应用服务器软件TongWebV7.0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B6BC7">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3EB93">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1D19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605F93">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021D5">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审计专网-消息中间件软件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36AD1">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东方通消息中间件软件TongLink/Q V8.1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7C39D">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7824BA">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3D74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8C7FB">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5CB16">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审计专网-关系数据库软件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F633D">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神通数据库管理系统（企业版）V7.0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2F856">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010CF">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5E60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AF277">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53840">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审计专网-MPP分布式数据仓库软件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D328A">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神通数据库管理系统（MPP集群版）V7.0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413F3">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C1ACC">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406D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9EA22">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DD63C">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审计专网-分布式文本检索软件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B45555">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神通T-Search文本检索系统V4.0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2CF5C0">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001C0">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3A46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045CD">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8070E">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审计专网-报表软件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BD313">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神通K-Front报表管理系统V3.5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4A00F">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8F3E9">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3DCE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A99CA">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70B502">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审计专网-对象存储数据抓取管理软件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AD830C">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神通分布式对象存储系统（神通ObjectDB）V2.0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928CD">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34D9C">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4C70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27F0C">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44F19">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数据分析网-应用中间件软件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55283">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东方通应用服务器软件TongWebV7.0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46F66">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8F32B">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4100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2A166">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D2DED">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数据分析网-消息中间件软件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79B52">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东方通消息中间件软件TongLink/Q V8.1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6A1E73">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5FB7F">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1865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1210C">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1292B">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数据分析网-关系数据库软件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17C1B">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神通数据库管理系统（企业版）V7.0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A62D9">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2CA74">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5E04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62D173">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0D803">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数据分析网-MPP分布式数据仓库软件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F438AD">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神通数据库管理系统（MPP集群版）V7.0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C1A01">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5AA19">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60D5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3D993">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D0F41">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数据分析网-报表软件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D2B87">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神通K-Front报表管理系统V3.5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8D281D">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FCCA5">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r w14:paraId="75D5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7A80F">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FD862">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数据分析网-对象存储数据抓取管理软件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DC0F2">
            <w:pPr>
              <w:widowControl/>
              <w:spacing w:beforeAutospacing="1"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神通分布式对象存储系统（神通ObjectDB）V2.0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E045D2">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DFA0F">
            <w:pPr>
              <w:widowControl/>
              <w:spacing w:beforeAutospacing="1" w:afterAutospacing="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r>
    </w:tbl>
    <w:p w14:paraId="1B6E901F">
      <w:pPr>
        <w:autoSpaceDE w:val="0"/>
        <w:autoSpaceDN w:val="0"/>
        <w:snapToGrid/>
        <w:spacing w:line="360" w:lineRule="auto"/>
        <w:rPr>
          <w:rFonts w:hint="eastAsia" w:ascii="宋体" w:hAnsi="宋体" w:eastAsia="宋体" w:cs="宋体"/>
          <w:color w:val="auto"/>
          <w:sz w:val="24"/>
          <w:szCs w:val="24"/>
          <w:highlight w:val="none"/>
          <w:lang w:val="en-US" w:eastAsia="zh-CN"/>
        </w:rPr>
      </w:pPr>
    </w:p>
    <w:p w14:paraId="7BBF94F1">
      <w:pPr>
        <w:autoSpaceDE w:val="0"/>
        <w:autoSpaceDN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金审三期</w:t>
      </w:r>
      <w:r>
        <w:rPr>
          <w:rFonts w:hint="eastAsia" w:ascii="宋体" w:hAnsi="宋体" w:eastAsia="宋体" w:cs="宋体"/>
          <w:color w:val="auto"/>
          <w:sz w:val="24"/>
          <w:szCs w:val="24"/>
          <w:highlight w:val="none"/>
          <w:lang w:val="en-US" w:eastAsia="zh-CN"/>
        </w:rPr>
        <w:t>硬件设备维保原厂采购</w:t>
      </w:r>
      <w:r>
        <w:rPr>
          <w:rFonts w:hint="eastAsia" w:ascii="宋体" w:hAnsi="宋体" w:eastAsia="宋体" w:cs="宋体"/>
          <w:color w:val="auto"/>
          <w:sz w:val="24"/>
          <w:szCs w:val="24"/>
          <w:highlight w:val="none"/>
        </w:rPr>
        <w:t>服务：</w:t>
      </w:r>
    </w:p>
    <w:p w14:paraId="0CA7784C">
      <w:pPr>
        <w:autoSpaceDE w:val="0"/>
        <w:autoSpaceDN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市局</w:t>
      </w:r>
      <w:r>
        <w:rPr>
          <w:rFonts w:hint="eastAsia" w:ascii="宋体" w:hAnsi="宋体" w:eastAsia="宋体" w:cs="宋体"/>
          <w:color w:val="auto"/>
          <w:sz w:val="24"/>
          <w:szCs w:val="24"/>
          <w:highlight w:val="none"/>
          <w:lang w:val="en-US" w:eastAsia="zh-CN"/>
        </w:rPr>
        <w:t>审计专网及审计数据分析网基础环境部署的硬件设备将在2026年1月16日出质保期，为保证相关应用系统和业务的正常运行，需采购维保服务。供应商需向原厂采购硬件设备维保服务，维保服务期为2026年1月17日至2026年12月31日。</w:t>
      </w:r>
    </w:p>
    <w:p w14:paraId="39312F1A">
      <w:pPr>
        <w:numPr>
          <w:ilvl w:val="0"/>
          <w:numId w:val="0"/>
        </w:numPr>
        <w:autoSpaceDE w:val="0"/>
        <w:autoSpaceDN w:val="0"/>
        <w:snapToGrid/>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硬件设备详细清单如下：</w:t>
      </w:r>
    </w:p>
    <w:tbl>
      <w:tblPr>
        <w:tblStyle w:val="5"/>
        <w:tblW w:w="94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0"/>
        <w:gridCol w:w="3127"/>
        <w:gridCol w:w="3513"/>
        <w:gridCol w:w="1106"/>
        <w:gridCol w:w="1106"/>
      </w:tblGrid>
      <w:tr w14:paraId="1095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07F1070">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1860306">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硬件名称</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8E7AA82">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品牌/型号/产地</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BE1CD97">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C5220DA">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r>
      <w:tr w14:paraId="1940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4A74FBE">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344633A">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审计专网-网络接入区防火墙</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7D520A1">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深信服AF-2000-FH2350B-S3</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5BB044C">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895587C">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6394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6B2B4E3">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352FD6F">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审计专网-终端准入系统</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278071C">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深信服AC-1000-B1500-SK</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E50FEB">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DE2D3B8">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16C3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8D24859">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AE3B24">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审计专网-CA安全认证网关</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BAB60D">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格尔CA网关 SRJ1505 SJ3000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5B5AAA6">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48AEAE5D">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69F5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56DE47C">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2C7F328">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审计专网-RA加密机</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9E398DB">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三未信安加密机 SJJ1012-A</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F103742">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8BDAE47">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3D1F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BA7A76">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FCE22AA">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审计专网-服务器密码机</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801981">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三未信安SJJ1948-G服务器密码机</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A9BBAFF">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6567C4D">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75CA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45ABDC0">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C57F298">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数据分析网-网络接入区防火墙</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376FD411">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深信服AF-2000-FH2350B-S3</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9952BAD">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5E52738B">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137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3A3B912">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0F9D66E">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数据分析网-CA安全认证网关</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B090163">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格尔CA网关 SRJ1505 SJ1000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D44F09B">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621A36A3">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6629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2D1860BE">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15619C35">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数据分析网-服务器密码机</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995D8CD">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三未信安SJJ1948-G服务器密码机</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06362568">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5" w:type="dxa"/>
              <w:left w:w="5" w:type="dxa"/>
              <w:right w:w="5" w:type="dxa"/>
            </w:tcMar>
            <w:vAlign w:val="center"/>
          </w:tcPr>
          <w:p w14:paraId="74586681">
            <w:pPr>
              <w:widowControl/>
              <w:spacing w:beforeAutospacing="1" w:afterAutospacing="1"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bl>
    <w:p w14:paraId="3FA58D07">
      <w:pPr>
        <w:autoSpaceDE w:val="0"/>
        <w:autoSpaceDN w:val="0"/>
        <w:snapToGrid/>
        <w:spacing w:line="360" w:lineRule="auto"/>
        <w:rPr>
          <w:rFonts w:hint="eastAsia" w:ascii="宋体" w:hAnsi="宋体" w:eastAsia="宋体" w:cs="宋体"/>
          <w:color w:val="auto"/>
          <w:sz w:val="24"/>
          <w:szCs w:val="24"/>
          <w:highlight w:val="none"/>
          <w:lang w:val="en-US" w:eastAsia="zh-CN"/>
        </w:rPr>
      </w:pPr>
    </w:p>
    <w:p w14:paraId="3C057E20">
      <w:pPr>
        <w:autoSpaceDE w:val="0"/>
        <w:autoSpaceDN w:val="0"/>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．应用系统运维服务：</w:t>
      </w:r>
    </w:p>
    <w:p w14:paraId="566EDF47">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审计大数据中心、审计综合作业平台、审计数字化管理平台及综合服务支撑系统的实时监测、巡检、系统调试、数据备份及检查、应急支持及演练等服务，并对各区级审计机关使用金审三期各应用系统提供远程技术支持。</w:t>
      </w:r>
    </w:p>
    <w:p w14:paraId="41D8CC3D">
      <w:pPr>
        <w:autoSpaceDE w:val="0"/>
        <w:autoSpaceDN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．支撑环境运维服务：</w:t>
      </w:r>
    </w:p>
    <w:p w14:paraId="4C9E3EE1">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对金审三期使用的应用中间件、消息中间件等支撑系统的运维服务，包括实时监测、巡检、调试、应急处置等服务。</w:t>
      </w:r>
    </w:p>
    <w:p w14:paraId="2E162502">
      <w:pPr>
        <w:autoSpaceDE w:val="0"/>
        <w:autoSpaceDN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．终端相关软件运维：</w:t>
      </w:r>
    </w:p>
    <w:p w14:paraId="5832E2C0">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针对市局及区审计局终端安装的金审三期相关软件的安装、调试与配置等提供指导及技术支持服务（区审计局为远程服务）。</w:t>
      </w:r>
    </w:p>
    <w:p w14:paraId="531A1E74">
      <w:pPr>
        <w:autoSpaceDE w:val="0"/>
        <w:autoSpaceDN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．基础环境运维服务：</w:t>
      </w:r>
    </w:p>
    <w:p w14:paraId="024100D1">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金审三期建设使用的网络设备、安全设备等的日常运维工作，主要包括设备状态及网络连通性实时监测、配置调试、巡检、应急处置等工作。各区审计局接入金审三期审计专网的网络、安全设备运维，由北京市审计局驻场运维人员提供远程技术支持。</w:t>
      </w:r>
    </w:p>
    <w:p w14:paraId="77ABA4EE">
      <w:pPr>
        <w:autoSpaceDE w:val="0"/>
        <w:autoSpaceDN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．市局京OA和原有系统融合部分技术支持：</w:t>
      </w:r>
    </w:p>
    <w:p w14:paraId="40A439F6">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对京OA融合和原有系统融合数据传输和统一权限部分内容提供运维支撑。</w:t>
      </w:r>
    </w:p>
    <w:p w14:paraId="097F8991">
      <w:pPr>
        <w:autoSpaceDE w:val="0"/>
        <w:autoSpaceDN w:val="0"/>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．其他技术支撑：</w:t>
      </w:r>
    </w:p>
    <w:p w14:paraId="16AF8CD4">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解答、指导用户在金审三期系统使用过程中遇到的各种操作和技术问题。</w:t>
      </w:r>
    </w:p>
    <w:p w14:paraId="2F53E4F0">
      <w:pPr>
        <w:pStyle w:val="4"/>
        <w:autoSpaceDE w:val="0"/>
        <w:autoSpaceDN w:val="0"/>
        <w:spacing w:line="360" w:lineRule="auto"/>
        <w:rPr>
          <w:rFonts w:hint="eastAsia" w:ascii="宋体" w:hAnsi="宋体" w:eastAsia="宋体" w:cs="宋体"/>
          <w:color w:val="auto"/>
          <w:sz w:val="24"/>
          <w:szCs w:val="24"/>
          <w:highlight w:val="none"/>
        </w:rPr>
      </w:pPr>
    </w:p>
    <w:p w14:paraId="7F9B7FAF">
      <w:pPr>
        <w:pStyle w:val="2"/>
        <w:keepNext w:val="0"/>
        <w:keepLines w:val="0"/>
        <w:snapToGrid/>
        <w:spacing w:line="360" w:lineRule="auto"/>
        <w:ind w:left="0" w:firstLine="0"/>
        <w:jc w:val="both"/>
        <w:rPr>
          <w:rFonts w:hint="eastAsia" w:ascii="宋体" w:hAnsi="宋体" w:eastAsia="宋体" w:cs="宋体"/>
          <w:b/>
          <w:bCs/>
          <w:color w:val="auto"/>
          <w:w w:val="100"/>
          <w:kern w:val="2"/>
          <w:sz w:val="24"/>
          <w:szCs w:val="24"/>
          <w:highlight w:val="none"/>
          <w:lang w:val="en-US" w:eastAsia="zh-CN" w:bidi="ar-SA"/>
        </w:rPr>
      </w:pPr>
      <w:r>
        <w:rPr>
          <w:rFonts w:hint="eastAsia" w:ascii="宋体" w:hAnsi="宋体" w:eastAsia="宋体" w:cs="宋体"/>
          <w:b/>
          <w:bCs/>
          <w:color w:val="auto"/>
          <w:w w:val="100"/>
          <w:kern w:val="2"/>
          <w:sz w:val="24"/>
          <w:szCs w:val="24"/>
          <w:highlight w:val="none"/>
          <w:lang w:val="en-US" w:eastAsia="zh-CN" w:bidi="ar-SA"/>
        </w:rPr>
        <w:t>四、服务方式与机制</w:t>
      </w:r>
    </w:p>
    <w:p w14:paraId="0F31705A">
      <w:pPr>
        <w:pStyle w:val="3"/>
        <w:keepNext w:val="0"/>
        <w:keepLines w:val="0"/>
        <w:snapToGrid/>
        <w:spacing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（一）服务方式</w:t>
      </w:r>
    </w:p>
    <w:p w14:paraId="4FEF6B8F">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供应商需要提供以下方式几种服务方式：</w:t>
      </w:r>
    </w:p>
    <w:p w14:paraId="6D1C1E5E">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1．驻场服务：针对上述服务内容，安排5名专业技术人员常驻北京市审计局现场办公，提供5*8小时驻场运维服务，并且需保持7*24小时联络畅通。主要工作包括软件使用指导、协助业务开展、问题解答、培训等。</w:t>
      </w:r>
    </w:p>
    <w:p w14:paraId="0FB0EE30">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服务：在驻场人员提供的支持服务不能满足服务要求的情况下，对于不能通过电话、远程在线诊断处理解决的紧急问题，供应商后台技术支持人员将做出快速现场服务响应。维护期内技术支持人员负责在3个小时内赴现场进行故障处理。特殊情况与采购人协商解决。</w:t>
      </w:r>
    </w:p>
    <w:p w14:paraId="1B0CB90A">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3．后台技术支持：除了安排现场运维人员外，应配备相应的技术支持团队做必要的后台技术支持（二线支持），在遇到相应系统业务复杂操作或开发情况等，技术团队将进行相应的支持工作。</w:t>
      </w:r>
    </w:p>
    <w:p w14:paraId="0613CD82">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4．远程服务：对17个区级审计机关用户提供远程线上或电话咨询服务。</w:t>
      </w:r>
    </w:p>
    <w:p w14:paraId="4E863737">
      <w:pPr>
        <w:pStyle w:val="3"/>
        <w:keepNext w:val="0"/>
        <w:keepLines w:val="0"/>
        <w:snapToGrid/>
        <w:spacing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lang w:eastAsia="zh-CN"/>
        </w:rPr>
        <w:t>）服务保障</w:t>
      </w:r>
    </w:p>
    <w:p w14:paraId="66FC523D">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对金审三期系统，供应商需要提供以下几种方式进行服务保障:</w:t>
      </w:r>
    </w:p>
    <w:p w14:paraId="417BB470">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1．做好各类故障的排查分析、应急处置及系统恢复工作，应用系统年度平均故障间隔时间应不小于720小时、年度平均系统恢复时间应在4小时内。用户服务请求相应时间应在10分钟内。</w:t>
      </w:r>
    </w:p>
    <w:p w14:paraId="424A2201">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2．按照北京市审计局运维规范要求，每日开展1次应用系统巡检，并填写每日巡检记录单；</w:t>
      </w:r>
    </w:p>
    <w:p w14:paraId="2233D4F3">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3．按照北京市审计局运维规范要求，每季度开展1次工作汇报，并提交季度工作报告；</w:t>
      </w:r>
    </w:p>
    <w:p w14:paraId="4C34A612">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4．按照北京市审计局要求，项目运维期结束应开展项目验收，其内容主要包括技术支持服务总结报告和相应的过程交付物文档。项目组负责提交技术支持服务总结报告，整理并提交相关过程交付物文档。</w:t>
      </w:r>
    </w:p>
    <w:p w14:paraId="420EBE0C">
      <w:pPr>
        <w:pStyle w:val="4"/>
        <w:autoSpaceDE w:val="0"/>
        <w:autoSpaceDN w:val="0"/>
        <w:spacing w:line="360" w:lineRule="auto"/>
        <w:rPr>
          <w:rFonts w:hint="eastAsia" w:ascii="宋体" w:hAnsi="宋体" w:eastAsia="宋体" w:cs="宋体"/>
          <w:color w:val="auto"/>
          <w:sz w:val="24"/>
          <w:szCs w:val="24"/>
          <w:highlight w:val="none"/>
        </w:rPr>
      </w:pPr>
    </w:p>
    <w:p w14:paraId="187707AF">
      <w:pPr>
        <w:pStyle w:val="2"/>
        <w:keepNext w:val="0"/>
        <w:keepLines w:val="0"/>
        <w:snapToGrid/>
        <w:spacing w:line="360" w:lineRule="auto"/>
        <w:ind w:left="0" w:firstLine="0"/>
        <w:jc w:val="both"/>
        <w:rPr>
          <w:rFonts w:hint="eastAsia" w:ascii="宋体" w:hAnsi="宋体" w:eastAsia="宋体" w:cs="宋体"/>
          <w:b/>
          <w:bCs/>
          <w:color w:val="auto"/>
          <w:w w:val="100"/>
          <w:kern w:val="2"/>
          <w:sz w:val="24"/>
          <w:szCs w:val="24"/>
          <w:highlight w:val="none"/>
          <w:lang w:val="en-US" w:eastAsia="zh-CN" w:bidi="ar-SA"/>
        </w:rPr>
      </w:pPr>
      <w:r>
        <w:rPr>
          <w:rFonts w:hint="eastAsia" w:ascii="宋体" w:hAnsi="宋体" w:eastAsia="宋体" w:cs="宋体"/>
          <w:b/>
          <w:bCs/>
          <w:color w:val="auto"/>
          <w:w w:val="100"/>
          <w:kern w:val="2"/>
          <w:sz w:val="24"/>
          <w:szCs w:val="24"/>
          <w:highlight w:val="none"/>
          <w:lang w:val="en-US" w:eastAsia="zh-CN" w:bidi="ar-SA"/>
        </w:rPr>
        <w:t>五、服务团队要求</w:t>
      </w:r>
    </w:p>
    <w:p w14:paraId="4AF6432B">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1．供应商需派出5名驻场工程师，在项目服务期内提供日常驻场服务。当驻场工程师无法解决问题时或技术力量不足时，供应商应及时提供后援技术支持和补充。</w:t>
      </w:r>
    </w:p>
    <w:p w14:paraId="6D5A9E09">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2．组建远程专家团队，对驻场运维工作提供远程指导，并对疑难问题提出解决方案，支撑驻场工程师工作顺利进行。</w:t>
      </w:r>
    </w:p>
    <w:p w14:paraId="603D904B">
      <w:pPr>
        <w:pStyle w:val="4"/>
        <w:autoSpaceDE w:val="0"/>
        <w:autoSpaceDN w:val="0"/>
        <w:spacing w:line="360" w:lineRule="auto"/>
        <w:rPr>
          <w:rFonts w:hint="eastAsia" w:ascii="宋体" w:hAnsi="宋体" w:eastAsia="宋体" w:cs="宋体"/>
          <w:color w:val="auto"/>
          <w:sz w:val="24"/>
          <w:szCs w:val="24"/>
          <w:highlight w:val="none"/>
        </w:rPr>
      </w:pPr>
      <w:bookmarkStart w:id="2" w:name="_Hlk142921702"/>
      <w:r>
        <w:rPr>
          <w:rFonts w:hint="eastAsia" w:ascii="宋体" w:hAnsi="宋体" w:eastAsia="宋体" w:cs="宋体"/>
          <w:color w:val="auto"/>
          <w:sz w:val="24"/>
          <w:szCs w:val="24"/>
          <w:highlight w:val="none"/>
        </w:rPr>
        <w:t>3．供应商派驻本项目的运维人员应坚决拥护中国共产党的领导、政治立场坚定，遵纪守法，无违法违纪等不良记录，供应商应对驻场人员情况进行审查。具备良好的职业道德和工作责任心，具有良好的职业技能、服务意识、团队意识、沟通协调能力和文字表达能力，服从领导、听从指挥，能够胜任采购人交付的各项运维服务工作并严格遵守北京市审计局的各项规章制度和管理规定。</w:t>
      </w:r>
    </w:p>
    <w:bookmarkEnd w:id="2"/>
    <w:p w14:paraId="3D239B2A">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4．驻场工程师应具有2年及以上相关领域</w:t>
      </w:r>
      <w:r>
        <w:rPr>
          <w:rFonts w:hint="eastAsia" w:ascii="宋体" w:hAnsi="宋体" w:eastAsia="宋体" w:cs="宋体"/>
          <w:color w:val="auto"/>
          <w:sz w:val="24"/>
          <w:szCs w:val="24"/>
          <w:highlight w:val="none"/>
          <w:lang w:val="en-US" w:eastAsia="zh-CN"/>
        </w:rPr>
        <w:t>运维</w:t>
      </w:r>
      <w:r>
        <w:rPr>
          <w:rFonts w:hint="eastAsia" w:ascii="宋体" w:hAnsi="宋体" w:eastAsia="宋体" w:cs="宋体"/>
          <w:color w:val="auto"/>
          <w:sz w:val="24"/>
          <w:szCs w:val="24"/>
          <w:highlight w:val="none"/>
        </w:rPr>
        <w:t>工作经验，能及时识别、分析和处理相关运维事项。</w:t>
      </w:r>
    </w:p>
    <w:p w14:paraId="47411D54">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在合同生效后的一个月内对成交供应商提供的实际到场的运维人员进行能力评估，如未能通过评估，则有权要求成交供应商进行人员更换。若成交供应商无法按采购人要求提供具备相应能力的运维人员，则采购人有权终止合同且不支付任何费用。</w:t>
      </w:r>
    </w:p>
    <w:p w14:paraId="18AF9D0C">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6．在运维服务履行过程中，未经采购人同意不得更换驻场工程师。经采购人同意，确需更换驻场工程师的，新派运维人员资质不得低于被更换人员。</w:t>
      </w:r>
    </w:p>
    <w:p w14:paraId="0D59DB87">
      <w:pPr>
        <w:pStyle w:val="4"/>
        <w:autoSpaceDE w:val="0"/>
        <w:autoSpaceDN w:val="0"/>
        <w:spacing w:line="360" w:lineRule="auto"/>
        <w:rPr>
          <w:rFonts w:hint="eastAsia" w:ascii="宋体" w:hAnsi="宋体" w:eastAsia="宋体" w:cs="宋体"/>
          <w:color w:val="auto"/>
          <w:sz w:val="24"/>
          <w:szCs w:val="24"/>
          <w:highlight w:val="none"/>
        </w:rPr>
      </w:pPr>
    </w:p>
    <w:p w14:paraId="7C814798">
      <w:pPr>
        <w:pStyle w:val="2"/>
        <w:keepNext w:val="0"/>
        <w:keepLines w:val="0"/>
        <w:snapToGrid/>
        <w:spacing w:line="360" w:lineRule="auto"/>
        <w:ind w:left="0" w:firstLine="0"/>
        <w:jc w:val="both"/>
        <w:rPr>
          <w:rFonts w:hint="eastAsia" w:ascii="宋体" w:hAnsi="宋体" w:eastAsia="宋体" w:cs="宋体"/>
          <w:b/>
          <w:bCs/>
          <w:color w:val="auto"/>
          <w:w w:val="100"/>
          <w:kern w:val="2"/>
          <w:sz w:val="24"/>
          <w:szCs w:val="24"/>
          <w:highlight w:val="none"/>
          <w:lang w:val="en-US" w:eastAsia="zh-CN" w:bidi="ar-SA"/>
        </w:rPr>
      </w:pPr>
      <w:r>
        <w:rPr>
          <w:rFonts w:hint="eastAsia" w:ascii="宋体" w:hAnsi="宋体" w:eastAsia="宋体" w:cs="宋体"/>
          <w:b/>
          <w:bCs/>
          <w:color w:val="auto"/>
          <w:w w:val="100"/>
          <w:kern w:val="2"/>
          <w:sz w:val="24"/>
          <w:szCs w:val="24"/>
          <w:highlight w:val="none"/>
          <w:lang w:val="en-US" w:eastAsia="zh-CN" w:bidi="ar-SA"/>
        </w:rPr>
        <w:t>六、验收要求</w:t>
      </w:r>
    </w:p>
    <w:p w14:paraId="322C9A2A">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本项目在服务完毕之日</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5个工作日内，供应商要提供所有服务期内产生的纸质文档和电子文档，并向采购人提出最终验收申请，采购人组织项目验收工作。</w:t>
      </w:r>
    </w:p>
    <w:p w14:paraId="346F39D4">
      <w:pPr>
        <w:pStyle w:val="4"/>
        <w:autoSpaceDE w:val="0"/>
        <w:autoSpaceDN w:val="0"/>
        <w:spacing w:line="360" w:lineRule="auto"/>
        <w:rPr>
          <w:rFonts w:hint="eastAsia" w:ascii="宋体" w:hAnsi="宋体" w:eastAsia="宋体" w:cs="宋体"/>
          <w:color w:val="auto"/>
          <w:sz w:val="24"/>
          <w:szCs w:val="24"/>
          <w:highlight w:val="none"/>
        </w:rPr>
      </w:pPr>
    </w:p>
    <w:p w14:paraId="5E6238FD">
      <w:pPr>
        <w:pStyle w:val="2"/>
        <w:keepNext w:val="0"/>
        <w:keepLines w:val="0"/>
        <w:snapToGrid/>
        <w:spacing w:line="360" w:lineRule="auto"/>
        <w:ind w:left="0" w:firstLine="0"/>
        <w:jc w:val="both"/>
        <w:rPr>
          <w:rFonts w:hint="eastAsia" w:ascii="宋体" w:hAnsi="宋体" w:eastAsia="宋体" w:cs="宋体"/>
          <w:b/>
          <w:bCs/>
          <w:color w:val="auto"/>
          <w:w w:val="100"/>
          <w:kern w:val="2"/>
          <w:sz w:val="24"/>
          <w:szCs w:val="24"/>
          <w:highlight w:val="none"/>
          <w:lang w:val="en-US" w:eastAsia="zh-CN" w:bidi="ar-SA"/>
        </w:rPr>
      </w:pPr>
      <w:r>
        <w:rPr>
          <w:rFonts w:hint="eastAsia" w:ascii="宋体" w:hAnsi="宋体" w:eastAsia="宋体" w:cs="宋体"/>
          <w:b/>
          <w:bCs/>
          <w:color w:val="auto"/>
          <w:w w:val="100"/>
          <w:kern w:val="2"/>
          <w:sz w:val="24"/>
          <w:szCs w:val="24"/>
          <w:highlight w:val="none"/>
          <w:lang w:val="en-US" w:eastAsia="zh-CN" w:bidi="ar-SA"/>
        </w:rPr>
        <w:t>七、其他要求</w:t>
      </w:r>
    </w:p>
    <w:p w14:paraId="16EFD846">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1．成交供应商能够获取金审三期各应用系统开发厂商原厂支持服务，确保可以获得原厂商的技术咨询、BUG修复等相关技术支持服务。</w:t>
      </w:r>
    </w:p>
    <w:p w14:paraId="06D225D4">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2．成交供应商应保证在为采购人提供运维服务的过程中，所提供的货物、服务或其任何一部分均不会侵犯任何第三方的知识产权。</w:t>
      </w:r>
    </w:p>
    <w:p w14:paraId="79B92E29">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3．成交供应商在运维过程中自行使用或提供的软硬件工具，其所有权和版权等产生的问题，由成交供应商自行承担。</w:t>
      </w:r>
    </w:p>
    <w:p w14:paraId="075548F9">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成交供应商应自行承担本项目派驻运维人员的安全责任。</w:t>
      </w:r>
    </w:p>
    <w:p w14:paraId="65720B11">
      <w:pPr>
        <w:pStyle w:val="4"/>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本项目最终成交价格高于市财政局最终预算批复价格，则本项目合同签署价格以财政预算批复价格为准；如本项目最终成交价格低于或等于市财政局最终预算批复价格，则本项目合同签署价格以最终成交价格为准。</w:t>
      </w:r>
    </w:p>
    <w:p w14:paraId="22C3FF29">
      <w:r>
        <w:rPr>
          <w:rFonts w:hint="eastAsia" w:ascii="宋体" w:hAnsi="宋体" w:eastAsia="宋体" w:cs="宋体"/>
          <w:color w:val="auto"/>
          <w:sz w:val="24"/>
          <w:szCs w:val="24"/>
          <w:highlight w:val="none"/>
        </w:rPr>
        <w:t>6.如在本项目服务期满后，采购人未确定新的运维服务商。为保证运维服务的连续性，成交供应商应保证继续完成运维工作，直至与新的服务商完成工作交接，否则将按违约处理。</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3462B"/>
    <w:multiLevelType w:val="multilevel"/>
    <w:tmpl w:val="76D3462B"/>
    <w:lvl w:ilvl="0" w:tentative="0">
      <w:start w:val="1"/>
      <w:numFmt w:val="chineseCountingThousand"/>
      <w:pStyle w:val="8"/>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D242A"/>
    <w:rsid w:val="795D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3">
    <w:name w:val="heading 2"/>
    <w:basedOn w:val="1"/>
    <w:next w:val="1"/>
    <w:unhideWhenUsed/>
    <w:qFormat/>
    <w:uiPriority w:val="9"/>
    <w:pPr>
      <w:keepNext/>
      <w:keepLines/>
      <w:spacing w:line="360" w:lineRule="auto"/>
      <w:ind w:left="964" w:hanging="964"/>
      <w:jc w:val="center"/>
      <w:outlineLvl w:val="1"/>
    </w:pPr>
    <w:rPr>
      <w:rFonts w:hAnsi="Cambria" w:eastAsia="黑体" w:cs="Times New Roman"/>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0"/>
    <w:rPr>
      <w:rFonts w:hAnsi="Courier New" w:cs="Courier New"/>
    </w:rPr>
  </w:style>
  <w:style w:type="paragraph" w:customStyle="1" w:styleId="7">
    <w:name w:val="正文-首缩2字符"/>
    <w:basedOn w:val="1"/>
    <w:qFormat/>
    <w:uiPriority w:val="99"/>
    <w:pPr>
      <w:ind w:firstLine="200" w:firstLineChars="200"/>
      <w:jc w:val="left"/>
    </w:pPr>
    <w:rPr>
      <w:rFonts w:hAnsi="宋体" w:cs="宋体"/>
      <w:szCs w:val="24"/>
    </w:rPr>
  </w:style>
  <w:style w:type="paragraph" w:customStyle="1" w:styleId="8">
    <w:name w:val="标题2-技术需求"/>
    <w:basedOn w:val="3"/>
    <w:qFormat/>
    <w:uiPriority w:val="0"/>
    <w:pPr>
      <w:numPr>
        <w:ilvl w:val="0"/>
        <w:numId w:val="1"/>
      </w:numPr>
    </w:pPr>
    <w:rPr>
      <w:rFonts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2025-12-12T05:38:00Z</dcterms:created>
  <dc:creator>xzhang</dc:creator>
  <cp:lastModifiedBy>xzhang</cp:lastModifiedBy>
  <dcterms:modified xsi:type="dcterms:W3CDTF">2025-12-12T05:38:57Z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DB0979B72A7142EBA5D80FADDEB05EFA_11</vt:lpwstr>
  </property>
  <property fmtid="{D5CDD505-2E9C-101B-9397-08002B2CF9AE}" pid="4" name="KSOTemplateDocerSaveRecord">
    <vt:lpwstr>eyJoZGlkIjoiMzExZGY1ZGE1OGFiMzcyYmY4MDZmNTgzNjM1ZjU0NWIiLCJ1c2VySWQiOiIzOTYxMjQwODUifQ==</vt:lpwstr>
  </property>
</Properties>
</file>