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701CF">
      <w:pPr>
        <w:spacing w:line="360" w:lineRule="auto"/>
        <w:jc w:val="center"/>
        <w:outlineLvl w:val="0"/>
        <w:rPr>
          <w:b/>
          <w:sz w:val="36"/>
          <w:szCs w:val="36"/>
        </w:rPr>
      </w:pPr>
      <w:r>
        <w:rPr>
          <w:b/>
          <w:sz w:val="36"/>
          <w:szCs w:val="36"/>
        </w:rPr>
        <w:t>采购需求</w:t>
      </w:r>
    </w:p>
    <w:p w14:paraId="1311912F">
      <w:pPr>
        <w:pStyle w:val="5"/>
      </w:pPr>
    </w:p>
    <w:p w14:paraId="0982442A">
      <w:pPr>
        <w:pStyle w:val="9"/>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7"/>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23"/>
        <w:gridCol w:w="1607"/>
        <w:gridCol w:w="833"/>
        <w:gridCol w:w="1110"/>
        <w:gridCol w:w="1029"/>
        <w:gridCol w:w="1035"/>
        <w:gridCol w:w="1086"/>
      </w:tblGrid>
      <w:tr w14:paraId="32B6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71" w:type="dxa"/>
            <w:vAlign w:val="center"/>
          </w:tcPr>
          <w:p w14:paraId="730F0B0A">
            <w:pPr>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包号</w:t>
            </w:r>
          </w:p>
        </w:tc>
        <w:tc>
          <w:tcPr>
            <w:tcW w:w="1442" w:type="dxa"/>
            <w:vAlign w:val="center"/>
          </w:tcPr>
          <w:p w14:paraId="545EA8A3">
            <w:pPr>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包名称</w:t>
            </w:r>
          </w:p>
        </w:tc>
        <w:tc>
          <w:tcPr>
            <w:tcW w:w="1752" w:type="dxa"/>
            <w:vAlign w:val="center"/>
          </w:tcPr>
          <w:p w14:paraId="2EFB2370">
            <w:pPr>
              <w:jc w:val="center"/>
              <w:rPr>
                <w:rFonts w:hint="eastAsia" w:ascii="宋体" w:hAnsi="宋体" w:cs="宋体"/>
                <w:b/>
                <w:bCs/>
                <w:sz w:val="24"/>
                <w:highlight w:val="none"/>
              </w:rPr>
            </w:pPr>
            <w:r>
              <w:rPr>
                <w:rFonts w:hint="eastAsia" w:ascii="宋体" w:hAnsi="宋体" w:cs="宋体"/>
                <w:b/>
                <w:bCs/>
                <w:sz w:val="24"/>
                <w:highlight w:val="none"/>
              </w:rPr>
              <w:t>标的名称</w:t>
            </w:r>
          </w:p>
        </w:tc>
        <w:tc>
          <w:tcPr>
            <w:tcW w:w="908" w:type="dxa"/>
            <w:vAlign w:val="center"/>
          </w:tcPr>
          <w:p w14:paraId="5F06B526">
            <w:pPr>
              <w:jc w:val="center"/>
              <w:rPr>
                <w:rFonts w:ascii="宋体" w:hAnsi="宋体" w:cs="宋体"/>
                <w:b/>
                <w:bCs/>
                <w:sz w:val="24"/>
                <w:highlight w:val="none"/>
              </w:rPr>
            </w:pPr>
            <w:r>
              <w:rPr>
                <w:rFonts w:hint="eastAsia" w:ascii="宋体" w:hAnsi="宋体" w:cs="宋体"/>
                <w:b/>
                <w:bCs/>
                <w:sz w:val="24"/>
                <w:highlight w:val="none"/>
              </w:rPr>
              <w:t>数量</w:t>
            </w:r>
          </w:p>
          <w:p w14:paraId="5447DDDC">
            <w:pPr>
              <w:jc w:val="center"/>
              <w:rPr>
                <w:rFonts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套</w:t>
            </w:r>
            <w:r>
              <w:rPr>
                <w:rFonts w:hint="eastAsia" w:ascii="宋体" w:hAnsi="宋体" w:cs="宋体"/>
                <w:b/>
                <w:bCs/>
                <w:sz w:val="24"/>
                <w:highlight w:val="none"/>
              </w:rPr>
              <w:t>）</w:t>
            </w:r>
          </w:p>
        </w:tc>
        <w:tc>
          <w:tcPr>
            <w:tcW w:w="1210" w:type="dxa"/>
            <w:vAlign w:val="center"/>
          </w:tcPr>
          <w:p w14:paraId="4729DEA7">
            <w:pPr>
              <w:jc w:val="center"/>
              <w:rPr>
                <w:rFonts w:ascii="宋体" w:hAnsi="宋体" w:cs="宋体"/>
                <w:b/>
                <w:bCs/>
                <w:sz w:val="24"/>
                <w:highlight w:val="none"/>
              </w:rPr>
            </w:pPr>
            <w:r>
              <w:rPr>
                <w:rFonts w:hint="eastAsia" w:ascii="宋体" w:hAnsi="宋体" w:cs="宋体"/>
                <w:b/>
                <w:bCs/>
                <w:sz w:val="24"/>
                <w:highlight w:val="none"/>
                <w:lang w:val="en-US" w:eastAsia="zh-CN"/>
              </w:rPr>
              <w:t>单价</w:t>
            </w:r>
            <w:r>
              <w:rPr>
                <w:rFonts w:hint="eastAsia" w:ascii="宋体" w:hAnsi="宋体" w:cs="宋体"/>
                <w:b/>
                <w:bCs/>
                <w:sz w:val="24"/>
                <w:highlight w:val="none"/>
              </w:rPr>
              <w:t>最高限价</w:t>
            </w:r>
          </w:p>
          <w:p w14:paraId="7D6E7E03">
            <w:pPr>
              <w:jc w:val="center"/>
              <w:rPr>
                <w:rFonts w:ascii="宋体" w:hAnsi="宋体" w:cs="宋体"/>
                <w:b/>
                <w:bCs/>
                <w:sz w:val="24"/>
                <w:highlight w:val="none"/>
              </w:rPr>
            </w:pPr>
            <w:r>
              <w:rPr>
                <w:rFonts w:hint="eastAsia" w:ascii="宋体" w:hAnsi="宋体" w:cs="宋体"/>
                <w:b/>
                <w:bCs/>
                <w:sz w:val="24"/>
                <w:highlight w:val="none"/>
              </w:rPr>
              <w:t>（万元）</w:t>
            </w:r>
          </w:p>
        </w:tc>
        <w:tc>
          <w:tcPr>
            <w:tcW w:w="1122" w:type="dxa"/>
            <w:vAlign w:val="center"/>
          </w:tcPr>
          <w:p w14:paraId="52E3A2A3">
            <w:pPr>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分包预算金额</w:t>
            </w:r>
            <w:r>
              <w:rPr>
                <w:rFonts w:hint="eastAsia" w:ascii="宋体" w:hAnsi="宋体" w:cs="宋体"/>
                <w:b/>
                <w:bCs/>
                <w:sz w:val="24"/>
                <w:highlight w:val="none"/>
              </w:rPr>
              <w:t>（万元）</w:t>
            </w:r>
          </w:p>
        </w:tc>
        <w:tc>
          <w:tcPr>
            <w:tcW w:w="1128" w:type="dxa"/>
            <w:vAlign w:val="center"/>
          </w:tcPr>
          <w:p w14:paraId="1986648C">
            <w:pPr>
              <w:jc w:val="center"/>
              <w:rPr>
                <w:rFonts w:ascii="宋体" w:hAnsi="宋体" w:cs="宋体"/>
                <w:b/>
                <w:bCs/>
                <w:sz w:val="24"/>
                <w:highlight w:val="none"/>
              </w:rPr>
            </w:pPr>
            <w:r>
              <w:rPr>
                <w:rFonts w:hint="eastAsia" w:ascii="宋体" w:hAnsi="宋体" w:cs="宋体"/>
                <w:b/>
                <w:bCs/>
                <w:sz w:val="24"/>
                <w:highlight w:val="none"/>
              </w:rPr>
              <w:t>是否允许进口</w:t>
            </w:r>
          </w:p>
        </w:tc>
        <w:tc>
          <w:tcPr>
            <w:tcW w:w="1184" w:type="dxa"/>
            <w:vAlign w:val="center"/>
          </w:tcPr>
          <w:p w14:paraId="41FB6545">
            <w:pPr>
              <w:jc w:val="center"/>
              <w:rPr>
                <w:rFonts w:ascii="宋体" w:hAnsi="宋体" w:cs="宋体"/>
                <w:b/>
                <w:bCs/>
                <w:sz w:val="24"/>
                <w:highlight w:val="none"/>
              </w:rPr>
            </w:pPr>
            <w:r>
              <w:rPr>
                <w:rFonts w:hint="eastAsia" w:ascii="宋体" w:hAnsi="宋体" w:cs="宋体"/>
                <w:b/>
                <w:bCs/>
                <w:sz w:val="24"/>
                <w:highlight w:val="none"/>
              </w:rPr>
              <w:t>是否为核心产品</w:t>
            </w:r>
          </w:p>
        </w:tc>
      </w:tr>
      <w:tr w14:paraId="466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Align w:val="center"/>
          </w:tcPr>
          <w:p w14:paraId="192BA6D2">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01</w:t>
            </w:r>
          </w:p>
        </w:tc>
        <w:tc>
          <w:tcPr>
            <w:tcW w:w="1442" w:type="dxa"/>
            <w:vAlign w:val="center"/>
          </w:tcPr>
          <w:p w14:paraId="3804AE1B">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经颅聚焦超声刺激系统</w:t>
            </w:r>
          </w:p>
        </w:tc>
        <w:tc>
          <w:tcPr>
            <w:tcW w:w="1752" w:type="dxa"/>
            <w:vAlign w:val="center"/>
          </w:tcPr>
          <w:p w14:paraId="36EE6EA0">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经颅聚焦超声刺激系统</w:t>
            </w:r>
          </w:p>
        </w:tc>
        <w:tc>
          <w:tcPr>
            <w:tcW w:w="908" w:type="dxa"/>
            <w:vAlign w:val="center"/>
          </w:tcPr>
          <w:p w14:paraId="1B176CE8">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1</w:t>
            </w:r>
          </w:p>
        </w:tc>
        <w:tc>
          <w:tcPr>
            <w:tcW w:w="1210" w:type="dxa"/>
            <w:vAlign w:val="center"/>
          </w:tcPr>
          <w:p w14:paraId="304F75A8">
            <w:pPr>
              <w:widowControl/>
              <w:jc w:val="center"/>
              <w:textAlignment w:val="center"/>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339</w:t>
            </w:r>
          </w:p>
        </w:tc>
        <w:tc>
          <w:tcPr>
            <w:tcW w:w="1122" w:type="dxa"/>
            <w:vAlign w:val="center"/>
          </w:tcPr>
          <w:p w14:paraId="5B3D5564">
            <w:pPr>
              <w:widowControl/>
              <w:jc w:val="center"/>
              <w:textAlignment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339</w:t>
            </w:r>
          </w:p>
        </w:tc>
        <w:tc>
          <w:tcPr>
            <w:tcW w:w="1128" w:type="dxa"/>
            <w:vAlign w:val="center"/>
          </w:tcPr>
          <w:p w14:paraId="584823E7">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184" w:type="dxa"/>
            <w:vAlign w:val="center"/>
          </w:tcPr>
          <w:p w14:paraId="1D905B8D">
            <w:pPr>
              <w:widowControl/>
              <w:jc w:val="center"/>
              <w:textAlignment w:val="center"/>
              <w:rPr>
                <w:rFonts w:hint="eastAsia" w:ascii="宋体" w:hAnsi="宋体" w:cs="宋体"/>
                <w:bCs/>
                <w:sz w:val="24"/>
                <w:highlight w:val="none"/>
                <w:lang w:val="en-US" w:eastAsia="zh-CN"/>
              </w:rPr>
            </w:pPr>
            <w:r>
              <w:rPr>
                <w:rFonts w:hAnsi="宋体" w:cs="宋体"/>
                <w:sz w:val="24"/>
                <w:szCs w:val="24"/>
                <w:highlight w:val="none"/>
              </w:rPr>
              <w:t>单一产品采购包</w:t>
            </w:r>
          </w:p>
        </w:tc>
      </w:tr>
      <w:tr w14:paraId="0DA2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Merge w:val="restart"/>
            <w:vAlign w:val="center"/>
          </w:tcPr>
          <w:p w14:paraId="0CC4AC23">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0</w:t>
            </w:r>
            <w:r>
              <w:rPr>
                <w:rFonts w:hint="eastAsia" w:ascii="宋体" w:hAnsi="宋体" w:eastAsia="宋体" w:cs="宋体"/>
                <w:bCs/>
                <w:sz w:val="24"/>
                <w:highlight w:val="none"/>
                <w:lang w:val="en-US" w:eastAsia="zh-CN"/>
              </w:rPr>
              <w:t>2</w:t>
            </w:r>
          </w:p>
        </w:tc>
        <w:tc>
          <w:tcPr>
            <w:tcW w:w="1442" w:type="dxa"/>
            <w:vMerge w:val="restart"/>
            <w:vAlign w:val="center"/>
          </w:tcPr>
          <w:p w14:paraId="357A7671">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128导认知加工诱发脑电电位仪</w:t>
            </w:r>
            <w:r>
              <w:rPr>
                <w:rFonts w:hint="eastAsia" w:ascii="宋体" w:hAnsi="宋体" w:cs="宋体"/>
                <w:bCs/>
                <w:sz w:val="24"/>
                <w:highlight w:val="none"/>
                <w:lang w:val="en-US" w:eastAsia="zh-CN"/>
              </w:rPr>
              <w:t>等</w:t>
            </w:r>
          </w:p>
        </w:tc>
        <w:tc>
          <w:tcPr>
            <w:tcW w:w="1752" w:type="dxa"/>
            <w:vAlign w:val="center"/>
          </w:tcPr>
          <w:p w14:paraId="23F3EEAE">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128导认知加工诱发脑电电位仪</w:t>
            </w:r>
          </w:p>
        </w:tc>
        <w:tc>
          <w:tcPr>
            <w:tcW w:w="908" w:type="dxa"/>
            <w:vAlign w:val="center"/>
          </w:tcPr>
          <w:p w14:paraId="78BC682A">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1</w:t>
            </w:r>
          </w:p>
        </w:tc>
        <w:tc>
          <w:tcPr>
            <w:tcW w:w="1210" w:type="dxa"/>
            <w:vAlign w:val="center"/>
          </w:tcPr>
          <w:p w14:paraId="7CCA4681">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98</w:t>
            </w:r>
          </w:p>
        </w:tc>
        <w:tc>
          <w:tcPr>
            <w:tcW w:w="1122" w:type="dxa"/>
            <w:vMerge w:val="restart"/>
            <w:vAlign w:val="center"/>
          </w:tcPr>
          <w:p w14:paraId="3B1C6D09">
            <w:pPr>
              <w:widowControl/>
              <w:jc w:val="center"/>
              <w:textAlignment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245.4</w:t>
            </w:r>
          </w:p>
        </w:tc>
        <w:tc>
          <w:tcPr>
            <w:tcW w:w="1128" w:type="dxa"/>
            <w:vAlign w:val="center"/>
          </w:tcPr>
          <w:p w14:paraId="5430B590">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184" w:type="dxa"/>
            <w:vAlign w:val="center"/>
          </w:tcPr>
          <w:p w14:paraId="0AA68C1B">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是</w:t>
            </w:r>
          </w:p>
        </w:tc>
      </w:tr>
      <w:tr w14:paraId="1CB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Merge w:val="continue"/>
            <w:vAlign w:val="center"/>
          </w:tcPr>
          <w:p w14:paraId="397AB2CF">
            <w:pPr>
              <w:widowControl/>
              <w:jc w:val="center"/>
              <w:textAlignment w:val="center"/>
              <w:rPr>
                <w:rFonts w:hint="eastAsia" w:ascii="宋体" w:hAnsi="宋体" w:eastAsia="宋体" w:cs="宋体"/>
                <w:bCs/>
                <w:sz w:val="24"/>
                <w:highlight w:val="none"/>
                <w:lang w:val="en-US" w:eastAsia="zh-CN"/>
              </w:rPr>
            </w:pPr>
          </w:p>
        </w:tc>
        <w:tc>
          <w:tcPr>
            <w:tcW w:w="1442" w:type="dxa"/>
            <w:vMerge w:val="continue"/>
            <w:vAlign w:val="center"/>
          </w:tcPr>
          <w:p w14:paraId="71A1F5F4">
            <w:pPr>
              <w:widowControl/>
              <w:jc w:val="center"/>
              <w:textAlignment w:val="center"/>
              <w:rPr>
                <w:rFonts w:hint="eastAsia" w:ascii="宋体" w:hAnsi="宋体" w:eastAsia="宋体" w:cs="宋体"/>
                <w:bCs/>
                <w:sz w:val="24"/>
                <w:highlight w:val="none"/>
                <w:lang w:val="en-US" w:eastAsia="zh-CN"/>
              </w:rPr>
            </w:pPr>
          </w:p>
        </w:tc>
        <w:tc>
          <w:tcPr>
            <w:tcW w:w="1752" w:type="dxa"/>
            <w:vAlign w:val="center"/>
          </w:tcPr>
          <w:p w14:paraId="4F0BB957">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神经导航系统</w:t>
            </w:r>
          </w:p>
        </w:tc>
        <w:tc>
          <w:tcPr>
            <w:tcW w:w="908" w:type="dxa"/>
            <w:vAlign w:val="center"/>
          </w:tcPr>
          <w:p w14:paraId="3013164B">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1</w:t>
            </w:r>
          </w:p>
        </w:tc>
        <w:tc>
          <w:tcPr>
            <w:tcW w:w="1210" w:type="dxa"/>
            <w:vAlign w:val="center"/>
          </w:tcPr>
          <w:p w14:paraId="188C65ED">
            <w:pPr>
              <w:widowControl/>
              <w:jc w:val="center"/>
              <w:textAlignment w:val="center"/>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89.4</w:t>
            </w:r>
          </w:p>
        </w:tc>
        <w:tc>
          <w:tcPr>
            <w:tcW w:w="1122" w:type="dxa"/>
            <w:vMerge w:val="continue"/>
            <w:vAlign w:val="center"/>
          </w:tcPr>
          <w:p w14:paraId="54BECF51">
            <w:pPr>
              <w:widowControl/>
              <w:jc w:val="center"/>
              <w:textAlignment w:val="center"/>
              <w:rPr>
                <w:rFonts w:hint="eastAsia" w:ascii="宋体" w:hAnsi="宋体" w:cs="宋体"/>
                <w:bCs/>
                <w:sz w:val="24"/>
                <w:highlight w:val="none"/>
                <w:lang w:val="en-US" w:eastAsia="zh-CN"/>
              </w:rPr>
            </w:pPr>
          </w:p>
        </w:tc>
        <w:tc>
          <w:tcPr>
            <w:tcW w:w="1128" w:type="dxa"/>
            <w:vAlign w:val="center"/>
          </w:tcPr>
          <w:p w14:paraId="73810FF4">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184" w:type="dxa"/>
            <w:vAlign w:val="center"/>
          </w:tcPr>
          <w:p w14:paraId="6C0FF69D">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r>
      <w:tr w14:paraId="35DA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Merge w:val="continue"/>
            <w:vAlign w:val="center"/>
          </w:tcPr>
          <w:p w14:paraId="714741C7">
            <w:pPr>
              <w:widowControl/>
              <w:jc w:val="center"/>
              <w:textAlignment w:val="center"/>
              <w:rPr>
                <w:rFonts w:hint="default" w:ascii="宋体" w:hAnsi="宋体" w:eastAsia="宋体" w:cs="宋体"/>
                <w:bCs/>
                <w:sz w:val="24"/>
                <w:highlight w:val="none"/>
                <w:lang w:val="en-US" w:eastAsia="zh-CN"/>
              </w:rPr>
            </w:pPr>
          </w:p>
        </w:tc>
        <w:tc>
          <w:tcPr>
            <w:tcW w:w="1442" w:type="dxa"/>
            <w:vMerge w:val="continue"/>
            <w:vAlign w:val="center"/>
          </w:tcPr>
          <w:p w14:paraId="1D9CF35E">
            <w:pPr>
              <w:widowControl/>
              <w:jc w:val="center"/>
              <w:textAlignment w:val="center"/>
              <w:rPr>
                <w:rFonts w:hint="eastAsia" w:ascii="宋体" w:hAnsi="宋体" w:eastAsia="宋体" w:cs="宋体"/>
                <w:bCs/>
                <w:sz w:val="24"/>
                <w:highlight w:val="none"/>
                <w:lang w:val="en-US" w:eastAsia="zh-CN"/>
              </w:rPr>
            </w:pPr>
          </w:p>
        </w:tc>
        <w:tc>
          <w:tcPr>
            <w:tcW w:w="1752" w:type="dxa"/>
            <w:vAlign w:val="center"/>
          </w:tcPr>
          <w:p w14:paraId="5E30BBFA">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64导脑电图机</w:t>
            </w:r>
          </w:p>
        </w:tc>
        <w:tc>
          <w:tcPr>
            <w:tcW w:w="908" w:type="dxa"/>
            <w:vAlign w:val="center"/>
          </w:tcPr>
          <w:p w14:paraId="4589D3CB">
            <w:pPr>
              <w:widowControl/>
              <w:jc w:val="center"/>
              <w:textAlignment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1</w:t>
            </w:r>
          </w:p>
        </w:tc>
        <w:tc>
          <w:tcPr>
            <w:tcW w:w="1210" w:type="dxa"/>
            <w:vAlign w:val="center"/>
          </w:tcPr>
          <w:p w14:paraId="0426AD37">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58</w:t>
            </w:r>
          </w:p>
        </w:tc>
        <w:tc>
          <w:tcPr>
            <w:tcW w:w="1122" w:type="dxa"/>
            <w:vMerge w:val="continue"/>
            <w:vAlign w:val="center"/>
          </w:tcPr>
          <w:p w14:paraId="4443BC67">
            <w:pPr>
              <w:widowControl/>
              <w:jc w:val="center"/>
              <w:textAlignment w:val="center"/>
              <w:rPr>
                <w:rFonts w:hint="eastAsia" w:ascii="宋体" w:hAnsi="宋体" w:cs="宋体"/>
                <w:bCs/>
                <w:sz w:val="24"/>
                <w:highlight w:val="none"/>
                <w:lang w:val="en-US" w:eastAsia="zh-CN"/>
              </w:rPr>
            </w:pPr>
          </w:p>
        </w:tc>
        <w:tc>
          <w:tcPr>
            <w:tcW w:w="1128" w:type="dxa"/>
            <w:vAlign w:val="center"/>
          </w:tcPr>
          <w:p w14:paraId="2FA5EC8B">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184" w:type="dxa"/>
            <w:vAlign w:val="center"/>
          </w:tcPr>
          <w:p w14:paraId="5A13FE87">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r>
    </w:tbl>
    <w:p w14:paraId="1066762A">
      <w:pPr>
        <w:wordWrap w:val="0"/>
        <w:topLinePunct/>
        <w:adjustRightInd w:val="0"/>
        <w:spacing w:line="360" w:lineRule="auto"/>
        <w:ind w:firstLine="480" w:firstLineChars="200"/>
        <w:jc w:val="left"/>
        <w:textAlignment w:val="baseline"/>
        <w:rPr>
          <w:rFonts w:ascii="宋体" w:hAnsi="宋体" w:cs="宋体"/>
          <w:sz w:val="24"/>
        </w:rPr>
      </w:pPr>
    </w:p>
    <w:p w14:paraId="09C65067">
      <w:pPr>
        <w:pStyle w:val="6"/>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76DE8DC5">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03560ACA">
      <w:pPr>
        <w:pStyle w:val="4"/>
        <w:spacing w:line="360" w:lineRule="auto"/>
        <w:ind w:firstLine="480" w:firstLineChars="200"/>
        <w:rPr>
          <w:rFonts w:hint="eastAsia" w:hAnsi="宋体" w:cs="宋体"/>
          <w:bCs/>
          <w:highlight w:val="none"/>
        </w:rPr>
      </w:pPr>
      <w:r>
        <w:rPr>
          <w:rFonts w:hint="eastAsia" w:hAnsi="宋体" w:cs="宋体"/>
          <w:bCs/>
          <w:highlight w:val="none"/>
        </w:rPr>
        <w:t>1.交货时间：合同签订后</w:t>
      </w:r>
      <w:r>
        <w:rPr>
          <w:rFonts w:hint="eastAsia" w:hAnsi="宋体" w:cs="宋体"/>
          <w:bCs/>
          <w:highlight w:val="none"/>
          <w:lang w:val="en-US" w:eastAsia="zh-CN"/>
        </w:rPr>
        <w:t>60</w:t>
      </w:r>
      <w:r>
        <w:rPr>
          <w:rFonts w:hint="eastAsia" w:hAnsi="宋体" w:cs="宋体"/>
          <w:bCs/>
          <w:highlight w:val="none"/>
        </w:rPr>
        <w:t>日内完成交货</w:t>
      </w:r>
    </w:p>
    <w:p w14:paraId="5DF0624E">
      <w:pPr>
        <w:pStyle w:val="4"/>
        <w:spacing w:line="360" w:lineRule="auto"/>
        <w:ind w:firstLine="480" w:firstLineChars="200"/>
        <w:rPr>
          <w:rFonts w:hAnsi="宋体" w:cs="宋体"/>
          <w:bCs/>
        </w:rPr>
      </w:pPr>
      <w:r>
        <w:rPr>
          <w:rFonts w:hint="eastAsia" w:hAnsi="宋体" w:cs="宋体"/>
          <w:bCs/>
        </w:rPr>
        <w:t>2.交货地点：采购人指定地点</w:t>
      </w:r>
    </w:p>
    <w:p w14:paraId="12113AC2">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3CC66D05">
      <w:pPr>
        <w:pStyle w:val="5"/>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54119059">
      <w:pPr>
        <w:pStyle w:val="5"/>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682408B1">
      <w:pPr>
        <w:pStyle w:val="4"/>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1.质保期≥5年；</w:t>
      </w:r>
    </w:p>
    <w:p w14:paraId="4D47E826">
      <w:pPr>
        <w:pStyle w:val="4"/>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2.技术支持：免费提供设备使用手册、培训教材、应用资料等；长期提供技术服务支持。</w:t>
      </w:r>
    </w:p>
    <w:p w14:paraId="626F5154">
      <w:pPr>
        <w:pStyle w:val="4"/>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3.维修响应时间：在设备整个使用期内，卖方应确保设备的正常使用。在接到用户维修要求后须在2小时内作出回应，并在48小时内派员到达买方现场实施维修。</w:t>
      </w:r>
    </w:p>
    <w:p w14:paraId="42D37082">
      <w:pPr>
        <w:pStyle w:val="4"/>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4.培训：免费提供设备到达现场后的应用培训，直至操作人员掌握为止。</w:t>
      </w:r>
    </w:p>
    <w:p w14:paraId="1709DD48">
      <w:pPr>
        <w:pStyle w:val="4"/>
        <w:spacing w:line="360" w:lineRule="auto"/>
        <w:ind w:firstLine="480" w:firstLineChars="200"/>
        <w:rPr>
          <w:rFonts w:hint="eastAsia" w:hAnsi="宋体" w:cs="宋体"/>
          <w:bCs/>
          <w:highlight w:val="none"/>
        </w:rPr>
      </w:pPr>
      <w:r>
        <w:rPr>
          <w:rFonts w:hint="eastAsia" w:hAnsi="宋体" w:cs="宋体"/>
          <w:bCs/>
          <w:highlight w:val="none"/>
          <w:lang w:val="en-US" w:eastAsia="zh-CN"/>
        </w:rPr>
        <w:t>5.验收：产品到货后，使用单位进行开箱检查，对于出现的产品损坏、数量不全、产品不符等问题时，招标人有权要求中标人退货、更换货物、补充货物。按合同文件的技术指标对产品的性能、配置进行选择性测试检查</w:t>
      </w:r>
      <w:r>
        <w:rPr>
          <w:rFonts w:hint="eastAsia" w:hAnsi="宋体" w:cs="宋体"/>
          <w:bCs/>
          <w:highlight w:val="none"/>
        </w:rPr>
        <w:t xml:space="preserve">。 </w:t>
      </w:r>
    </w:p>
    <w:p w14:paraId="66247AD1">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6C32AC38">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6573492E">
      <w:pPr>
        <w:spacing w:line="360" w:lineRule="auto"/>
        <w:ind w:firstLine="482" w:firstLineChars="200"/>
        <w:contextualSpacing/>
        <w:rPr>
          <w:rFonts w:ascii="宋体" w:hAnsi="宋体" w:cs="宋体"/>
          <w:kern w:val="0"/>
          <w:sz w:val="24"/>
        </w:rPr>
      </w:pPr>
      <w:r>
        <w:rPr>
          <w:rFonts w:hint="eastAsia" w:ascii="宋体" w:hAnsi="宋体" w:cs="宋体"/>
          <w:b/>
          <w:bCs/>
          <w:sz w:val="24"/>
        </w:rPr>
        <w:t>1.需满足国家相关标准、行业标准、地方标准或者其他标准、规范：</w:t>
      </w: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28EC8CC6">
      <w:p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（二）具体要求</w:t>
      </w:r>
    </w:p>
    <w:p w14:paraId="4DF461B4">
      <w:pPr>
        <w:pStyle w:val="3"/>
        <w:bidi w:val="0"/>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01包：经颅聚焦超声刺激系统</w:t>
      </w:r>
    </w:p>
    <w:p w14:paraId="095BF3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1.经颅聚焦超声刺激系统</w:t>
      </w:r>
    </w:p>
    <w:p w14:paraId="53DFA8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1.1经颅聚焦超声主机：</w:t>
      </w:r>
    </w:p>
    <w:p w14:paraId="0D76E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1.1.1驱动通道数≥8。</w:t>
      </w:r>
    </w:p>
    <w:p w14:paraId="2680BF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1.1.2总峰值功率≥60W。</w:t>
      </w:r>
    </w:p>
    <w:p w14:paraId="5EC947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1.1.3每四路同频，输出频率误差≤±15ppm。</w:t>
      </w:r>
    </w:p>
    <w:p w14:paraId="6A51D2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▲1.1.4各通道独立控制：支持任意幅值、任意相位差的上述正弦波信号设置，精确控制焦点位置。</w:t>
      </w:r>
    </w:p>
    <w:p w14:paraId="721B97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1.1.5每通道均有独立的射频放大模块，支持正弦波幅度线性调整。</w:t>
      </w:r>
    </w:p>
    <w:p w14:paraId="224B69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▲1.1.6主机能同时驱动两个以上换能器。</w:t>
      </w:r>
      <w:r>
        <w:rPr>
          <w:rFonts w:hint="eastAsia" w:asciiTheme="minorEastAsia" w:hAnsiTheme="minorEastAsia" w:eastAsiaTheme="minorEastAsia" w:cstheme="minorEastAsia"/>
          <w:b/>
          <w:bCs/>
          <w:sz w:val="24"/>
          <w:szCs w:val="24"/>
          <w:lang w:val="en-US" w:eastAsia="zh-CN"/>
        </w:rPr>
        <w:t>（提供实物图片）</w:t>
      </w:r>
    </w:p>
    <w:p w14:paraId="6C78637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1.1.7主机支持多种中心频率的专用环形相控聚焦换能器，包含但不限于400kHz,500kHz,1000kHz等。</w:t>
      </w:r>
    </w:p>
    <w:p w14:paraId="5073B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▲1.1.8换能器工作模式：支持独立模式和联合模式。独立模式支持≥2通道单独工作，联合模式可以对≥2个换能器进行时间上的关联刺激。</w:t>
      </w:r>
    </w:p>
    <w:p w14:paraId="19C7A0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1.1.9支持刺激焦点、刺激强度、刺激脉冲长度、刺激脉冲周期，刺激持续时间、刺激周期及治疗时间的灵活设置。</w:t>
      </w:r>
    </w:p>
    <w:p w14:paraId="13B76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1.1.10可设置刺激时间与周期，组成脉冲串。</w:t>
      </w:r>
    </w:p>
    <w:p w14:paraId="790712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▲1.1.11触发模式：触发信号可跟随脉冲或刺激串。</w:t>
      </w:r>
    </w:p>
    <w:p w14:paraId="1CABD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1.1.12支持与PC机通信，兼容Matlab、Python等编程语言进行频率、焦点、时间等参数的设置。</w:t>
      </w:r>
    </w:p>
    <w:p w14:paraId="7FBAF0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1.2经颅聚焦超声换能器</w:t>
      </w:r>
    </w:p>
    <w:p w14:paraId="7B9610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1.2.1能量输出为机械波，兼容EEG、fNIRs等生理信号的采集。</w:t>
      </w:r>
    </w:p>
    <w:p w14:paraId="051C38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1.2.2换能器曲率半径≥60mm。</w:t>
      </w:r>
    </w:p>
    <w:p w14:paraId="3EF1AA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▲1.2.3提供换能器等效仿真模型的图片或软件说明。</w:t>
      </w:r>
    </w:p>
    <w:p w14:paraId="0D762A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2.经颅超声刺激导航定位系统</w:t>
      </w:r>
    </w:p>
    <w:p w14:paraId="133233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2.1.导航定位系统硬件</w:t>
      </w:r>
    </w:p>
    <w:p w14:paraId="44805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2.1.1工作站：处理器物理核心数≥16，逻辑线程数≥24，基础频率≥3.8GHz；内存：16G及以上；硬盘：1TB及以上；显示器分辨率：≥1920×1080。</w:t>
      </w:r>
    </w:p>
    <w:p w14:paraId="11FBCA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2.1.2光学定位模块：高精度红外光学定位器，定位精度误差≤1.5mm。</w:t>
      </w:r>
    </w:p>
    <w:p w14:paraId="0DC71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2.2.软件模块</w:t>
      </w:r>
    </w:p>
    <w:p w14:paraId="497B0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▲2.2.1影像导航兼容CT、MRI、fMRI、PET、DTI等影像序列，支持nTMS、脑磁图等溯源数据的导入。</w:t>
      </w:r>
    </w:p>
    <w:p w14:paraId="214E49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2.2.2影像配准：配准影像可向基准影像实现空间位置上的同步，支持一键融合，支持进行手动融合调整。</w:t>
      </w:r>
    </w:p>
    <w:p w14:paraId="5D98C6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2.2.3融合效果查验：具备透明叠加、二分、棋盘格等方式呈现融合效果。</w:t>
      </w:r>
    </w:p>
    <w:p w14:paraId="434C18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▲2.2.4神经纤维束重建：支持自动、手动、根据模型生成纤维束三种重建方式，可基于种子点、兴趣区、病变模型、marker点进行神经传导束的三维重建。</w:t>
      </w:r>
    </w:p>
    <w:p w14:paraId="6D404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▲2.2.5血管自动分割重建：可实现血管（动脉、静脉）的自动三维重建。</w:t>
      </w:r>
    </w:p>
    <w:p w14:paraId="1BB493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2.2.6多种模型渲染方式：支持面重建、体重建等≥2种重建方式。</w:t>
      </w:r>
    </w:p>
    <w:p w14:paraId="7BC412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▲2.2.7支持多种注册配准模式：探针皮肤注册、激光点云、结构光等。</w:t>
      </w:r>
    </w:p>
    <w:p w14:paraId="2A0E5F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▲2.2.8超声仿真及实时导航功能：具备基于个体影像数据的经颅超声刺激仿真功能，可精准定位并规划刺激靶点。仿真结果可直接用于导航，实现刺激区域的可视化呈现。</w:t>
      </w:r>
    </w:p>
    <w:p w14:paraId="001685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2.2.9可导航≥2个超声换能器。</w:t>
      </w:r>
    </w:p>
    <w:p w14:paraId="15AACB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3.脑电测量系统</w:t>
      </w:r>
    </w:p>
    <w:p w14:paraId="4F8626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3.1.脑电采集放大器：</w:t>
      </w:r>
    </w:p>
    <w:p w14:paraId="5A5119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3.1.1通道数：≥64个独立脑电通道，≥8对多功能双极通道，≥4个DC直流通道，≥2个地线通道，≥2个参考通道，≥1个血氧通道，≥1个闪光刺激通道，≥2个事件标记通道。</w:t>
      </w:r>
    </w:p>
    <w:p w14:paraId="043219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3.1.2放大器与主机传输方式：网线传输。</w:t>
      </w:r>
    </w:p>
    <w:p w14:paraId="5EEACC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3.1.3输入阻抗：≥150MΩ。</w:t>
      </w:r>
    </w:p>
    <w:p w14:paraId="3824E0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3.1.4共模抑制比：≥130dB。</w:t>
      </w:r>
    </w:p>
    <w:p w14:paraId="66B9A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3.1.5噪音：≤1μV pk-pk。</w:t>
      </w:r>
    </w:p>
    <w:p w14:paraId="465AF6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3.1.6采样率：≥16000Hz。</w:t>
      </w:r>
    </w:p>
    <w:p w14:paraId="55AEFA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3.2.软件功能：</w:t>
      </w:r>
    </w:p>
    <w:p w14:paraId="45799E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3.2.1数据自动上传功能：放大器断开后，数据可继续存储在放大器中；恢复连接后，放大器内部数据可自动上传到软件里。</w:t>
      </w:r>
    </w:p>
    <w:p w14:paraId="2F1E8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3.2.2事件列表：对各事件发生的时间，持续时间及次数进行列表统计，阅图时可直接跳转到该事件的数据位置。</w:t>
      </w:r>
    </w:p>
    <w:p w14:paraId="6572B4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3.2.3屏幕拷贝功能：具备屏幕拷贝功能、趋势图拷贝功能、区域拷贝功能等，可将拷贝的内容换到其他文档内。</w:t>
      </w:r>
    </w:p>
    <w:p w14:paraId="62F42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3.2.4测量工具：具备自动测量、手动测量、选择测量、EEG测量等功能。</w:t>
      </w:r>
    </w:p>
    <w:p w14:paraId="60EDD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3.2.5脑电地形图：具备绝对/相对功率地形图及幅度地形图。</w:t>
      </w:r>
    </w:p>
    <w:p w14:paraId="0C3085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3.2.6一键生成报告功能：支持一键生成报告，报告模板可编辑。</w:t>
      </w:r>
    </w:p>
    <w:p w14:paraId="3C711B54">
      <w:pPr>
        <w:pStyle w:val="2"/>
        <w:rPr>
          <w:rFonts w:hint="eastAsia"/>
        </w:rPr>
      </w:pPr>
    </w:p>
    <w:p w14:paraId="0EB8244F">
      <w:pPr>
        <w:pStyle w:val="3"/>
        <w:bidi w:val="0"/>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02包：128导认知加工诱发脑电电位仪等</w:t>
      </w:r>
    </w:p>
    <w:p w14:paraId="0E0C0FC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：128导认知加工诱发脑电电位仪</w:t>
      </w:r>
    </w:p>
    <w:p w14:paraId="23F16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1.放大器系统技术参数：</w:t>
      </w:r>
    </w:p>
    <w:p w14:paraId="19DD47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▲1.1单体≥128导联放大器，包含≥128个EEG通道； ≥8个AUX双极通道，设备可同步采集EEG、ERP、ECOG、皮电、呼吸、心电、加速度、温度、血压等生理参数。</w:t>
      </w:r>
    </w:p>
    <w:p w14:paraId="4D1EB2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▲1.2采样速率：最大采样率≥24000Hz/通道@所有通道同时采集时；采样率≥45000Hz/每通道@64通道采集时；采样率≥90000Hz/每通道@32通道采集时。</w:t>
      </w:r>
    </w:p>
    <w:p w14:paraId="0177F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1.3频带宽度：DC-7500Hz。</w:t>
      </w:r>
    </w:p>
    <w:p w14:paraId="3D7091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1.4放大器噪声：≤3μVpp。</w:t>
      </w:r>
    </w:p>
    <w:p w14:paraId="3DE5E0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 A/D转换：≥24位。</w:t>
      </w:r>
    </w:p>
    <w:p w14:paraId="28EB2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1.6输入阻抗：EEG：≥1000MΩ。</w:t>
      </w:r>
    </w:p>
    <w:p w14:paraId="3DEFF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1.7输入噪声：≤3μVpp (DC–35Hz)。</w:t>
      </w:r>
    </w:p>
    <w:p w14:paraId="61E591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1.8输入电压范围：≥±400 mV (EEG)。</w:t>
      </w:r>
    </w:p>
    <w:p w14:paraId="2534AB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1.9触发输入：TTL 信号。</w:t>
      </w:r>
    </w:p>
    <w:p w14:paraId="54E36E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1.10触发输出：TTL 信号。</w:t>
      </w:r>
    </w:p>
    <w:p w14:paraId="3A393D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1.11采用专用USB线进行数据传输，支持在非屏蔽室环境下准确记录脑电信号。</w:t>
      </w:r>
    </w:p>
    <w:p w14:paraId="3FB46C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1.12系统模块化，可拆分为32通道使用，不需要额外购置电极帽。</w:t>
      </w:r>
    </w:p>
    <w:p w14:paraId="2E451F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1.13放大器重量≤1.5kg。</w:t>
      </w:r>
    </w:p>
    <w:p w14:paraId="1000CB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1.14放大器同时兼容盐水电极系统、被动电极系统、主动电极系统等。</w:t>
      </w:r>
    </w:p>
    <w:p w14:paraId="7FF197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1.15电池使用时间：≥10h。</w:t>
      </w:r>
    </w:p>
    <w:p w14:paraId="4D0F65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2.电极帽系统</w:t>
      </w:r>
    </w:p>
    <w:p w14:paraId="710732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2.1通道数：≥128ch。</w:t>
      </w:r>
    </w:p>
    <w:p w14:paraId="1BECA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 Ag/Agcl电极，电极安放位置符合国际标准10-20系统。</w:t>
      </w:r>
    </w:p>
    <w:p w14:paraId="1180D6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▲2.3主动电极技术，通过电极灯光颜色显示可实时监测到电极与头皮的接触情况，LED灯：三种颜色显示阻抗情况。</w:t>
      </w:r>
    </w:p>
    <w:p w14:paraId="3B0F85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2.4电极模块化，单根电极可拆卸。</w:t>
      </w:r>
    </w:p>
    <w:p w14:paraId="4B6731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2.5导电介质为膏状，阻抗≤5kΩ，可稳定维持≥1.5h。</w:t>
      </w:r>
    </w:p>
    <w:p w14:paraId="5EF746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2.6材质为弹性编织材料，可全年龄覆盖新生儿至成人。</w:t>
      </w:r>
    </w:p>
    <w:p w14:paraId="1722A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2.7电极系统直接支持与TMS、fNIRS设备同步采集,无需更换电极系统。</w:t>
      </w:r>
    </w:p>
    <w:p w14:paraId="606DE4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3.刺激与基础科研采集软件</w:t>
      </w:r>
    </w:p>
    <w:p w14:paraId="1E2871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3.1刺激软件支持自由编程，可实现声音、文字、文本、图片等不同类型的实验程序。</w:t>
      </w:r>
    </w:p>
    <w:p w14:paraId="127DF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3.2刺激软件报告计时精度为毫秒级。</w:t>
      </w:r>
    </w:p>
    <w:p w14:paraId="7B3037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3.3刺激软件支持脑电、眼动仪的专用扩展插件。</w:t>
      </w:r>
    </w:p>
    <w:p w14:paraId="6C0319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3.4独立数据采集软件，支持数据采集时可同时分析其它数据。</w:t>
      </w:r>
    </w:p>
    <w:p w14:paraId="48FAB0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3.5采集软件可根据向导菜单结构完成整个硬件设置和硬件/软件滤波配置；也可单独对每个通道设置硬件滤波设备。</w:t>
      </w:r>
    </w:p>
    <w:p w14:paraId="11C6D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3.6采集软件多种数据输入参数可选：导联数量、电极名称、滤波、基线校准及采样率等。</w:t>
      </w:r>
    </w:p>
    <w:p w14:paraId="5A31C9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3.7采集软件实时显示连续的或按照触发器时间标记的EEG波形。</w:t>
      </w:r>
    </w:p>
    <w:p w14:paraId="09569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3.8采集软件可自动标注文件名。</w:t>
      </w:r>
    </w:p>
    <w:p w14:paraId="26F80D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3.9采集软件支持记录生理传感器的信号。</w:t>
      </w:r>
    </w:p>
    <w:p w14:paraId="6D9D07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3.10采集软件可通过 TCP/IP 协议发送数据到网络，支持远程实时数据分析。</w:t>
      </w:r>
    </w:p>
    <w:p w14:paraId="4DC599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3.11采集软件配套提供RDA开发包，支持matlab、python、c、c++环境下的开发工具。</w:t>
      </w:r>
    </w:p>
    <w:p w14:paraId="2480D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3.12自动对通道进行阻抗测试，以不同颜色区分阻抗情况。</w:t>
      </w:r>
    </w:p>
    <w:p w14:paraId="312CD7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4.基础科研数据分析软件：</w:t>
      </w:r>
    </w:p>
    <w:p w14:paraId="4BB02D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4.1独立分析软件。</w:t>
      </w:r>
    </w:p>
    <w:p w14:paraId="41FA6E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4.2可直接兼容支持读取和处理多种格式的脑电数据，如十进制文本、ASCII类型、坐标、触发器等≥50种数据格式 。</w:t>
      </w:r>
    </w:p>
    <w:p w14:paraId="4F0932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4.3多个可视图用于快速的数据可视化和比较。</w:t>
      </w:r>
    </w:p>
    <w:p w14:paraId="348380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4.4具备眼动伪迹函数校正、基线自动校正、ICA/PCA、FFT、小波变换、叠加平均、参考电极更换、滤波、二维脑电地形图、三维脑地形图、电流密度图谱（CSD）制作等功能。</w:t>
      </w:r>
    </w:p>
    <w:p w14:paraId="5111AC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▲4.5软件支持修正TMS干扰。</w:t>
      </w:r>
    </w:p>
    <w:p w14:paraId="0B8F4E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4.6模块化结构的脑事件相关电位分析软件，可提供时域、频域、时频域的各种数据分析模式。</w:t>
      </w:r>
    </w:p>
    <w:p w14:paraId="722A0B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4.7分析软件直接集成源定位算法，数据显示可实时与Matlab相互转换,可与源分析软件BESA兼容。</w:t>
      </w:r>
    </w:p>
    <w:p w14:paraId="72128C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4.8支持批处理记录方式，可自动记录数据处理的每个操作，并可基于这些操作生产操作模版，能自动此模版进行数据批处理，树状结构软件界面。</w:t>
      </w:r>
    </w:p>
    <w:p w14:paraId="27A85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4.9兼容多种厂家EEG/ERP数据分析。</w:t>
      </w:r>
    </w:p>
    <w:p w14:paraId="763244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▲4.10具有事件相关的同步和去同步分析。</w:t>
      </w:r>
    </w:p>
    <w:p w14:paraId="5A182A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5.配置要求</w:t>
      </w:r>
    </w:p>
    <w:p w14:paraId="359C34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5.1放大器系统。</w:t>
      </w:r>
    </w:p>
    <w:p w14:paraId="565C99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5.1.1 128导脑电放大器：1套。</w:t>
      </w:r>
    </w:p>
    <w:p w14:paraId="03CDB5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5.1.2电源模块：1套。</w:t>
      </w:r>
    </w:p>
    <w:p w14:paraId="3B5F81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5.1.3专用USB电缆：1套。</w:t>
      </w:r>
    </w:p>
    <w:p w14:paraId="40FC70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5.2电极帽系统</w:t>
      </w:r>
    </w:p>
    <w:p w14:paraId="7C15E8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5.2.1 64通道电极：2套。</w:t>
      </w:r>
    </w:p>
    <w:p w14:paraId="58B563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5.2.2 128通道电极帽皮：4套。</w:t>
      </w:r>
    </w:p>
    <w:p w14:paraId="3C2490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5.2.3主动信号电极(65cm)：2根。</w:t>
      </w:r>
    </w:p>
    <w:p w14:paraId="35D9C7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5.2.4主动接地电极（160cm）：2根。</w:t>
      </w:r>
    </w:p>
    <w:p w14:paraId="0344FC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5.3软件系统</w:t>
      </w:r>
    </w:p>
    <w:p w14:paraId="44D6FF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5.3.1采集软件含加密狗：1套。</w:t>
      </w:r>
    </w:p>
    <w:p w14:paraId="2D3A3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5.3.2分析软件含加密狗：1套。</w:t>
      </w:r>
    </w:p>
    <w:p w14:paraId="24494F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5.3.3刺激软件含加密狗：1套。</w:t>
      </w:r>
    </w:p>
    <w:p w14:paraId="45EB58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5.3.4软件安装U盘：1套。</w:t>
      </w:r>
    </w:p>
    <w:p w14:paraId="38B21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5.4系统附件</w:t>
      </w:r>
    </w:p>
    <w:p w14:paraId="397157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5.4.1导电膏：2桶。</w:t>
      </w:r>
    </w:p>
    <w:p w14:paraId="27E02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5.4.2磨砂膏：2支。</w:t>
      </w:r>
    </w:p>
    <w:p w14:paraId="1AEE0C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5.4.3黑色便携箱：1个。</w:t>
      </w:r>
    </w:p>
    <w:p w14:paraId="22D1B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5.4.4放大器启动套件：1套。</w:t>
      </w:r>
    </w:p>
    <w:p w14:paraId="009729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5.5工作站</w:t>
      </w:r>
    </w:p>
    <w:p w14:paraId="68378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5.5.1专用工作站：2套。</w:t>
      </w:r>
    </w:p>
    <w:p w14:paraId="3AE8AC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5.5.2 同步显示器含配件：1套。</w:t>
      </w:r>
    </w:p>
    <w:p w14:paraId="4245000B">
      <w:pPr>
        <w:pStyle w:val="2"/>
        <w:rPr>
          <w:rFonts w:hint="eastAsia"/>
          <w:lang w:val="en-US" w:eastAsia="zh-CN"/>
        </w:rPr>
      </w:pPr>
    </w:p>
    <w:p w14:paraId="137172E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：神经导航系统</w:t>
      </w:r>
    </w:p>
    <w:p w14:paraId="5DFA02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1.导航系统硬件</w:t>
      </w:r>
    </w:p>
    <w:p w14:paraId="64AA75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1.1导航系统影像工作站：≥24英寸显示器，分辨率≥4.5K，8核及以上中央处理器，7核及以上图形处理器。</w:t>
      </w:r>
    </w:p>
    <w:p w14:paraId="35740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1.2光学定位器：高速近红外光定位器、精度误差≤1mm。</w:t>
      </w:r>
    </w:p>
    <w:p w14:paraId="18E25A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▲1.3追踪线圈数量：≥2个，支持同时定位并同一屏幕同时显示多个线圈，多个线圈可同时在导航系统下工作，并可设置接收多个线圈的不同触发输入信号，满足双靶点同步刺激需要。</w:t>
      </w:r>
    </w:p>
    <w:p w14:paraId="61EFF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1.4追踪器：单个追踪器反射球数量≥3。追踪器为金属材质，钢体具有独立编号及识别配置文件。</w:t>
      </w:r>
    </w:p>
    <w:p w14:paraId="786C91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1.5被试追踪器固定方式≥3种，支持头戴式，眼镜式，贴片式等固定。</w:t>
      </w:r>
    </w:p>
    <w:p w14:paraId="748655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1.6隔离电源：配备独立医用级别隔离电源，包括工作站在内的整套系统供电。</w:t>
      </w:r>
    </w:p>
    <w:p w14:paraId="17952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▲1.7双通道EMG模块：采样率≥2kHz/通道，EMG模块共模抑制比≥100 dB。</w:t>
      </w:r>
    </w:p>
    <w:p w14:paraId="7AB8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1.8接口要求：配备独立I/O接口模块，BNC触发输入接口≥2，BNC触发输出接口≥1，脚踏开关接口≥1，网络接口≥2，支持POE供电。</w:t>
      </w:r>
    </w:p>
    <w:p w14:paraId="056EE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1.9便携式近红外脑血氧脑功能监测模块：</w:t>
      </w:r>
    </w:p>
    <w:p w14:paraId="51AFC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1.9.1全套重量≤35g；光源包括双波长：840nm±10nm、760nm±10nm。 </w:t>
      </w:r>
    </w:p>
    <w:p w14:paraId="4BFA90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1.9.2监测参数包括氧血红蛋白浓度变化、去氧血红蛋白浓度变化、总血红蛋白浓度变化、脑氧饱和度（rSO2）并支持原始数据导出用于fNIRS分析。</w:t>
      </w:r>
    </w:p>
    <w:p w14:paraId="75CEBA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1.9.3提供配套监测软件，支持手机/平板等便携设备持续监测需求。</w:t>
      </w:r>
    </w:p>
    <w:p w14:paraId="2E780D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2.软件功能：</w:t>
      </w:r>
    </w:p>
    <w:p w14:paraId="1E2560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2.1.导航功能：</w:t>
      </w:r>
    </w:p>
    <w:p w14:paraId="7EA4CC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2.1.1支持经颅磁刺激、经颅超声刺激等多种神经调控技术精准导航应用。</w:t>
      </w:r>
    </w:p>
    <w:p w14:paraId="4BE876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2.1.2支持基于标准头模和导入被试个体影像数据全自动三维重建进行导航两种方式。</w:t>
      </w:r>
    </w:p>
    <w:p w14:paraId="34F04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2.1.3支持头部坐标注册及影像融合功能、在三维影像上实时显示磁刺激线圈或超声换能器及位置。</w:t>
      </w:r>
    </w:p>
    <w:p w14:paraId="77EA2C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2.1.4支持在图像上预先设定刺激靶点、能够在刺激期间记录并显示线圈或换能器的位置、水平角度和垂直角度误差、可以动态连续地记录线圈位置、实时监视被试者和线圈的位置变化、图像。</w:t>
      </w:r>
    </w:p>
    <w:p w14:paraId="17B184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2.2文件导入格式：支持导入包括DICOM、ACR/NEMA、Analyze 7.5、MINC在内的多种医用影像文件格式，并进行自动三维重建。</w:t>
      </w:r>
    </w:p>
    <w:p w14:paraId="2BD247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2.3支持以Overlay叠加显示功能导入fMRI数据或第三方软件处理后的影像数据，支持时间序列数据（从NIfTI和MINC2文件中读取）导入及显示，支持通过滑块来调整时间序列数据的时间偏移。</w:t>
      </w:r>
    </w:p>
    <w:p w14:paraId="31E7C2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2.4坐标系：支持融合导入MNI坐标和Talairach坐标，支持手动标定AC/PC或导入配准文件两种方式进行坐标系配准。</w:t>
      </w:r>
    </w:p>
    <w:p w14:paraId="1F413E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2.5兴趣区（ROI）标定：</w:t>
      </w:r>
    </w:p>
    <w:p w14:paraId="31C47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2.5.1支持在2D核磁影像上手动标定勾画兴趣区（ROI）并基于ROI进行自动三维重建。</w:t>
      </w:r>
    </w:p>
    <w:p w14:paraId="49AFA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2.5.2支持通过从医学图像文件（DICOM、NIfTI、MINC等）导入自动创建ROI。</w:t>
      </w:r>
    </w:p>
    <w:p w14:paraId="597A3F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2.6支持多种靶点设置方式：</w:t>
      </w:r>
    </w:p>
    <w:p w14:paraId="4057DB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2.6.1支持标记点、标记点矩阵、含角度信息的单个轨迹、轨迹矩阵等多种形式靶点设置。</w:t>
      </w:r>
    </w:p>
    <w:p w14:paraId="742479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2.6.2支持通过输入MNI坐标自动定位选定靶点。</w:t>
      </w:r>
    </w:p>
    <w:p w14:paraId="5AFE54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2.6.3支持输入角度数值或拖动调整工具调整靶点水平角度和垂直角度。</w:t>
      </w:r>
    </w:p>
    <w:p w14:paraId="50EA88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2.6.4支持对所选靶点根据皮层或头部弧度一键自动优化角度。</w:t>
      </w:r>
    </w:p>
    <w:p w14:paraId="46B01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2.6.5支持将记录到的刺激位点一键转化为追踪靶点。</w:t>
      </w:r>
    </w:p>
    <w:p w14:paraId="65821F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2.7数据导出功能：</w:t>
      </w:r>
    </w:p>
    <w:p w14:paraId="02FCE5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2.7.1支持数据流功能实时导出导航相关坐标数据及EMG波形数据供第三方软件实时读取。</w:t>
      </w:r>
    </w:p>
    <w:p w14:paraId="5A4100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▲2.7.2支持将3D重建结果以.dxf和.stl等常见三维数据文件格式导出。</w:t>
      </w:r>
    </w:p>
    <w:p w14:paraId="6E6FDF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2.7.3支持实验结束后以文本文件格式导出导航数据及EMG波形数据。</w:t>
      </w:r>
    </w:p>
    <w:p w14:paraId="70B9BF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2.8语音控制：支持语音识别控制。</w:t>
      </w:r>
    </w:p>
    <w:p w14:paraId="56421B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▲2.9磁刺激电场仿真模拟显示：支持导入开源磁刺激仿真软件影像分割数据，支持选择不同型号刺激线圈进行刺激电场仿真模拟呈现，内置线圈型号数量≥3种。</w:t>
      </w:r>
    </w:p>
    <w:p w14:paraId="57B38E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2.10磁刺激电场仿真模拟功能支持导入自定义线圈文件。</w:t>
      </w:r>
    </w:p>
    <w:p w14:paraId="7DBE2C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2.11近红外脑功能成像（fNIRS）系统数据接口：支持第三方近红外光脑成像信号数据导入显示功能,支持采集显示近红外光和探头位置。</w:t>
      </w:r>
    </w:p>
    <w:p w14:paraId="6DE0DE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2.12支持外部第三方应用程序通过网络进行实时数据交互及编程控制：</w:t>
      </w:r>
    </w:p>
    <w:p w14:paraId="770AA6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2.12.1支持开启TCP/IP 网络服务器功能，可同时接受来自多个客户端应用程序的连接并进行双向通讯。</w:t>
      </w:r>
    </w:p>
    <w:p w14:paraId="135B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2.12.2支持客户端应用程序接收实时追踪工具位置信息以及肌电数据，并控制导航软件创建和/或设置目标，并根据指令将第三方机器人送达目标位置。</w:t>
      </w:r>
    </w:p>
    <w:p w14:paraId="0D93A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2.12.3支持设定导航软件可以在触发预设条件时向客户端发送数据。</w:t>
      </w:r>
    </w:p>
    <w:p w14:paraId="4BC70D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2.12.4提供网络通信协议的文档和示例 Python 控制代码。</w:t>
      </w:r>
    </w:p>
    <w:p w14:paraId="07BEDC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2.13导航软件提供批量授权，支持同时安装并运行计算机数量≥10，支持≥10台计算机进行数据预处理、离线分析和教学演示交流。</w:t>
      </w:r>
    </w:p>
    <w:p w14:paraId="69A8F6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3.配置要求</w:t>
      </w:r>
    </w:p>
    <w:p w14:paraId="1EF0C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3.1数码无源红外光学定位器：1个。</w:t>
      </w:r>
    </w:p>
    <w:p w14:paraId="132662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3.2导航专用双通道EMG记录装置：1套。</w:t>
      </w:r>
    </w:p>
    <w:p w14:paraId="2EE142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3.3导航系统输入输出接口盒：1台。</w:t>
      </w:r>
    </w:p>
    <w:p w14:paraId="67286C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3.4隔离变压器：1台。</w:t>
      </w:r>
    </w:p>
    <w:p w14:paraId="71CB22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3.5校准工具：1个。</w:t>
      </w:r>
    </w:p>
    <w:p w14:paraId="3CA90D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3.6被动反射目标追踪器：1个。</w:t>
      </w:r>
    </w:p>
    <w:p w14:paraId="69A1AB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3.7被动反射线圈追踪器：1个。</w:t>
      </w:r>
    </w:p>
    <w:p w14:paraId="5DBB09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3.8被动反射指示器：1个。</w:t>
      </w:r>
    </w:p>
    <w:p w14:paraId="277920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3.9头带式固定带：1个。</w:t>
      </w:r>
    </w:p>
    <w:p w14:paraId="2CEAD4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3.10眼镜式固定架：1个。</w:t>
      </w:r>
    </w:p>
    <w:p w14:paraId="719C4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3.11目标追踪器：1个。</w:t>
      </w:r>
    </w:p>
    <w:p w14:paraId="572B87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3.12神经影像导航定位软件：1套。</w:t>
      </w:r>
    </w:p>
    <w:p w14:paraId="0C323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3.13便携式近红外脑功能监测模块：1套。</w:t>
      </w:r>
    </w:p>
    <w:p w14:paraId="092D7B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3.14导航系统影像工作站：1套。</w:t>
      </w:r>
    </w:p>
    <w:p w14:paraId="27D5CF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3.15导航系统专用一体化仪器车：1台。</w:t>
      </w:r>
    </w:p>
    <w:p w14:paraId="120237E1">
      <w:pPr>
        <w:pStyle w:val="2"/>
        <w:rPr>
          <w:rFonts w:hint="eastAsia"/>
          <w:lang w:val="en-US" w:eastAsia="zh-CN"/>
        </w:rPr>
      </w:pPr>
    </w:p>
    <w:p w14:paraId="64F8068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：64导脑电图机</w:t>
      </w:r>
    </w:p>
    <w:p w14:paraId="5BE442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1.硬件参数</w:t>
      </w:r>
    </w:p>
    <w:p w14:paraId="08581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1.1具有ABR、EEG、ERP、ECOG、SPIKE等采集功能。</w:t>
      </w:r>
    </w:p>
    <w:p w14:paraId="5782AA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▲1.2单体70导放大器为不可拆分式，所有64导脑电、4个双极通道集中在一块信号放大电路板上，保证脑电信号采集的同步性和一致性。控制盒可支持≥4个放大器同步采集，实现多人同步脑电等功能。</w:t>
      </w:r>
    </w:p>
    <w:p w14:paraId="47E101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▲1.3采样率:≥19000 Hz/导。</w:t>
      </w:r>
    </w:p>
    <w:p w14:paraId="5B2A7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1.4输入阻抗:≥8 GΩ。</w:t>
      </w:r>
    </w:p>
    <w:p w14:paraId="59BD0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1.5最大升级容量：≥500导。</w:t>
      </w:r>
    </w:p>
    <w:p w14:paraId="316B2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1.6带宽:0～3400 Hz。</w:t>
      </w:r>
    </w:p>
    <w:p w14:paraId="0142B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 A/D 转换分辨率: ≥22Bit。</w:t>
      </w:r>
    </w:p>
    <w:p w14:paraId="146821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1.8共模抑制比:≥110dB，输入噪声:≤0.5μV RMS，灵敏度:≤30nV/bit @DC模式，≤10nV/bit；@AC模式。</w:t>
      </w:r>
    </w:p>
    <w:p w14:paraId="322304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1.9系统增益:≥2000 @（AC Mode）。</w:t>
      </w:r>
    </w:p>
    <w:p w14:paraId="21F506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1.10放大器具有AC与DC两种采集方式，放大器为核磁兼容型。</w:t>
      </w:r>
    </w:p>
    <w:p w14:paraId="4BE3A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2.刺激呈现/采集分析系统</w:t>
      </w:r>
    </w:p>
    <w:p w14:paraId="35AEF8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工作站2套：屏幕≥22英寸，CPU物理核心数≥16，CPU主频：≥3.2GHz,内存容量：≥8GB，独立显卡：≥2GB,硬盘容量：≥2TB，提供操作系统。</w:t>
      </w:r>
    </w:p>
    <w:p w14:paraId="0E9DC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3.软件功能</w:t>
      </w:r>
    </w:p>
    <w:p w14:paraId="3108F5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3.1连续或分段采集，支持同一套软件同时采集≥8个人。</w:t>
      </w:r>
    </w:p>
    <w:p w14:paraId="5CFE27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3.2系统自动校准放大器、刺激生成系统、脑电采集（包括输入阻抗测试）等。</w:t>
      </w:r>
    </w:p>
    <w:p w14:paraId="48AFB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3.3支持在数据采集过程中所有事件自动检测并记录，反应代码和刺激代码可以有效分离。</w:t>
      </w:r>
    </w:p>
    <w:p w14:paraId="448D57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3.4系统应具备实时数据采集与存储功能，支持受试者行为数据的在线实时监测，并自动生成标准化数据文件以供离线分析。</w:t>
      </w:r>
    </w:p>
    <w:p w14:paraId="59946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3.5软件自动校准，使刺激与记录严格同步。</w:t>
      </w:r>
    </w:p>
    <w:p w14:paraId="382E9B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3.6支持单极记录和双极记录脑电，参考电极可根据实验要求任意选择相关位置。 </w:t>
      </w:r>
    </w:p>
    <w:p w14:paraId="4EF50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3.7支持在线进行脑电阻抗检测及数据分析。</w:t>
      </w:r>
    </w:p>
    <w:p w14:paraId="09B6EC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3.8支持在线进行滤波（从傅氏变换到小波变换）、数据重组。</w:t>
      </w:r>
    </w:p>
    <w:p w14:paraId="2BB04C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3.9支持在线进行脑电频谱分析及时域特征分析、叠加平均。</w:t>
      </w:r>
    </w:p>
    <w:p w14:paraId="0CC76C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3.10支持在线进行PCA/ICA成分分析。</w:t>
      </w:r>
    </w:p>
    <w:p w14:paraId="57563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3.11支持在线进行多种方式的数据呈现。</w:t>
      </w:r>
    </w:p>
    <w:p w14:paraId="01EF18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3.12支持2D和3D脑电地形图（时域及频域特征）及其动态在线呈现。</w:t>
      </w:r>
    </w:p>
    <w:p w14:paraId="061E86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3.13支持在线数据转接到Matlab。</w:t>
      </w:r>
    </w:p>
    <w:p w14:paraId="334B65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3.14根据实验和研究需求进行数据滤波、数据重组、去除眼电干扰及伪迹剃除。</w:t>
      </w:r>
    </w:p>
    <w:p w14:paraId="6EA0D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3.15支持事件相关的脑电位、频谱、相干/同步分析。</w:t>
      </w:r>
    </w:p>
    <w:p w14:paraId="0376B1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3.16支持ASCII码读入和输出数据。</w:t>
      </w:r>
    </w:p>
    <w:p w14:paraId="0EA2E0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3.17提供宏命令，一键式完成批量处理。</w:t>
      </w:r>
    </w:p>
    <w:p w14:paraId="4B649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4.电极帽技术要求</w:t>
      </w:r>
    </w:p>
    <w:p w14:paraId="44FF3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4.1银/氯化银(Ag/AgC1)电极。</w:t>
      </w:r>
    </w:p>
    <w:p w14:paraId="101195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4.2电极帽标注电极位置。</w:t>
      </w:r>
    </w:p>
    <w:p w14:paraId="4AA3EF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4.3导电介质为导电膏，头皮输入阻抗≤5kΩ。</w:t>
      </w:r>
    </w:p>
    <w:p w14:paraId="19BD61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5.配置要求</w:t>
      </w:r>
    </w:p>
    <w:p w14:paraId="372AE2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5.1放大器：1台。</w:t>
      </w:r>
    </w:p>
    <w:p w14:paraId="3277CE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5.2同步控制盒：1台。</w:t>
      </w:r>
    </w:p>
    <w:p w14:paraId="0655FE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5.3采集软件：1套。</w:t>
      </w:r>
    </w:p>
    <w:p w14:paraId="60594C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5.4数据分析软件：1套。</w:t>
      </w:r>
    </w:p>
    <w:p w14:paraId="727F9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5.5 电极帽：2顶。</w:t>
      </w:r>
    </w:p>
    <w:p w14:paraId="46E865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5.6电极帽附件：1套。</w:t>
      </w:r>
    </w:p>
    <w:p w14:paraId="04F721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5.7导电膏：3桶。</w:t>
      </w:r>
    </w:p>
    <w:p w14:paraId="7067E3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5.8磨砂膏：4支。</w:t>
      </w:r>
    </w:p>
    <w:p w14:paraId="43A2E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5.9工作站：2台。</w:t>
      </w:r>
    </w:p>
    <w:p w14:paraId="26F1DC08">
      <w:pPr>
        <w:widowControl/>
        <w:numPr>
          <w:ilvl w:val="0"/>
          <w:numId w:val="2"/>
        </w:numPr>
        <w:spacing w:line="360" w:lineRule="auto"/>
        <w:ind w:firstLine="482" w:firstLineChars="200"/>
        <w:contextualSpacing/>
        <w:jc w:val="lef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特别说明：</w:t>
      </w:r>
    </w:p>
    <w:p w14:paraId="2238C46D">
      <w:pPr>
        <w:spacing w:line="360" w:lineRule="auto"/>
        <w:ind w:firstLine="480" w:firstLineChars="200"/>
        <w:jc w:val="left"/>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标注“</w:t>
      </w:r>
      <w:r>
        <w:rPr>
          <w:rFonts w:hint="eastAsia" w:ascii="宋体" w:hAnsi="宋体" w:cs="宋体"/>
          <w:bCs/>
          <w:kern w:val="0"/>
          <w:sz w:val="24"/>
          <w:highlight w:val="none"/>
        </w:rPr>
        <w:t>▲</w:t>
      </w:r>
      <w:r>
        <w:rPr>
          <w:rFonts w:hint="eastAsia" w:ascii="宋体" w:hAnsi="宋体"/>
          <w:sz w:val="24"/>
          <w:highlight w:val="none"/>
        </w:rPr>
        <w:t>”的指标为重要的技术指标，不满足将导致其在第四章评标标准中对采购需求的响应情况被扣除相应分值。</w:t>
      </w:r>
    </w:p>
    <w:p w14:paraId="063F5168">
      <w:pPr>
        <w:widowControl/>
        <w:spacing w:line="360" w:lineRule="auto"/>
        <w:ind w:firstLine="480" w:firstLineChars="200"/>
        <w:contextualSpacing/>
        <w:jc w:val="left"/>
        <w:rPr>
          <w:rFonts w:hint="default" w:eastAsia="宋体"/>
          <w:highlight w:val="none"/>
          <w:lang w:val="en-US" w:eastAsia="zh-CN"/>
        </w:rPr>
      </w:pPr>
      <w:r>
        <w:rPr>
          <w:rFonts w:hint="eastAsia" w:ascii="宋体" w:hAnsi="宋体"/>
          <w:sz w:val="24"/>
          <w:highlight w:val="none"/>
          <w:lang w:val="en-US" w:eastAsia="zh-CN"/>
        </w:rPr>
        <w:t>2.</w:t>
      </w:r>
      <w:r>
        <w:rPr>
          <w:rFonts w:hint="eastAsia" w:ascii="宋体" w:hAnsi="宋体"/>
          <w:sz w:val="24"/>
          <w:highlight w:val="none"/>
        </w:rPr>
        <w:t>对于技术规格中标注“</w:t>
      </w:r>
      <w:r>
        <w:rPr>
          <w:rFonts w:hint="eastAsia" w:ascii="宋体" w:hAnsi="宋体" w:cs="宋体"/>
          <w:bCs/>
          <w:kern w:val="0"/>
          <w:sz w:val="24"/>
          <w:highlight w:val="none"/>
        </w:rPr>
        <w:t>▲</w:t>
      </w:r>
      <w:r>
        <w:rPr>
          <w:rFonts w:hint="eastAsia" w:ascii="宋体" w:hAnsi="宋体"/>
          <w:sz w:val="24"/>
          <w:highlight w:val="none"/>
        </w:rPr>
        <w:t>”号的技术指标，投标人须在投标文件中按照招标文件技术规格的要求提供技术应答的证明材料，其中证明材料</w:t>
      </w:r>
      <w:r>
        <w:rPr>
          <w:rFonts w:hint="eastAsia" w:ascii="宋体" w:hAnsi="宋体"/>
          <w:sz w:val="24"/>
          <w:highlight w:val="none"/>
          <w:lang w:val="en-US" w:eastAsia="zh-CN"/>
        </w:rPr>
        <w:t>除</w:t>
      </w:r>
      <w:r>
        <w:rPr>
          <w:rFonts w:hint="eastAsia" w:ascii="宋体" w:hAnsi="宋体"/>
          <w:sz w:val="24"/>
          <w:highlight w:val="none"/>
        </w:rPr>
        <w:t>招标文件</w:t>
      </w:r>
      <w:r>
        <w:rPr>
          <w:rFonts w:hint="eastAsia" w:ascii="宋体" w:hAnsi="宋体"/>
          <w:sz w:val="24"/>
          <w:highlight w:val="none"/>
          <w:lang w:val="en-US" w:eastAsia="zh-CN"/>
        </w:rPr>
        <w:t>中有</w:t>
      </w:r>
      <w:r>
        <w:rPr>
          <w:rFonts w:hint="eastAsia" w:ascii="宋体" w:hAnsi="宋体"/>
          <w:sz w:val="24"/>
          <w:highlight w:val="none"/>
        </w:rPr>
        <w:t>明确规定的证明</w:t>
      </w:r>
      <w:r>
        <w:rPr>
          <w:rFonts w:hint="eastAsia" w:ascii="宋体" w:hAnsi="宋体"/>
          <w:sz w:val="24"/>
          <w:highlight w:val="none"/>
          <w:lang w:val="en-US" w:eastAsia="zh-CN"/>
        </w:rPr>
        <w:t>材</w:t>
      </w:r>
      <w:r>
        <w:rPr>
          <w:rFonts w:hint="eastAsia" w:ascii="宋体" w:hAnsi="宋体"/>
          <w:sz w:val="24"/>
          <w:highlight w:val="none"/>
        </w:rPr>
        <w:t>料</w:t>
      </w:r>
      <w:r>
        <w:rPr>
          <w:rFonts w:hint="eastAsia" w:ascii="宋体" w:hAnsi="宋体"/>
          <w:sz w:val="24"/>
          <w:highlight w:val="none"/>
          <w:lang w:val="en-US" w:eastAsia="zh-CN"/>
        </w:rPr>
        <w:t>外，其余</w:t>
      </w:r>
      <w:r>
        <w:rPr>
          <w:rFonts w:hint="eastAsia" w:ascii="宋体" w:hAnsi="宋体"/>
          <w:sz w:val="24"/>
          <w:highlight w:val="none"/>
        </w:rPr>
        <w:t>“▲”号的技术指标</w:t>
      </w:r>
      <w:r>
        <w:rPr>
          <w:rFonts w:hint="eastAsia" w:ascii="宋体" w:hAnsi="宋体"/>
          <w:sz w:val="24"/>
          <w:highlight w:val="none"/>
          <w:lang w:val="en-US" w:eastAsia="zh-CN"/>
        </w:rPr>
        <w:t>需提供</w:t>
      </w:r>
      <w:r>
        <w:rPr>
          <w:rFonts w:hint="eastAsia" w:ascii="宋体" w:hAnsi="宋体"/>
          <w:sz w:val="24"/>
          <w:highlight w:val="none"/>
        </w:rPr>
        <w:t>产品说明书或产品彩页或检测机构出具的检验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4D8B33C6">
      <w:pPr>
        <w:rPr>
          <w:b/>
          <w:sz w:val="36"/>
          <w:szCs w:val="36"/>
        </w:rPr>
      </w:pPr>
      <w:r>
        <w:rPr>
          <w:b/>
          <w:sz w:val="36"/>
          <w:szCs w:val="36"/>
        </w:rPr>
        <w:br w:type="page"/>
      </w:r>
    </w:p>
    <w:p w14:paraId="0C4E72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4862A0"/>
    <w:multiLevelType w:val="singleLevel"/>
    <w:tmpl w:val="794862A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F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39"/>
    <w:pPr>
      <w:tabs>
        <w:tab w:val="right" w:leader="dot" w:pos="8937"/>
      </w:tabs>
      <w:spacing w:line="312" w:lineRule="auto"/>
      <w:ind w:left="420" w:leftChars="200"/>
    </w:pPr>
  </w:style>
  <w:style w:type="paragraph" w:styleId="6">
    <w:name w:val="Body Text 2"/>
    <w:basedOn w:val="1"/>
    <w:semiHidden/>
    <w:unhideWhenUsed/>
    <w:qFormat/>
    <w:uiPriority w:val="99"/>
    <w:pPr>
      <w:spacing w:after="120" w:line="480" w:lineRule="auto"/>
    </w:pPr>
  </w:style>
  <w:style w:type="paragraph" w:customStyle="1" w:styleId="9">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2025-12-29T08:25:18Z</dcterms:created>
  <dc:creator>zxhd</dc:creator>
  <cp:lastModifiedBy>WYJ</cp:lastModifiedBy>
  <dcterms:modified xsi:type="dcterms:W3CDTF">2025-12-29T08:25:24Z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FDC03E08C76A49A187061107354EC4B9_12</vt:lpwstr>
  </property>
</Properties>
</file>