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BF47F">
      <w:pPr>
        <w:spacing w:line="360" w:lineRule="auto"/>
        <w:jc w:val="center"/>
        <w:outlineLvl w:val="0"/>
        <w:rPr>
          <w:b/>
          <w:sz w:val="36"/>
          <w:szCs w:val="36"/>
        </w:rPr>
      </w:pPr>
      <w:bookmarkStart w:id="0" w:name="_Toc99301424"/>
      <w:r>
        <w:rPr>
          <w:b/>
          <w:sz w:val="36"/>
          <w:szCs w:val="36"/>
        </w:rPr>
        <w:t>第五章   采购需求</w:t>
      </w:r>
      <w:bookmarkEnd w:id="0"/>
    </w:p>
    <w:p w14:paraId="2B6C2A22">
      <w:pPr>
        <w:jc w:val="center"/>
        <w:rPr>
          <w:rFonts w:hint="eastAsia" w:ascii="黑体" w:hAnsi="宋体" w:eastAsia="黑体" w:cs="宋体"/>
          <w:kern w:val="0"/>
          <w:sz w:val="32"/>
          <w:szCs w:val="32"/>
        </w:rPr>
      </w:pPr>
    </w:p>
    <w:p w14:paraId="4F469719">
      <w:pPr>
        <w:pStyle w:val="7"/>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63CF6A4F">
      <w:pPr>
        <w:spacing w:line="360" w:lineRule="auto"/>
        <w:contextualSpacing/>
        <w:rPr>
          <w:bCs/>
          <w:sz w:val="24"/>
        </w:rPr>
      </w:pPr>
      <w:r>
        <w:rPr>
          <w:bCs/>
          <w:sz w:val="24"/>
        </w:rPr>
        <w:t>1. 采购标的（货物需求一览表或简要服务内容及数量）</w:t>
      </w:r>
    </w:p>
    <w:tbl>
      <w:tblPr>
        <w:tblStyle w:val="4"/>
        <w:tblpPr w:leftFromText="180" w:rightFromText="180" w:vertAnchor="text" w:horzAnchor="page" w:tblpX="2083" w:tblpY="455"/>
        <w:tblOverlap w:val="never"/>
        <w:tblW w:w="8513" w:type="dxa"/>
        <w:tblInd w:w="0" w:type="dxa"/>
        <w:tblLayout w:type="fixed"/>
        <w:tblCellMar>
          <w:top w:w="0" w:type="dxa"/>
          <w:left w:w="108" w:type="dxa"/>
          <w:bottom w:w="0" w:type="dxa"/>
          <w:right w:w="108" w:type="dxa"/>
        </w:tblCellMar>
      </w:tblPr>
      <w:tblGrid>
        <w:gridCol w:w="1221"/>
        <w:gridCol w:w="3406"/>
        <w:gridCol w:w="1875"/>
        <w:gridCol w:w="2011"/>
      </w:tblGrid>
      <w:tr w14:paraId="6F03E94F">
        <w:tblPrEx>
          <w:tblCellMar>
            <w:top w:w="0" w:type="dxa"/>
            <w:left w:w="108" w:type="dxa"/>
            <w:bottom w:w="0" w:type="dxa"/>
            <w:right w:w="108" w:type="dxa"/>
          </w:tblCellMar>
        </w:tblPrEx>
        <w:trPr>
          <w:trHeight w:val="532" w:hRule="atLeast"/>
        </w:trPr>
        <w:tc>
          <w:tcPr>
            <w:tcW w:w="1221" w:type="dxa"/>
            <w:tcBorders>
              <w:top w:val="single" w:color="auto" w:sz="4" w:space="0"/>
              <w:left w:val="single" w:color="auto" w:sz="4" w:space="0"/>
              <w:bottom w:val="single" w:color="auto" w:sz="4" w:space="0"/>
              <w:right w:val="single" w:color="auto" w:sz="4" w:space="0"/>
            </w:tcBorders>
            <w:noWrap/>
            <w:vAlign w:val="center"/>
          </w:tcPr>
          <w:p w14:paraId="539A4DF8">
            <w:pPr>
              <w:widowControl/>
              <w:spacing w:line="390" w:lineRule="exact"/>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序号</w:t>
            </w:r>
          </w:p>
        </w:tc>
        <w:tc>
          <w:tcPr>
            <w:tcW w:w="3406" w:type="dxa"/>
            <w:tcBorders>
              <w:top w:val="single" w:color="auto" w:sz="4" w:space="0"/>
              <w:left w:val="nil"/>
              <w:bottom w:val="single" w:color="auto" w:sz="4" w:space="0"/>
              <w:right w:val="single" w:color="auto" w:sz="4" w:space="0"/>
            </w:tcBorders>
            <w:noWrap/>
            <w:vAlign w:val="center"/>
          </w:tcPr>
          <w:p w14:paraId="319DA1AC">
            <w:pPr>
              <w:widowControl/>
              <w:spacing w:line="390" w:lineRule="exact"/>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名称</w:t>
            </w:r>
          </w:p>
        </w:tc>
        <w:tc>
          <w:tcPr>
            <w:tcW w:w="1875" w:type="dxa"/>
            <w:tcBorders>
              <w:top w:val="single" w:color="auto" w:sz="4" w:space="0"/>
              <w:left w:val="nil"/>
              <w:bottom w:val="single" w:color="auto" w:sz="4" w:space="0"/>
              <w:right w:val="single" w:color="auto" w:sz="4" w:space="0"/>
            </w:tcBorders>
            <w:noWrap/>
            <w:vAlign w:val="center"/>
          </w:tcPr>
          <w:p w14:paraId="7317DF8F">
            <w:pPr>
              <w:widowControl/>
              <w:spacing w:line="390" w:lineRule="exact"/>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单位</w:t>
            </w:r>
          </w:p>
        </w:tc>
        <w:tc>
          <w:tcPr>
            <w:tcW w:w="2011" w:type="dxa"/>
            <w:tcBorders>
              <w:top w:val="single" w:color="auto" w:sz="4" w:space="0"/>
              <w:left w:val="nil"/>
              <w:bottom w:val="single" w:color="auto" w:sz="4" w:space="0"/>
              <w:right w:val="single" w:color="auto" w:sz="4" w:space="0"/>
            </w:tcBorders>
            <w:noWrap/>
            <w:vAlign w:val="center"/>
          </w:tcPr>
          <w:p w14:paraId="1F85C195">
            <w:pPr>
              <w:widowControl/>
              <w:spacing w:line="390" w:lineRule="exact"/>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数量</w:t>
            </w:r>
          </w:p>
        </w:tc>
      </w:tr>
      <w:tr w14:paraId="1DBB6A52">
        <w:tblPrEx>
          <w:tblCellMar>
            <w:top w:w="0" w:type="dxa"/>
            <w:left w:w="108" w:type="dxa"/>
            <w:bottom w:w="0" w:type="dxa"/>
            <w:right w:w="108" w:type="dxa"/>
          </w:tblCellMar>
        </w:tblPrEx>
        <w:trPr>
          <w:trHeight w:val="532" w:hRule="atLeast"/>
        </w:trPr>
        <w:tc>
          <w:tcPr>
            <w:tcW w:w="1221" w:type="dxa"/>
            <w:tcBorders>
              <w:top w:val="single" w:color="auto" w:sz="4" w:space="0"/>
              <w:left w:val="single" w:color="auto" w:sz="4" w:space="0"/>
              <w:bottom w:val="single" w:color="auto" w:sz="4" w:space="0"/>
              <w:right w:val="single" w:color="auto" w:sz="4" w:space="0"/>
            </w:tcBorders>
            <w:noWrap/>
            <w:vAlign w:val="center"/>
          </w:tcPr>
          <w:p w14:paraId="612C6C10">
            <w:pPr>
              <w:widowControl/>
              <w:spacing w:line="390" w:lineRule="exact"/>
              <w:jc w:val="center"/>
              <w:rPr>
                <w:rFonts w:hint="eastAsia" w:ascii="宋体" w:hAnsi="宋体" w:eastAsia="宋体" w:cs="宋体"/>
                <w:b/>
                <w:bCs/>
                <w:color w:val="000000"/>
                <w:kern w:val="0"/>
                <w:sz w:val="24"/>
              </w:rPr>
            </w:pPr>
            <w:r>
              <w:rPr>
                <w:rFonts w:hint="eastAsia" w:ascii="宋体" w:hAnsi="宋体" w:eastAsia="宋体" w:cs="宋体"/>
                <w:color w:val="000000"/>
                <w:kern w:val="0"/>
                <w:sz w:val="24"/>
              </w:rPr>
              <w:t>1</w:t>
            </w:r>
          </w:p>
        </w:tc>
        <w:tc>
          <w:tcPr>
            <w:tcW w:w="3406" w:type="dxa"/>
            <w:tcBorders>
              <w:top w:val="single" w:color="auto" w:sz="4" w:space="0"/>
              <w:left w:val="nil"/>
              <w:bottom w:val="single" w:color="auto" w:sz="4" w:space="0"/>
              <w:right w:val="single" w:color="auto" w:sz="4" w:space="0"/>
            </w:tcBorders>
            <w:noWrap/>
            <w:vAlign w:val="center"/>
          </w:tcPr>
          <w:p w14:paraId="50369D38">
            <w:pPr>
              <w:widowControl/>
              <w:spacing w:line="390" w:lineRule="exact"/>
              <w:jc w:val="center"/>
              <w:rPr>
                <w:rFonts w:hint="default" w:ascii="宋体" w:hAnsi="宋体" w:eastAsia="宋体" w:cs="宋体"/>
                <w:b/>
                <w:bCs/>
                <w:color w:val="000000"/>
                <w:kern w:val="0"/>
                <w:sz w:val="24"/>
                <w:lang w:val="en-US" w:eastAsia="zh-CN"/>
              </w:rPr>
            </w:pPr>
            <w:r>
              <w:rPr>
                <w:rFonts w:hint="eastAsia" w:ascii="宋体" w:hAnsi="宋体" w:eastAsia="宋体" w:cs="宋体"/>
                <w:b w:val="0"/>
                <w:bCs w:val="0"/>
                <w:color w:val="000000"/>
                <w:kern w:val="0"/>
                <w:sz w:val="24"/>
                <w:lang w:val="en-US" w:eastAsia="zh-CN"/>
              </w:rPr>
              <w:t>▲智慧屏</w:t>
            </w:r>
          </w:p>
        </w:tc>
        <w:tc>
          <w:tcPr>
            <w:tcW w:w="1875" w:type="dxa"/>
            <w:tcBorders>
              <w:top w:val="single" w:color="auto" w:sz="4" w:space="0"/>
              <w:left w:val="nil"/>
              <w:bottom w:val="single" w:color="auto" w:sz="4" w:space="0"/>
              <w:right w:val="single" w:color="auto" w:sz="4" w:space="0"/>
            </w:tcBorders>
            <w:noWrap/>
            <w:vAlign w:val="center"/>
          </w:tcPr>
          <w:p w14:paraId="4605044A">
            <w:pPr>
              <w:widowControl/>
              <w:spacing w:line="390" w:lineRule="exact"/>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台</w:t>
            </w:r>
          </w:p>
        </w:tc>
        <w:tc>
          <w:tcPr>
            <w:tcW w:w="2011" w:type="dxa"/>
            <w:tcBorders>
              <w:top w:val="single" w:color="auto" w:sz="4" w:space="0"/>
              <w:left w:val="nil"/>
              <w:bottom w:val="single" w:color="auto" w:sz="4" w:space="0"/>
              <w:right w:val="single" w:color="auto" w:sz="4" w:space="0"/>
            </w:tcBorders>
            <w:noWrap/>
            <w:vAlign w:val="center"/>
          </w:tcPr>
          <w:p w14:paraId="574C2D8D">
            <w:pPr>
              <w:widowControl/>
              <w:spacing w:line="390" w:lineRule="exact"/>
              <w:jc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48</w:t>
            </w:r>
          </w:p>
        </w:tc>
      </w:tr>
      <w:tr w14:paraId="479EE16B">
        <w:tblPrEx>
          <w:tblCellMar>
            <w:top w:w="0" w:type="dxa"/>
            <w:left w:w="108" w:type="dxa"/>
            <w:bottom w:w="0" w:type="dxa"/>
            <w:right w:w="108" w:type="dxa"/>
          </w:tblCellMar>
        </w:tblPrEx>
        <w:trPr>
          <w:trHeight w:val="532" w:hRule="atLeast"/>
        </w:trPr>
        <w:tc>
          <w:tcPr>
            <w:tcW w:w="1221" w:type="dxa"/>
            <w:tcBorders>
              <w:top w:val="single" w:color="auto" w:sz="4" w:space="0"/>
              <w:left w:val="single" w:color="auto" w:sz="4" w:space="0"/>
              <w:bottom w:val="single" w:color="auto" w:sz="4" w:space="0"/>
              <w:right w:val="single" w:color="auto" w:sz="4" w:space="0"/>
            </w:tcBorders>
            <w:noWrap/>
            <w:vAlign w:val="center"/>
          </w:tcPr>
          <w:p w14:paraId="39E94883">
            <w:pPr>
              <w:widowControl/>
              <w:spacing w:line="39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2</w:t>
            </w:r>
          </w:p>
        </w:tc>
        <w:tc>
          <w:tcPr>
            <w:tcW w:w="3406" w:type="dxa"/>
            <w:tcBorders>
              <w:top w:val="single" w:color="auto" w:sz="4" w:space="0"/>
              <w:left w:val="single" w:color="auto" w:sz="4" w:space="0"/>
              <w:bottom w:val="single" w:color="auto" w:sz="4" w:space="0"/>
              <w:right w:val="single" w:color="auto" w:sz="4" w:space="0"/>
            </w:tcBorders>
            <w:noWrap/>
            <w:vAlign w:val="center"/>
          </w:tcPr>
          <w:p w14:paraId="30DC3EBC">
            <w:pPr>
              <w:widowControl/>
              <w:spacing w:line="390" w:lineRule="exact"/>
              <w:jc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统一管理软件</w:t>
            </w:r>
          </w:p>
        </w:tc>
        <w:tc>
          <w:tcPr>
            <w:tcW w:w="1875" w:type="dxa"/>
            <w:tcBorders>
              <w:top w:val="single" w:color="auto" w:sz="4" w:space="0"/>
              <w:left w:val="single" w:color="auto" w:sz="4" w:space="0"/>
              <w:bottom w:val="single" w:color="auto" w:sz="4" w:space="0"/>
              <w:right w:val="single" w:color="auto" w:sz="4" w:space="0"/>
            </w:tcBorders>
            <w:noWrap/>
            <w:vAlign w:val="center"/>
          </w:tcPr>
          <w:p w14:paraId="0D569388">
            <w:pPr>
              <w:widowControl/>
              <w:spacing w:line="390" w:lineRule="exact"/>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val="en-US" w:eastAsia="zh-CN"/>
              </w:rPr>
              <w:t>套</w:t>
            </w:r>
          </w:p>
        </w:tc>
        <w:tc>
          <w:tcPr>
            <w:tcW w:w="2011" w:type="dxa"/>
            <w:tcBorders>
              <w:top w:val="single" w:color="auto" w:sz="4" w:space="0"/>
              <w:left w:val="single" w:color="auto" w:sz="4" w:space="0"/>
              <w:bottom w:val="single" w:color="auto" w:sz="4" w:space="0"/>
              <w:right w:val="single" w:color="auto" w:sz="4" w:space="0"/>
            </w:tcBorders>
            <w:noWrap/>
            <w:vAlign w:val="center"/>
          </w:tcPr>
          <w:p w14:paraId="3717D820">
            <w:pPr>
              <w:widowControl/>
              <w:spacing w:line="390" w:lineRule="exact"/>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r>
      <w:tr w14:paraId="1B129959">
        <w:tblPrEx>
          <w:tblCellMar>
            <w:top w:w="0" w:type="dxa"/>
            <w:left w:w="108" w:type="dxa"/>
            <w:bottom w:w="0" w:type="dxa"/>
            <w:right w:w="108" w:type="dxa"/>
          </w:tblCellMar>
        </w:tblPrEx>
        <w:trPr>
          <w:trHeight w:val="532" w:hRule="atLeast"/>
        </w:trPr>
        <w:tc>
          <w:tcPr>
            <w:tcW w:w="1221" w:type="dxa"/>
            <w:tcBorders>
              <w:top w:val="single" w:color="auto" w:sz="4" w:space="0"/>
              <w:left w:val="single" w:color="auto" w:sz="4" w:space="0"/>
              <w:bottom w:val="single" w:color="auto" w:sz="4" w:space="0"/>
              <w:right w:val="single" w:color="auto" w:sz="4" w:space="0"/>
            </w:tcBorders>
            <w:noWrap/>
            <w:vAlign w:val="center"/>
          </w:tcPr>
          <w:p w14:paraId="68CBA31A">
            <w:pPr>
              <w:widowControl/>
              <w:spacing w:line="39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3</w:t>
            </w:r>
          </w:p>
        </w:tc>
        <w:tc>
          <w:tcPr>
            <w:tcW w:w="3406" w:type="dxa"/>
            <w:tcBorders>
              <w:top w:val="single" w:color="auto" w:sz="4" w:space="0"/>
              <w:left w:val="single" w:color="auto" w:sz="4" w:space="0"/>
              <w:bottom w:val="single" w:color="auto" w:sz="4" w:space="0"/>
              <w:right w:val="single" w:color="auto" w:sz="4" w:space="0"/>
            </w:tcBorders>
            <w:noWrap/>
            <w:vAlign w:val="center"/>
          </w:tcPr>
          <w:p w14:paraId="75793283">
            <w:pPr>
              <w:widowControl/>
              <w:spacing w:line="390" w:lineRule="exact"/>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val="en-US" w:eastAsia="zh-CN"/>
              </w:rPr>
              <w:t>安装</w:t>
            </w:r>
          </w:p>
        </w:tc>
        <w:tc>
          <w:tcPr>
            <w:tcW w:w="1875" w:type="dxa"/>
            <w:tcBorders>
              <w:top w:val="single" w:color="auto" w:sz="4" w:space="0"/>
              <w:left w:val="single" w:color="auto" w:sz="4" w:space="0"/>
              <w:bottom w:val="single" w:color="auto" w:sz="4" w:space="0"/>
              <w:right w:val="single" w:color="auto" w:sz="4" w:space="0"/>
            </w:tcBorders>
            <w:noWrap/>
            <w:vAlign w:val="center"/>
          </w:tcPr>
          <w:p w14:paraId="3C26D987">
            <w:pPr>
              <w:widowControl/>
              <w:spacing w:line="390" w:lineRule="exact"/>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val="en-US" w:eastAsia="zh-CN"/>
              </w:rPr>
              <w:t>项</w:t>
            </w:r>
          </w:p>
        </w:tc>
        <w:tc>
          <w:tcPr>
            <w:tcW w:w="2011" w:type="dxa"/>
            <w:tcBorders>
              <w:top w:val="single" w:color="auto" w:sz="4" w:space="0"/>
              <w:left w:val="single" w:color="auto" w:sz="4" w:space="0"/>
              <w:bottom w:val="single" w:color="auto" w:sz="4" w:space="0"/>
              <w:right w:val="single" w:color="auto" w:sz="4" w:space="0"/>
            </w:tcBorders>
            <w:noWrap/>
            <w:vAlign w:val="center"/>
          </w:tcPr>
          <w:p w14:paraId="3C2D662B">
            <w:pPr>
              <w:widowControl/>
              <w:spacing w:line="390" w:lineRule="exact"/>
              <w:jc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48</w:t>
            </w:r>
          </w:p>
        </w:tc>
      </w:tr>
    </w:tbl>
    <w:p w14:paraId="45B0F8F4">
      <w:pPr>
        <w:spacing w:line="360" w:lineRule="auto"/>
        <w:ind w:firstLine="480" w:firstLineChars="200"/>
        <w:rPr>
          <w:rFonts w:hint="eastAsia" w:ascii="宋体" w:hAnsi="宋体"/>
          <w:sz w:val="24"/>
        </w:rPr>
      </w:pPr>
      <w:r>
        <w:rPr>
          <w:bCs/>
          <w:sz w:val="24"/>
        </w:rPr>
        <w:t>接受进口产品</w:t>
      </w:r>
      <w:r>
        <w:rPr>
          <w:rFonts w:hint="eastAsia"/>
          <w:bCs/>
          <w:sz w:val="24"/>
          <w:lang w:eastAsia="zh-CN"/>
        </w:rPr>
        <w:t>：</w:t>
      </w:r>
      <w:r>
        <w:rPr>
          <w:rFonts w:ascii="宋体" w:hAnsi="宋体"/>
          <w:sz w:val="24"/>
        </w:rPr>
        <w:t xml:space="preserve">□是  </w:t>
      </w:r>
      <w:r>
        <w:rPr>
          <w:rFonts w:hint="eastAsia" w:ascii="宋体" w:hAnsi="宋体"/>
          <w:sz w:val="24"/>
        </w:rPr>
        <w:t>■</w:t>
      </w:r>
      <w:r>
        <w:rPr>
          <w:rFonts w:ascii="宋体" w:hAnsi="宋体"/>
          <w:sz w:val="24"/>
        </w:rPr>
        <w:t>否。</w:t>
      </w:r>
    </w:p>
    <w:p w14:paraId="25EBA11F">
      <w:pPr>
        <w:spacing w:line="360" w:lineRule="auto"/>
        <w:ind w:firstLine="480" w:firstLineChars="200"/>
        <w:contextualSpacing/>
        <w:rPr>
          <w:bCs/>
          <w:sz w:val="24"/>
        </w:rPr>
      </w:pPr>
      <w:r>
        <w:rPr>
          <w:rFonts w:hint="eastAsia" w:ascii="宋体" w:hAnsi="宋体" w:eastAsia="宋体" w:cs="宋体"/>
          <w:b w:val="0"/>
          <w:bCs w:val="0"/>
          <w:color w:val="000000"/>
          <w:kern w:val="0"/>
          <w:sz w:val="24"/>
          <w:lang w:val="en-US" w:eastAsia="zh-CN"/>
        </w:rPr>
        <w:t>▲</w:t>
      </w:r>
      <w:r>
        <w:rPr>
          <w:rFonts w:hint="eastAsia"/>
          <w:bCs/>
          <w:sz w:val="24"/>
        </w:rPr>
        <w:t>表明核心产品</w:t>
      </w:r>
      <w:r>
        <w:rPr>
          <w:bCs/>
          <w:sz w:val="24"/>
        </w:rPr>
        <w:t>。</w:t>
      </w:r>
    </w:p>
    <w:p w14:paraId="25724B5F">
      <w:pPr>
        <w:spacing w:line="360" w:lineRule="auto"/>
        <w:contextualSpacing/>
        <w:rPr>
          <w:bCs/>
          <w:sz w:val="24"/>
        </w:rPr>
      </w:pPr>
      <w:r>
        <w:rPr>
          <w:bCs/>
          <w:sz w:val="24"/>
        </w:rPr>
        <w:t>2. 项目背景/项目概述</w:t>
      </w:r>
    </w:p>
    <w:p w14:paraId="1FE65906">
      <w:pPr>
        <w:pStyle w:val="8"/>
        <w:tabs>
          <w:tab w:val="clear" w:pos="9031"/>
        </w:tabs>
        <w:spacing w:line="400" w:lineRule="exact"/>
        <w:ind w:left="0" w:firstLine="480"/>
        <w:rPr>
          <w:rFonts w:hint="eastAsia"/>
        </w:rPr>
      </w:pPr>
      <w:r>
        <w:rPr>
          <w:rFonts w:hint="eastAsia" w:ascii="宋体" w:hAnsi="宋体" w:eastAsia="宋体" w:cs="宋体"/>
          <w:sz w:val="24"/>
          <w:szCs w:val="24"/>
        </w:rPr>
        <w:t>北京交通运输职业学院</w:t>
      </w:r>
      <w:r>
        <w:rPr>
          <w:rFonts w:hint="eastAsia" w:ascii="宋体" w:hAnsi="宋体" w:eastAsia="宋体" w:cs="宋体"/>
          <w:sz w:val="24"/>
          <w:szCs w:val="24"/>
          <w:lang w:val="en-US" w:eastAsia="zh-CN"/>
        </w:rPr>
        <w:t>大兴校区教室多媒体共建设68间，2015年完成更换，已使用10年。原建设“投影+电脑+幕布”方式49间（其中1间改造为思政会客室），“黑板内嵌大屏”方式19间。目前“黑板内嵌大屏”基本正常。“投影+电脑+幕布”问题比较多，投影亮度变暗，虽然进行过全面除尘，但效果不佳，投影出现偏差</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电脑运行慢；幕布主要是讲台遮挡问题，院系反应强烈。本项目拟对48间传统多媒体教室进行升级改造。</w:t>
      </w:r>
    </w:p>
    <w:p w14:paraId="1AB1037A">
      <w:pPr>
        <w:pStyle w:val="8"/>
        <w:tabs>
          <w:tab w:val="clear" w:pos="9031"/>
        </w:tabs>
        <w:spacing w:line="400" w:lineRule="exact"/>
        <w:ind w:left="0" w:firstLine="480"/>
        <w:rPr>
          <w:rFonts w:hint="eastAsia" w:ascii="宋体" w:hAnsi="宋体" w:eastAsia="宋体" w:cs="宋体"/>
          <w:sz w:val="24"/>
          <w:szCs w:val="24"/>
          <w:lang w:val="en-US" w:eastAsia="zh-CN"/>
        </w:rPr>
      </w:pPr>
      <w:r>
        <w:rPr>
          <w:rFonts w:hint="eastAsia" w:ascii="宋体" w:hAnsi="宋体" w:eastAsia="宋体" w:cs="宋体"/>
          <w:sz w:val="24"/>
          <w:szCs w:val="24"/>
        </w:rPr>
        <w:t>本项目在立足学院</w:t>
      </w:r>
      <w:r>
        <w:rPr>
          <w:rFonts w:hint="eastAsia" w:ascii="宋体" w:hAnsi="宋体" w:eastAsia="宋体" w:cs="宋体"/>
          <w:sz w:val="24"/>
          <w:szCs w:val="24"/>
          <w:lang w:val="en-US" w:eastAsia="zh-CN"/>
        </w:rPr>
        <w:t>的状况，同时适应提升教学设备的智能化、满足师生的使用要求，提供人工智能+的环境，完善功能，</w:t>
      </w:r>
      <w:r>
        <w:rPr>
          <w:rFonts w:hint="eastAsia" w:ascii="宋体" w:hAnsi="宋体" w:eastAsia="宋体" w:cs="宋体"/>
          <w:sz w:val="24"/>
          <w:szCs w:val="24"/>
        </w:rPr>
        <w:t>以满足学院业务系统发展需求</w:t>
      </w:r>
      <w:r>
        <w:rPr>
          <w:rFonts w:hint="eastAsia" w:ascii="宋体" w:hAnsi="宋体" w:eastAsia="宋体" w:cs="宋体"/>
          <w:sz w:val="24"/>
          <w:szCs w:val="24"/>
          <w:lang w:eastAsia="zh-CN"/>
        </w:rPr>
        <w:t>。</w:t>
      </w:r>
    </w:p>
    <w:p w14:paraId="2C543DD3">
      <w:pPr>
        <w:spacing w:line="400" w:lineRule="exact"/>
        <w:ind w:firstLine="420"/>
        <w:rPr>
          <w:rFonts w:hint="eastAsia" w:ascii="宋体" w:hAnsi="宋体" w:eastAsia="宋体" w:cs="宋体"/>
          <w:sz w:val="24"/>
        </w:rPr>
      </w:pPr>
      <w:r>
        <w:rPr>
          <w:rFonts w:hint="eastAsia" w:ascii="宋体" w:hAnsi="宋体" w:eastAsia="宋体" w:cs="宋体"/>
          <w:sz w:val="24"/>
        </w:rPr>
        <w:t>本项目通过</w:t>
      </w:r>
      <w:r>
        <w:rPr>
          <w:rFonts w:hint="eastAsia" w:ascii="宋体" w:hAnsi="宋体" w:eastAsia="宋体" w:cs="宋体"/>
          <w:sz w:val="24"/>
          <w:lang w:val="en-US" w:eastAsia="zh-CN"/>
        </w:rPr>
        <w:t>多媒体设备</w:t>
      </w:r>
      <w:r>
        <w:rPr>
          <w:rFonts w:hint="eastAsia" w:ascii="宋体" w:hAnsi="宋体" w:eastAsia="宋体" w:cs="宋体"/>
          <w:sz w:val="24"/>
        </w:rPr>
        <w:t>的升级改造，提供安全可靠、灵活弹性等</w:t>
      </w:r>
      <w:r>
        <w:rPr>
          <w:rFonts w:hint="eastAsia" w:ascii="宋体" w:hAnsi="宋体" w:eastAsia="宋体" w:cs="宋体"/>
          <w:sz w:val="24"/>
          <w:lang w:val="en-US" w:eastAsia="zh-CN"/>
        </w:rPr>
        <w:t>设备能满足</w:t>
      </w:r>
      <w:r>
        <w:rPr>
          <w:rFonts w:hint="default" w:ascii="宋体" w:hAnsi="宋体" w:eastAsia="宋体" w:cs="宋体"/>
          <w:sz w:val="24"/>
          <w:lang w:val="en-US" w:eastAsia="zh-CN"/>
        </w:rPr>
        <w:t>.操作方便</w:t>
      </w:r>
      <w:r>
        <w:rPr>
          <w:rFonts w:hint="eastAsia" w:ascii="宋体" w:hAnsi="宋体" w:eastAsia="宋体" w:cs="宋体"/>
          <w:sz w:val="24"/>
          <w:lang w:val="en-US" w:eastAsia="zh-CN"/>
        </w:rPr>
        <w:t>，</w:t>
      </w:r>
      <w:r>
        <w:rPr>
          <w:rFonts w:hint="default" w:ascii="宋体" w:hAnsi="宋体" w:eastAsia="宋体" w:cs="宋体"/>
          <w:sz w:val="24"/>
          <w:lang w:val="en-US" w:eastAsia="zh-CN"/>
        </w:rPr>
        <w:t>无需进入内置电脑，开机即可操作，平板操作习惯</w:t>
      </w:r>
      <w:r>
        <w:rPr>
          <w:rFonts w:hint="eastAsia" w:ascii="宋体" w:hAnsi="宋体" w:eastAsia="宋体" w:cs="宋体"/>
          <w:sz w:val="24"/>
          <w:lang w:val="en-US" w:eastAsia="zh-CN"/>
        </w:rPr>
        <w:t>；</w:t>
      </w:r>
      <w:r>
        <w:rPr>
          <w:rFonts w:hint="default" w:ascii="宋体" w:hAnsi="宋体" w:eastAsia="宋体" w:cs="宋体"/>
          <w:sz w:val="24"/>
          <w:lang w:val="en-US" w:eastAsia="zh-CN"/>
        </w:rPr>
        <w:t>一屏双用</w:t>
      </w:r>
      <w:r>
        <w:rPr>
          <w:rFonts w:hint="eastAsia" w:ascii="宋体" w:hAnsi="宋体" w:eastAsia="宋体" w:cs="宋体"/>
          <w:sz w:val="24"/>
          <w:lang w:val="en-US" w:eastAsia="zh-CN"/>
        </w:rPr>
        <w:t>，</w:t>
      </w:r>
      <w:r>
        <w:rPr>
          <w:rFonts w:hint="default" w:ascii="宋体" w:hAnsi="宋体" w:eastAsia="宋体" w:cs="宋体"/>
          <w:sz w:val="24"/>
          <w:lang w:val="en-US" w:eastAsia="zh-CN"/>
        </w:rPr>
        <w:t>分出两个屏分别显示不同内容，不用来回切换；支持有线无线投屏</w:t>
      </w:r>
      <w:r>
        <w:rPr>
          <w:rFonts w:hint="eastAsia" w:ascii="宋体" w:hAnsi="宋体" w:eastAsia="宋体" w:cs="宋体"/>
          <w:sz w:val="24"/>
          <w:lang w:val="en-US" w:eastAsia="zh-CN"/>
        </w:rPr>
        <w:t>；</w:t>
      </w:r>
      <w:r>
        <w:rPr>
          <w:rFonts w:hint="default" w:ascii="宋体" w:hAnsi="宋体" w:eastAsia="宋体" w:cs="宋体"/>
          <w:sz w:val="24"/>
          <w:lang w:val="en-US" w:eastAsia="zh-CN"/>
        </w:rPr>
        <w:t>板书扫码带走教师上课板书；支持超广角巡课：支持接入学院巡课系统一路摄像头</w:t>
      </w:r>
      <w:r>
        <w:rPr>
          <w:rFonts w:hint="eastAsia" w:ascii="宋体" w:hAnsi="宋体" w:eastAsia="宋体" w:cs="宋体"/>
          <w:sz w:val="24"/>
          <w:lang w:val="en-US" w:eastAsia="zh-CN"/>
        </w:rPr>
        <w:t>；同时</w:t>
      </w:r>
      <w:r>
        <w:rPr>
          <w:rFonts w:hint="default" w:ascii="宋体" w:hAnsi="宋体" w:eastAsia="宋体" w:cs="宋体"/>
          <w:sz w:val="24"/>
          <w:lang w:val="en-US" w:eastAsia="zh-CN"/>
        </w:rPr>
        <w:t>配套管理软件</w:t>
      </w:r>
      <w:r>
        <w:rPr>
          <w:rFonts w:hint="eastAsia" w:ascii="宋体" w:hAnsi="宋体" w:eastAsia="宋体" w:cs="宋体"/>
          <w:sz w:val="24"/>
          <w:lang w:val="en-US" w:eastAsia="zh-CN"/>
        </w:rPr>
        <w:t>，</w:t>
      </w:r>
      <w:r>
        <w:rPr>
          <w:rFonts w:hint="default" w:ascii="宋体" w:hAnsi="宋体" w:eastAsia="宋体" w:cs="宋体"/>
          <w:sz w:val="24"/>
          <w:lang w:val="en-US" w:eastAsia="zh-CN"/>
        </w:rPr>
        <w:t>支持大屏远程</w:t>
      </w:r>
      <w:r>
        <w:rPr>
          <w:rFonts w:hint="eastAsia" w:ascii="宋体" w:hAnsi="宋体" w:eastAsia="宋体" w:cs="宋体"/>
          <w:sz w:val="24"/>
          <w:lang w:val="en-US" w:eastAsia="zh-CN"/>
        </w:rPr>
        <w:t>管理，能一键开关机，能一键断电，确保安全。</w:t>
      </w:r>
      <w:r>
        <w:rPr>
          <w:rFonts w:hint="eastAsia" w:ascii="宋体" w:hAnsi="宋体" w:eastAsia="宋体" w:cs="宋体"/>
          <w:sz w:val="24"/>
        </w:rPr>
        <w:t>有效保障学院字化转型工作的开展。</w:t>
      </w:r>
    </w:p>
    <w:p w14:paraId="64982B60">
      <w:pPr>
        <w:spacing w:line="400" w:lineRule="exact"/>
        <w:ind w:firstLine="420"/>
        <w:rPr>
          <w:rFonts w:hint="eastAsia" w:ascii="宋体" w:hAnsi="宋体" w:eastAsia="宋体" w:cs="宋体"/>
          <w:sz w:val="24"/>
        </w:rPr>
      </w:pPr>
      <w:r>
        <w:rPr>
          <w:rFonts w:hint="eastAsia" w:ascii="宋体" w:hAnsi="宋体" w:eastAsia="宋体" w:cs="宋体"/>
          <w:sz w:val="24"/>
        </w:rPr>
        <w:t>本次改造，</w:t>
      </w:r>
      <w:r>
        <w:rPr>
          <w:rFonts w:hint="eastAsia" w:ascii="宋体" w:hAnsi="宋体" w:eastAsia="宋体" w:cs="宋体"/>
          <w:sz w:val="24"/>
          <w:lang w:val="en-US" w:eastAsia="zh-CN"/>
        </w:rPr>
        <w:t>既要更新设备，同时还要考虑原设备的统一集中管理，</w:t>
      </w:r>
      <w:r>
        <w:rPr>
          <w:rFonts w:hint="eastAsia" w:ascii="宋体" w:hAnsi="宋体" w:eastAsia="宋体" w:cs="宋体"/>
          <w:sz w:val="24"/>
        </w:rPr>
        <w:t>有效降低重复建设投资、实现节能环保，提高学院硬件基础设施资源的利用率。达到信息化基础设施资源的统一规划、统一建设、统一运管，按需调配、即需即用、有效共享的目的。通过合理规划、小步快跑的方式，在实现建设集约化、信息共享化、服务标准化、效益最大化，满足应用需求。</w:t>
      </w:r>
    </w:p>
    <w:p w14:paraId="6F70146F">
      <w:pPr>
        <w:spacing w:line="360" w:lineRule="auto"/>
        <w:ind w:firstLine="482"/>
        <w:contextualSpacing/>
        <w:rPr>
          <w:b/>
          <w:sz w:val="24"/>
        </w:rPr>
      </w:pPr>
    </w:p>
    <w:p w14:paraId="73FA5F5B">
      <w:pPr>
        <w:pStyle w:val="7"/>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77D9928B">
      <w:pPr>
        <w:spacing w:line="360" w:lineRule="auto"/>
        <w:contextualSpacing/>
        <w:rPr>
          <w:i/>
          <w:sz w:val="24"/>
        </w:rPr>
      </w:pPr>
      <w:r>
        <w:rPr>
          <w:sz w:val="24"/>
        </w:rPr>
        <w:t>1. 交付（实施）的时间（期限）和地点（范围）</w:t>
      </w:r>
    </w:p>
    <w:p w14:paraId="126EDBB2">
      <w:pPr>
        <w:spacing w:line="460" w:lineRule="exact"/>
        <w:rPr>
          <w:rFonts w:hint="eastAsia" w:ascii="宋体" w:hAnsi="宋体" w:cs="Arial"/>
          <w:b w:val="0"/>
          <w:bCs w:val="0"/>
          <w:color w:val="000000"/>
          <w:sz w:val="24"/>
        </w:rPr>
      </w:pPr>
      <w:r>
        <w:rPr>
          <w:rFonts w:hint="eastAsia" w:ascii="宋体" w:hAnsi="宋体" w:cs="Arial"/>
          <w:b w:val="0"/>
          <w:bCs w:val="0"/>
          <w:color w:val="000000"/>
          <w:sz w:val="24"/>
          <w:lang w:eastAsia="zh-CN"/>
        </w:rPr>
        <w:t>（</w:t>
      </w:r>
      <w:r>
        <w:rPr>
          <w:rFonts w:hint="eastAsia" w:ascii="宋体" w:hAnsi="宋体" w:cs="Arial"/>
          <w:b w:val="0"/>
          <w:bCs w:val="0"/>
          <w:color w:val="000000"/>
          <w:sz w:val="24"/>
          <w:lang w:val="en-US" w:eastAsia="zh-CN"/>
        </w:rPr>
        <w:t>1</w:t>
      </w:r>
      <w:r>
        <w:rPr>
          <w:rFonts w:hint="eastAsia" w:ascii="宋体" w:hAnsi="宋体" w:cs="Arial"/>
          <w:b w:val="0"/>
          <w:bCs w:val="0"/>
          <w:color w:val="000000"/>
          <w:sz w:val="24"/>
          <w:lang w:eastAsia="zh-CN"/>
        </w:rPr>
        <w:t>）</w:t>
      </w:r>
      <w:r>
        <w:rPr>
          <w:rFonts w:hint="eastAsia" w:ascii="宋体" w:hAnsi="宋体" w:cs="Arial"/>
          <w:b w:val="0"/>
          <w:bCs w:val="0"/>
          <w:color w:val="000000"/>
          <w:sz w:val="24"/>
        </w:rPr>
        <w:t>合同履行期限（交货期）：</w:t>
      </w:r>
      <w:r>
        <w:rPr>
          <w:rFonts w:hint="eastAsia" w:ascii="Calibri" w:hAnsi="宋体" w:eastAsia="宋体" w:cs="宋体"/>
          <w:b w:val="0"/>
          <w:bCs w:val="0"/>
          <w:sz w:val="24"/>
        </w:rPr>
        <w:t>合同签订日起</w:t>
      </w:r>
      <w:r>
        <w:rPr>
          <w:rStyle w:val="6"/>
          <w:b w:val="0"/>
          <w:bCs w:val="0"/>
        </w:rPr>
        <w:t>90</w:t>
      </w:r>
      <w:r>
        <w:rPr>
          <w:rFonts w:hint="eastAsia" w:ascii="Calibri" w:hAnsi="宋体" w:eastAsia="宋体" w:cs="宋体"/>
          <w:b w:val="0"/>
          <w:bCs w:val="0"/>
          <w:sz w:val="24"/>
        </w:rPr>
        <w:t>个日历日，自签订合同之日起计算直至</w:t>
      </w:r>
      <w:r>
        <w:rPr>
          <w:rFonts w:hint="eastAsia" w:ascii="Calibri" w:hAnsi="宋体" w:cs="宋体"/>
          <w:b w:val="0"/>
          <w:bCs w:val="0"/>
          <w:sz w:val="24"/>
          <w:lang w:val="en-US" w:eastAsia="zh-CN"/>
        </w:rPr>
        <w:t>采购人</w:t>
      </w:r>
      <w:r>
        <w:rPr>
          <w:rFonts w:hint="eastAsia" w:ascii="Calibri" w:hAnsi="宋体" w:eastAsia="宋体" w:cs="宋体"/>
          <w:b w:val="0"/>
          <w:bCs w:val="0"/>
          <w:sz w:val="24"/>
        </w:rPr>
        <w:t>签署终验报告，其中含具体包括系统安装、部署、调试、参数设置；设备安装、调试，并完成不少于</w:t>
      </w:r>
      <w:r>
        <w:rPr>
          <w:rFonts w:ascii="Calibri" w:hAnsi="宋体" w:eastAsia="宋体" w:cs="宋体"/>
          <w:b w:val="0"/>
          <w:bCs w:val="0"/>
          <w:sz w:val="24"/>
        </w:rPr>
        <w:t>30</w:t>
      </w:r>
      <w:r>
        <w:rPr>
          <w:rFonts w:hint="eastAsia" w:ascii="Calibri" w:hAnsi="宋体" w:eastAsia="宋体" w:cs="宋体"/>
          <w:b w:val="0"/>
          <w:bCs w:val="0"/>
          <w:sz w:val="24"/>
        </w:rPr>
        <w:t>个日历日的试运行。</w:t>
      </w:r>
    </w:p>
    <w:p w14:paraId="6AFA360F">
      <w:pPr>
        <w:spacing w:line="460" w:lineRule="exact"/>
        <w:rPr>
          <w:rFonts w:hint="eastAsia" w:ascii="宋体" w:hAnsi="宋体" w:cs="Arial"/>
          <w:b w:val="0"/>
          <w:bCs w:val="0"/>
          <w:color w:val="000000"/>
          <w:sz w:val="24"/>
        </w:rPr>
      </w:pPr>
      <w:r>
        <w:rPr>
          <w:rFonts w:hint="eastAsia" w:ascii="宋体" w:hAnsi="宋体" w:cs="Arial"/>
          <w:b w:val="0"/>
          <w:bCs w:val="0"/>
          <w:color w:val="000000"/>
          <w:sz w:val="24"/>
          <w:lang w:eastAsia="zh-CN"/>
        </w:rPr>
        <w:t>（</w:t>
      </w:r>
      <w:r>
        <w:rPr>
          <w:rFonts w:hint="eastAsia" w:ascii="宋体" w:hAnsi="宋体" w:cs="Arial"/>
          <w:b w:val="0"/>
          <w:bCs w:val="0"/>
          <w:color w:val="000000"/>
          <w:sz w:val="24"/>
          <w:lang w:val="en-US" w:eastAsia="zh-CN"/>
        </w:rPr>
        <w:t>2</w:t>
      </w:r>
      <w:r>
        <w:rPr>
          <w:rFonts w:hint="eastAsia" w:ascii="宋体" w:hAnsi="宋体" w:cs="Arial"/>
          <w:b w:val="0"/>
          <w:bCs w:val="0"/>
          <w:color w:val="000000"/>
          <w:sz w:val="24"/>
          <w:lang w:eastAsia="zh-CN"/>
        </w:rPr>
        <w:t>）</w:t>
      </w:r>
      <w:r>
        <w:rPr>
          <w:rFonts w:hint="eastAsia" w:ascii="宋体" w:hAnsi="宋体" w:cs="Arial"/>
          <w:b w:val="0"/>
          <w:bCs w:val="0"/>
          <w:color w:val="000000"/>
          <w:sz w:val="24"/>
        </w:rPr>
        <w:t>交货地点：采购人指定地点</w:t>
      </w:r>
      <w:r>
        <w:rPr>
          <w:rFonts w:hint="eastAsia" w:ascii="宋体" w:hAnsi="宋体" w:cs="Arial"/>
          <w:b w:val="0"/>
          <w:bCs w:val="0"/>
          <w:color w:val="000000"/>
          <w:sz w:val="24"/>
          <w:lang w:eastAsia="zh-CN"/>
        </w:rPr>
        <w:t>（</w:t>
      </w:r>
      <w:r>
        <w:rPr>
          <w:rFonts w:hint="eastAsia" w:ascii="宋体" w:hAnsi="宋体" w:cs="Arial"/>
          <w:b w:val="0"/>
          <w:bCs w:val="0"/>
          <w:color w:val="000000"/>
          <w:sz w:val="24"/>
          <w:lang w:val="en-US" w:eastAsia="zh-CN"/>
        </w:rPr>
        <w:t>大兴校区</w:t>
      </w:r>
      <w:r>
        <w:rPr>
          <w:rFonts w:hint="eastAsia" w:ascii="宋体" w:hAnsi="宋体" w:cs="Arial"/>
          <w:b w:val="0"/>
          <w:bCs w:val="0"/>
          <w:color w:val="000000"/>
          <w:sz w:val="24"/>
          <w:lang w:eastAsia="zh-CN"/>
        </w:rPr>
        <w:t>）</w:t>
      </w:r>
      <w:r>
        <w:rPr>
          <w:rFonts w:hint="eastAsia" w:ascii="宋体" w:hAnsi="宋体" w:cs="Arial"/>
          <w:b w:val="0"/>
          <w:bCs w:val="0"/>
          <w:color w:val="000000"/>
          <w:sz w:val="24"/>
        </w:rPr>
        <w:t>。</w:t>
      </w:r>
    </w:p>
    <w:p w14:paraId="7349E02D">
      <w:pPr>
        <w:spacing w:line="360" w:lineRule="auto"/>
        <w:contextualSpacing/>
        <w:rPr>
          <w:sz w:val="24"/>
        </w:rPr>
      </w:pPr>
    </w:p>
    <w:p w14:paraId="76B7CCC1">
      <w:pPr>
        <w:spacing w:line="360" w:lineRule="auto"/>
        <w:contextualSpacing/>
        <w:rPr>
          <w:sz w:val="24"/>
        </w:rPr>
      </w:pPr>
      <w:r>
        <w:rPr>
          <w:sz w:val="24"/>
        </w:rPr>
        <w:t>2. 付款条件（进度和方式）</w:t>
      </w:r>
    </w:p>
    <w:p w14:paraId="69FEA7B2">
      <w:pPr>
        <w:spacing w:before="120" w:line="360" w:lineRule="auto"/>
        <w:rPr>
          <w:rFonts w:hint="eastAsia" w:ascii="宋体" w:hAnsi="宋体" w:eastAsia="宋体"/>
          <w:b w:val="0"/>
          <w:bCs w:val="0"/>
          <w:sz w:val="24"/>
          <w:lang w:eastAsia="zh-CN"/>
        </w:rPr>
      </w:pPr>
      <w:r>
        <w:rPr>
          <w:rFonts w:hint="eastAsia" w:ascii="宋体" w:hAnsi="宋体" w:eastAsia="宋体"/>
          <w:b w:val="0"/>
          <w:bCs w:val="0"/>
          <w:sz w:val="24"/>
          <w:lang w:eastAsia="zh-CN"/>
        </w:rPr>
        <w:t>（</w:t>
      </w:r>
      <w:r>
        <w:rPr>
          <w:rFonts w:hint="eastAsia" w:ascii="宋体" w:hAnsi="宋体" w:eastAsia="宋体"/>
          <w:b w:val="0"/>
          <w:bCs w:val="0"/>
          <w:sz w:val="24"/>
          <w:lang w:val="en-US" w:eastAsia="zh-CN"/>
        </w:rPr>
        <w:t>1</w:t>
      </w:r>
      <w:r>
        <w:rPr>
          <w:rFonts w:hint="eastAsia" w:ascii="宋体" w:hAnsi="宋体" w:eastAsia="宋体"/>
          <w:b w:val="0"/>
          <w:bCs w:val="0"/>
          <w:sz w:val="24"/>
          <w:lang w:eastAsia="zh-CN"/>
        </w:rPr>
        <w:t>）</w:t>
      </w:r>
      <w:r>
        <w:rPr>
          <w:rFonts w:hint="eastAsia" w:ascii="宋体" w:hAnsi="宋体" w:eastAsia="宋体"/>
          <w:b w:val="0"/>
          <w:bCs w:val="0"/>
          <w:sz w:val="24"/>
        </w:rPr>
        <w:t xml:space="preserve">双方合同签订后 </w:t>
      </w:r>
      <w:r>
        <w:rPr>
          <w:rFonts w:hint="eastAsia" w:ascii="宋体" w:hAnsi="宋体" w:eastAsia="宋体"/>
          <w:b w:val="0"/>
          <w:bCs w:val="0"/>
          <w:sz w:val="24"/>
          <w:u w:val="single"/>
        </w:rPr>
        <w:t>5</w:t>
      </w:r>
      <w:r>
        <w:rPr>
          <w:rFonts w:hint="eastAsia" w:ascii="宋体" w:hAnsi="宋体" w:eastAsia="宋体"/>
          <w:b w:val="0"/>
          <w:bCs w:val="0"/>
          <w:sz w:val="24"/>
        </w:rPr>
        <w:t>个工作日内，</w:t>
      </w:r>
      <w:r>
        <w:rPr>
          <w:rFonts w:hint="eastAsia" w:ascii="宋体" w:hAnsi="宋体"/>
          <w:b w:val="0"/>
          <w:bCs w:val="0"/>
          <w:sz w:val="24"/>
          <w:lang w:val="en-US" w:eastAsia="zh-CN"/>
        </w:rPr>
        <w:t>采购人</w:t>
      </w:r>
      <w:r>
        <w:rPr>
          <w:rFonts w:hint="eastAsia" w:ascii="宋体" w:hAnsi="宋体" w:eastAsia="宋体"/>
          <w:b w:val="0"/>
          <w:bCs w:val="0"/>
          <w:sz w:val="24"/>
        </w:rPr>
        <w:t>支付</w:t>
      </w:r>
      <w:r>
        <w:rPr>
          <w:rFonts w:hint="eastAsia" w:ascii="宋体" w:hAnsi="宋体"/>
          <w:b w:val="0"/>
          <w:bCs w:val="0"/>
          <w:sz w:val="24"/>
          <w:lang w:val="en-US" w:eastAsia="zh-CN"/>
        </w:rPr>
        <w:t>投标人6</w:t>
      </w:r>
      <w:r>
        <w:rPr>
          <w:rFonts w:hint="eastAsia" w:ascii="宋体" w:hAnsi="宋体" w:eastAsia="宋体"/>
          <w:b w:val="0"/>
          <w:bCs w:val="0"/>
          <w:sz w:val="24"/>
        </w:rPr>
        <w:t>0%合同款</w:t>
      </w:r>
      <w:r>
        <w:rPr>
          <w:rFonts w:hint="eastAsia" w:ascii="宋体" w:hAnsi="宋体" w:eastAsia="宋体"/>
          <w:b w:val="0"/>
          <w:bCs w:val="0"/>
          <w:sz w:val="24"/>
          <w:lang w:eastAsia="zh-CN"/>
        </w:rPr>
        <w:t>；</w:t>
      </w:r>
    </w:p>
    <w:p w14:paraId="34925DA7">
      <w:pPr>
        <w:spacing w:before="120" w:line="360" w:lineRule="auto"/>
        <w:rPr>
          <w:rFonts w:hint="eastAsia" w:ascii="宋体" w:hAnsi="宋体" w:eastAsia="宋体"/>
          <w:b w:val="0"/>
          <w:bCs w:val="0"/>
          <w:sz w:val="24"/>
          <w:lang w:eastAsia="zh-CN"/>
        </w:rPr>
      </w:pPr>
      <w:r>
        <w:rPr>
          <w:rFonts w:hint="eastAsia" w:ascii="宋体" w:hAnsi="宋体" w:eastAsia="宋体"/>
          <w:b w:val="0"/>
          <w:bCs w:val="0"/>
          <w:sz w:val="24"/>
          <w:lang w:eastAsia="zh-CN"/>
        </w:rPr>
        <w:t>（</w:t>
      </w:r>
      <w:r>
        <w:rPr>
          <w:rFonts w:hint="eastAsia" w:ascii="宋体" w:hAnsi="宋体" w:eastAsia="宋体"/>
          <w:b w:val="0"/>
          <w:bCs w:val="0"/>
          <w:sz w:val="24"/>
          <w:lang w:val="en-US" w:eastAsia="zh-CN"/>
        </w:rPr>
        <w:t>2</w:t>
      </w:r>
      <w:r>
        <w:rPr>
          <w:rFonts w:hint="eastAsia" w:ascii="宋体" w:hAnsi="宋体" w:eastAsia="宋体"/>
          <w:b w:val="0"/>
          <w:bCs w:val="0"/>
          <w:sz w:val="24"/>
          <w:lang w:eastAsia="zh-CN"/>
        </w:rPr>
        <w:t>）</w:t>
      </w:r>
      <w:r>
        <w:rPr>
          <w:rFonts w:hint="eastAsia" w:ascii="宋体" w:hAnsi="宋体"/>
          <w:b w:val="0"/>
          <w:bCs w:val="0"/>
          <w:sz w:val="24"/>
          <w:lang w:val="en-US" w:eastAsia="zh-CN"/>
        </w:rPr>
        <w:t>投标人</w:t>
      </w:r>
      <w:r>
        <w:rPr>
          <w:rFonts w:hint="eastAsia" w:ascii="宋体" w:hAnsi="宋体" w:eastAsia="宋体"/>
          <w:b w:val="0"/>
          <w:bCs w:val="0"/>
          <w:sz w:val="24"/>
        </w:rPr>
        <w:t>完成本合同项下硬件设备安装，系统安装、部署、调试、参数设置等工作，且完成试运行</w:t>
      </w:r>
      <w:r>
        <w:rPr>
          <w:rFonts w:hint="eastAsia" w:ascii="宋体" w:hAnsi="宋体" w:eastAsia="宋体"/>
          <w:b w:val="0"/>
          <w:bCs w:val="0"/>
          <w:sz w:val="24"/>
          <w:lang w:val="en-US" w:eastAsia="zh-CN"/>
        </w:rPr>
        <w:t>30</w:t>
      </w:r>
      <w:r>
        <w:rPr>
          <w:rFonts w:hint="eastAsia" w:ascii="宋体" w:hAnsi="宋体" w:eastAsia="宋体"/>
          <w:b w:val="0"/>
          <w:bCs w:val="0"/>
          <w:sz w:val="24"/>
        </w:rPr>
        <w:t>个日历日且经</w:t>
      </w:r>
      <w:r>
        <w:rPr>
          <w:rFonts w:hint="eastAsia" w:ascii="宋体" w:hAnsi="宋体"/>
          <w:b w:val="0"/>
          <w:bCs w:val="0"/>
          <w:sz w:val="24"/>
          <w:lang w:val="en-US" w:eastAsia="zh-CN"/>
        </w:rPr>
        <w:t>采购人</w:t>
      </w:r>
      <w:r>
        <w:rPr>
          <w:rFonts w:hint="eastAsia" w:ascii="宋体" w:hAnsi="宋体" w:eastAsia="宋体"/>
          <w:b w:val="0"/>
          <w:bCs w:val="0"/>
          <w:sz w:val="24"/>
        </w:rPr>
        <w:t>最终验收合格后1</w:t>
      </w:r>
      <w:r>
        <w:rPr>
          <w:rFonts w:hint="eastAsia" w:ascii="宋体" w:hAnsi="宋体" w:eastAsia="宋体"/>
          <w:b w:val="0"/>
          <w:bCs w:val="0"/>
          <w:sz w:val="24"/>
          <w:lang w:val="en-US" w:eastAsia="zh-CN"/>
        </w:rPr>
        <w:t>5</w:t>
      </w:r>
      <w:r>
        <w:rPr>
          <w:rFonts w:hint="eastAsia" w:ascii="宋体" w:hAnsi="宋体" w:eastAsia="宋体"/>
          <w:b w:val="0"/>
          <w:bCs w:val="0"/>
          <w:sz w:val="24"/>
        </w:rPr>
        <w:t>个工作日内支付</w:t>
      </w:r>
      <w:r>
        <w:rPr>
          <w:rFonts w:hint="eastAsia" w:ascii="宋体" w:hAnsi="宋体"/>
          <w:b w:val="0"/>
          <w:bCs w:val="0"/>
          <w:sz w:val="24"/>
          <w:lang w:val="en-US" w:eastAsia="zh-CN"/>
        </w:rPr>
        <w:t>投标人4</w:t>
      </w:r>
      <w:r>
        <w:rPr>
          <w:rFonts w:hint="eastAsia" w:ascii="宋体" w:hAnsi="宋体" w:eastAsia="宋体"/>
          <w:b w:val="0"/>
          <w:bCs w:val="0"/>
          <w:sz w:val="24"/>
        </w:rPr>
        <w:t>0%合同款</w:t>
      </w:r>
      <w:r>
        <w:rPr>
          <w:rFonts w:hint="eastAsia" w:ascii="宋体" w:hAnsi="宋体" w:eastAsia="宋体"/>
          <w:b w:val="0"/>
          <w:bCs w:val="0"/>
          <w:sz w:val="24"/>
          <w:lang w:eastAsia="zh-CN"/>
        </w:rPr>
        <w:t>；</w:t>
      </w:r>
    </w:p>
    <w:p w14:paraId="0A871245">
      <w:pPr>
        <w:adjustRightInd w:val="0"/>
        <w:snapToGrid w:val="0"/>
        <w:spacing w:beforeLines="50" w:line="360" w:lineRule="auto"/>
        <w:rPr>
          <w:rFonts w:ascii="宋体" w:hAnsi="宋体" w:eastAsia="宋体"/>
          <w:b w:val="0"/>
          <w:bCs w:val="0"/>
          <w:sz w:val="24"/>
        </w:rPr>
      </w:pPr>
      <w:r>
        <w:rPr>
          <w:rFonts w:hint="eastAsia" w:ascii="宋体" w:hAnsi="宋体" w:eastAsia="宋体"/>
          <w:b w:val="0"/>
          <w:bCs w:val="0"/>
          <w:sz w:val="24"/>
          <w:lang w:eastAsia="zh-CN"/>
        </w:rPr>
        <w:t>（</w:t>
      </w:r>
      <w:r>
        <w:rPr>
          <w:rFonts w:hint="eastAsia" w:ascii="宋体" w:hAnsi="宋体" w:eastAsia="宋体"/>
          <w:b w:val="0"/>
          <w:bCs w:val="0"/>
          <w:sz w:val="24"/>
          <w:lang w:val="en-US" w:eastAsia="zh-CN"/>
        </w:rPr>
        <w:t>4</w:t>
      </w:r>
      <w:r>
        <w:rPr>
          <w:rFonts w:hint="eastAsia" w:ascii="宋体" w:hAnsi="宋体" w:eastAsia="宋体"/>
          <w:b w:val="0"/>
          <w:bCs w:val="0"/>
          <w:sz w:val="24"/>
          <w:lang w:eastAsia="zh-CN"/>
        </w:rPr>
        <w:t>）</w:t>
      </w:r>
      <w:r>
        <w:rPr>
          <w:rFonts w:hint="eastAsia" w:ascii="宋体" w:hAnsi="宋体"/>
          <w:b w:val="0"/>
          <w:bCs w:val="0"/>
          <w:sz w:val="24"/>
          <w:lang w:val="en-US" w:eastAsia="zh-CN"/>
        </w:rPr>
        <w:t>采购人</w:t>
      </w:r>
      <w:r>
        <w:rPr>
          <w:rFonts w:hint="eastAsia" w:ascii="宋体" w:hAnsi="宋体" w:eastAsia="宋体"/>
          <w:b w:val="0"/>
          <w:bCs w:val="0"/>
          <w:sz w:val="24"/>
        </w:rPr>
        <w:t>向</w:t>
      </w:r>
      <w:r>
        <w:rPr>
          <w:rFonts w:hint="eastAsia" w:ascii="宋体" w:hAnsi="宋体"/>
          <w:b w:val="0"/>
          <w:bCs w:val="0"/>
          <w:sz w:val="24"/>
          <w:lang w:val="en-US" w:eastAsia="zh-CN"/>
        </w:rPr>
        <w:t>投标人</w:t>
      </w:r>
      <w:r>
        <w:rPr>
          <w:rFonts w:hint="eastAsia" w:ascii="宋体" w:hAnsi="宋体" w:eastAsia="宋体"/>
          <w:b w:val="0"/>
          <w:bCs w:val="0"/>
          <w:sz w:val="24"/>
        </w:rPr>
        <w:t>付款前，</w:t>
      </w:r>
      <w:r>
        <w:rPr>
          <w:rFonts w:hint="eastAsia" w:ascii="宋体" w:hAnsi="宋体"/>
          <w:b w:val="0"/>
          <w:bCs w:val="0"/>
          <w:sz w:val="24"/>
          <w:lang w:val="en-US" w:eastAsia="zh-CN"/>
        </w:rPr>
        <w:t>投标人</w:t>
      </w:r>
      <w:r>
        <w:rPr>
          <w:rFonts w:hint="eastAsia" w:ascii="宋体" w:hAnsi="宋体" w:eastAsia="宋体"/>
          <w:b w:val="0"/>
          <w:bCs w:val="0"/>
          <w:sz w:val="24"/>
        </w:rPr>
        <w:t>应向</w:t>
      </w:r>
      <w:r>
        <w:rPr>
          <w:rFonts w:hint="eastAsia" w:ascii="宋体" w:hAnsi="宋体"/>
          <w:b w:val="0"/>
          <w:bCs w:val="0"/>
          <w:sz w:val="24"/>
          <w:lang w:val="en-US" w:eastAsia="zh-CN"/>
        </w:rPr>
        <w:t>采购人</w:t>
      </w:r>
      <w:r>
        <w:rPr>
          <w:rFonts w:hint="eastAsia" w:ascii="宋体" w:hAnsi="宋体" w:eastAsia="宋体"/>
          <w:b w:val="0"/>
          <w:bCs w:val="0"/>
          <w:sz w:val="24"/>
        </w:rPr>
        <w:t>提供等额</w:t>
      </w:r>
      <w:r>
        <w:rPr>
          <w:rFonts w:hint="eastAsia" w:ascii="宋体" w:hAnsi="宋体" w:eastAsia="宋体"/>
          <w:b w:val="0"/>
          <w:bCs w:val="0"/>
          <w:sz w:val="24"/>
          <w:lang w:val="en-US" w:eastAsia="zh-CN"/>
        </w:rPr>
        <w:t>增值税</w:t>
      </w:r>
      <w:r>
        <w:rPr>
          <w:rFonts w:hint="eastAsia" w:ascii="宋体" w:hAnsi="宋体" w:eastAsia="宋体"/>
          <w:b w:val="0"/>
          <w:bCs w:val="0"/>
          <w:sz w:val="24"/>
        </w:rPr>
        <w:t>发票。</w:t>
      </w:r>
      <w:r>
        <w:rPr>
          <w:rFonts w:hint="eastAsia" w:ascii="宋体" w:hAnsi="宋体"/>
          <w:b w:val="0"/>
          <w:bCs w:val="0"/>
          <w:sz w:val="24"/>
          <w:lang w:val="en-US" w:eastAsia="zh-CN"/>
        </w:rPr>
        <w:t>投标人</w:t>
      </w:r>
      <w:r>
        <w:rPr>
          <w:rFonts w:hint="eastAsia" w:ascii="宋体" w:hAnsi="宋体" w:eastAsia="宋体"/>
          <w:b w:val="0"/>
          <w:bCs w:val="0"/>
          <w:sz w:val="24"/>
        </w:rPr>
        <w:t>不提供发票的，</w:t>
      </w:r>
      <w:r>
        <w:rPr>
          <w:rFonts w:hint="eastAsia" w:ascii="宋体" w:hAnsi="宋体"/>
          <w:b w:val="0"/>
          <w:bCs w:val="0"/>
          <w:sz w:val="24"/>
          <w:lang w:val="en-US" w:eastAsia="zh-CN"/>
        </w:rPr>
        <w:t>采购人</w:t>
      </w:r>
      <w:r>
        <w:rPr>
          <w:rFonts w:hint="eastAsia" w:ascii="宋体" w:hAnsi="宋体" w:eastAsia="宋体"/>
          <w:b w:val="0"/>
          <w:bCs w:val="0"/>
          <w:sz w:val="24"/>
        </w:rPr>
        <w:t>有权拒绝付款且不承担任何违约责任。</w:t>
      </w:r>
    </w:p>
    <w:p w14:paraId="0C4D16D3">
      <w:pPr>
        <w:spacing w:line="360" w:lineRule="auto"/>
        <w:contextualSpacing/>
        <w:rPr>
          <w:bCs/>
          <w:sz w:val="24"/>
        </w:rPr>
      </w:pPr>
    </w:p>
    <w:p w14:paraId="5CCE9C30">
      <w:pPr>
        <w:spacing w:line="360" w:lineRule="auto"/>
        <w:contextualSpacing/>
        <w:rPr>
          <w:sz w:val="24"/>
        </w:rPr>
      </w:pPr>
      <w:r>
        <w:rPr>
          <w:sz w:val="24"/>
        </w:rPr>
        <w:t>3. 包装和运输（须满足《关于印发〈商品包装政府采购需求标准（试行）〉、〈快递包装政府采购需求标准（试行）〉的通知》（财办库﹝2020﹞123号））</w:t>
      </w:r>
    </w:p>
    <w:p w14:paraId="3D900A25">
      <w:pPr>
        <w:widowControl/>
        <w:adjustRightInd w:val="0"/>
        <w:snapToGrid w:val="0"/>
        <w:spacing w:before="120" w:line="360" w:lineRule="auto"/>
        <w:rPr>
          <w:rFonts w:hint="eastAsia"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1</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包装：</w:t>
      </w:r>
      <w:r>
        <w:rPr>
          <w:rFonts w:hint="eastAsia" w:ascii="宋体" w:hAnsi="宋体" w:eastAsia="宋体" w:cs="宋体"/>
          <w:color w:val="000000"/>
          <w:sz w:val="24"/>
        </w:rPr>
        <w:t>除合同另有约定外,</w:t>
      </w:r>
      <w:r>
        <w:rPr>
          <w:rFonts w:hint="eastAsia" w:ascii="宋体" w:hAnsi="宋体" w:cs="宋体"/>
          <w:color w:val="000000"/>
          <w:sz w:val="24"/>
          <w:lang w:val="en-US" w:eastAsia="zh-CN"/>
        </w:rPr>
        <w:t>投标人</w:t>
      </w:r>
      <w:r>
        <w:rPr>
          <w:rFonts w:hint="eastAsia" w:ascii="宋体" w:hAnsi="宋体" w:eastAsia="宋体" w:cs="宋体"/>
          <w:color w:val="000000"/>
          <w:sz w:val="24"/>
        </w:rPr>
        <w:t>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w:t>
      </w:r>
      <w:r>
        <w:rPr>
          <w:rFonts w:hint="eastAsia" w:ascii="宋体" w:hAnsi="宋体" w:cs="宋体"/>
          <w:color w:val="000000"/>
          <w:sz w:val="24"/>
          <w:lang w:val="en-US" w:eastAsia="zh-CN"/>
        </w:rPr>
        <w:t>乙</w:t>
      </w:r>
      <w:r>
        <w:rPr>
          <w:rFonts w:hint="eastAsia" w:ascii="宋体" w:hAnsi="宋体" w:eastAsia="宋体" w:cs="宋体"/>
          <w:color w:val="000000"/>
          <w:sz w:val="24"/>
        </w:rPr>
        <w:t>方承担</w:t>
      </w:r>
      <w:r>
        <w:rPr>
          <w:rFonts w:hint="eastAsia" w:ascii="宋体" w:hAnsi="宋体" w:eastAsia="宋体" w:cs="宋体"/>
          <w:color w:val="000000"/>
          <w:sz w:val="24"/>
          <w:lang w:eastAsia="zh-CN"/>
        </w:rPr>
        <w:t>；</w:t>
      </w:r>
      <w:r>
        <w:rPr>
          <w:rFonts w:hint="eastAsia" w:ascii="宋体" w:hAnsi="宋体" w:eastAsia="宋体" w:cs="宋体"/>
          <w:color w:val="000000"/>
          <w:sz w:val="24"/>
        </w:rPr>
        <w:t>每件包装箱内应附一份详细装箱单和质量合格证。</w:t>
      </w:r>
    </w:p>
    <w:p w14:paraId="58377111">
      <w:pPr>
        <w:spacing w:line="360" w:lineRule="auto"/>
        <w:contextualSpacing/>
        <w:rPr>
          <w:rFonts w:hint="eastAsia" w:eastAsia="宋体"/>
          <w:sz w:val="24"/>
          <w:lang w:val="en-US" w:eastAsia="zh-CN"/>
        </w:rPr>
      </w:pPr>
      <w:r>
        <w:rPr>
          <w:rFonts w:hint="eastAsia"/>
          <w:sz w:val="24"/>
          <w:lang w:eastAsia="zh-CN"/>
        </w:rPr>
        <w:t>（</w:t>
      </w:r>
      <w:r>
        <w:rPr>
          <w:rFonts w:hint="eastAsia"/>
          <w:sz w:val="24"/>
          <w:lang w:val="en-US" w:eastAsia="zh-CN"/>
        </w:rPr>
        <w:t>2</w:t>
      </w:r>
      <w:r>
        <w:rPr>
          <w:rFonts w:hint="eastAsia"/>
          <w:sz w:val="24"/>
          <w:lang w:eastAsia="zh-CN"/>
        </w:rPr>
        <w:t>）</w:t>
      </w:r>
      <w:r>
        <w:rPr>
          <w:rFonts w:hint="eastAsia"/>
          <w:sz w:val="24"/>
          <w:lang w:val="en-US" w:eastAsia="zh-CN"/>
        </w:rPr>
        <w:t>运输：投标人</w:t>
      </w:r>
      <w:r>
        <w:rPr>
          <w:rFonts w:hint="eastAsia" w:ascii="宋体" w:hAnsi="宋体" w:eastAsia="宋体" w:cs="宋体"/>
          <w:color w:val="000000"/>
          <w:sz w:val="24"/>
        </w:rPr>
        <w:t>负责办理运输和保险，将货物运抵现场。有关运输和保险的一切费用由</w:t>
      </w:r>
      <w:r>
        <w:rPr>
          <w:rFonts w:hint="eastAsia" w:ascii="宋体" w:hAnsi="宋体" w:cs="宋体"/>
          <w:color w:val="000000"/>
          <w:sz w:val="24"/>
          <w:lang w:val="en-US" w:eastAsia="zh-CN"/>
        </w:rPr>
        <w:t>投标人</w:t>
      </w:r>
      <w:r>
        <w:rPr>
          <w:rFonts w:hint="eastAsia" w:ascii="宋体" w:hAnsi="宋体" w:eastAsia="宋体" w:cs="宋体"/>
          <w:color w:val="000000"/>
          <w:sz w:val="24"/>
        </w:rPr>
        <w:t>承担。所有货物运抵现场的日期为交货日期</w:t>
      </w:r>
      <w:r>
        <w:rPr>
          <w:rFonts w:hint="eastAsia" w:ascii="宋体" w:hAnsi="宋体" w:cs="宋体"/>
          <w:color w:val="000000"/>
          <w:sz w:val="24"/>
          <w:lang w:eastAsia="zh-CN"/>
        </w:rPr>
        <w:t>。</w:t>
      </w:r>
    </w:p>
    <w:p w14:paraId="756FC2C9">
      <w:pPr>
        <w:spacing w:line="360" w:lineRule="auto"/>
        <w:contextualSpacing/>
        <w:rPr>
          <w:sz w:val="24"/>
        </w:rPr>
      </w:pPr>
      <w:r>
        <w:rPr>
          <w:sz w:val="24"/>
        </w:rPr>
        <w:t>4. 售后服务（质保期）</w:t>
      </w:r>
    </w:p>
    <w:p w14:paraId="2A136835">
      <w:pPr>
        <w:spacing w:line="460" w:lineRule="exact"/>
        <w:rPr>
          <w:rFonts w:hint="eastAsia" w:ascii="宋体" w:hAnsi="宋体" w:cs="Arial"/>
          <w:b w:val="0"/>
          <w:bCs w:val="0"/>
          <w:color w:val="000000"/>
          <w:sz w:val="24"/>
        </w:rPr>
      </w:pPr>
      <w:r>
        <w:rPr>
          <w:rFonts w:hint="eastAsia" w:ascii="宋体" w:hAnsi="宋体" w:cs="Arial"/>
          <w:b w:val="0"/>
          <w:bCs w:val="0"/>
          <w:color w:val="000000"/>
          <w:sz w:val="24"/>
          <w:lang w:eastAsia="zh-CN"/>
        </w:rPr>
        <w:t>（</w:t>
      </w:r>
      <w:r>
        <w:rPr>
          <w:rFonts w:hint="eastAsia" w:ascii="宋体" w:hAnsi="宋体" w:cs="Arial"/>
          <w:b w:val="0"/>
          <w:bCs w:val="0"/>
          <w:color w:val="000000"/>
          <w:sz w:val="24"/>
          <w:lang w:val="en-US" w:eastAsia="zh-CN"/>
        </w:rPr>
        <w:t>1</w:t>
      </w:r>
      <w:r>
        <w:rPr>
          <w:rFonts w:hint="eastAsia" w:ascii="宋体" w:hAnsi="宋体" w:cs="Arial"/>
          <w:b w:val="0"/>
          <w:bCs w:val="0"/>
          <w:color w:val="000000"/>
          <w:sz w:val="24"/>
          <w:lang w:eastAsia="zh-CN"/>
        </w:rPr>
        <w:t>）</w:t>
      </w:r>
      <w:r>
        <w:rPr>
          <w:rFonts w:hint="eastAsia" w:ascii="宋体" w:hAnsi="宋体" w:cs="Arial"/>
          <w:b w:val="0"/>
          <w:bCs w:val="0"/>
          <w:color w:val="000000"/>
          <w:sz w:val="24"/>
        </w:rPr>
        <w:t>投标人应按国家相关要求进行质量管理。</w:t>
      </w:r>
    </w:p>
    <w:p w14:paraId="33F6512A">
      <w:pPr>
        <w:spacing w:line="460" w:lineRule="exact"/>
        <w:rPr>
          <w:rFonts w:hint="eastAsia" w:ascii="宋体" w:hAnsi="宋体" w:cs="Arial"/>
          <w:b w:val="0"/>
          <w:bCs w:val="0"/>
          <w:color w:val="000000"/>
          <w:sz w:val="24"/>
        </w:rPr>
      </w:pPr>
      <w:r>
        <w:rPr>
          <w:rFonts w:hint="eastAsia" w:ascii="宋体" w:hAnsi="宋体" w:cs="Arial"/>
          <w:b w:val="0"/>
          <w:bCs w:val="0"/>
          <w:color w:val="000000"/>
          <w:sz w:val="24"/>
          <w:lang w:eastAsia="zh-CN"/>
        </w:rPr>
        <w:t>（</w:t>
      </w:r>
      <w:r>
        <w:rPr>
          <w:rFonts w:hint="eastAsia" w:ascii="宋体" w:hAnsi="宋体" w:cs="Arial"/>
          <w:b w:val="0"/>
          <w:bCs w:val="0"/>
          <w:color w:val="000000"/>
          <w:sz w:val="24"/>
          <w:lang w:val="en-US" w:eastAsia="zh-CN"/>
        </w:rPr>
        <w:t>2</w:t>
      </w:r>
      <w:r>
        <w:rPr>
          <w:rFonts w:hint="eastAsia" w:ascii="宋体" w:hAnsi="宋体" w:cs="Arial"/>
          <w:b w:val="0"/>
          <w:bCs w:val="0"/>
          <w:color w:val="000000"/>
          <w:sz w:val="24"/>
          <w:lang w:eastAsia="zh-CN"/>
        </w:rPr>
        <w:t>）</w:t>
      </w:r>
      <w:r>
        <w:rPr>
          <w:rFonts w:hint="eastAsia" w:ascii="宋体" w:hAnsi="宋体" w:cs="Arial"/>
          <w:b w:val="0"/>
          <w:bCs w:val="0"/>
          <w:color w:val="000000"/>
          <w:sz w:val="24"/>
        </w:rPr>
        <w:t>投标人应在履行合同的全过程（从开始供货到最终验收）中，保证并负责所有供货和服务的质量，即要保证所供设备和服务的质量符合合同中有关技术、交付、验收和价格规定的要求。</w:t>
      </w:r>
    </w:p>
    <w:p w14:paraId="3323BFCF">
      <w:pPr>
        <w:spacing w:line="460" w:lineRule="exact"/>
        <w:rPr>
          <w:rFonts w:hint="eastAsia" w:ascii="宋体" w:hAnsi="宋体" w:cs="Arial"/>
          <w:b w:val="0"/>
          <w:bCs w:val="0"/>
          <w:color w:val="000000"/>
          <w:sz w:val="24"/>
        </w:rPr>
      </w:pPr>
      <w:r>
        <w:rPr>
          <w:rFonts w:hint="eastAsia" w:ascii="宋体" w:hAnsi="宋体" w:cs="Arial"/>
          <w:b w:val="0"/>
          <w:bCs w:val="0"/>
          <w:color w:val="000000"/>
          <w:sz w:val="24"/>
          <w:lang w:eastAsia="zh-CN"/>
        </w:rPr>
        <w:t>（</w:t>
      </w:r>
      <w:r>
        <w:rPr>
          <w:rFonts w:hint="eastAsia" w:ascii="宋体" w:hAnsi="宋体" w:cs="Arial"/>
          <w:b w:val="0"/>
          <w:bCs w:val="0"/>
          <w:color w:val="000000"/>
          <w:sz w:val="24"/>
          <w:lang w:val="en-US" w:eastAsia="zh-CN"/>
        </w:rPr>
        <w:t>3</w:t>
      </w:r>
      <w:r>
        <w:rPr>
          <w:rFonts w:hint="eastAsia" w:ascii="宋体" w:hAnsi="宋体" w:cs="Arial"/>
          <w:b w:val="0"/>
          <w:bCs w:val="0"/>
          <w:color w:val="000000"/>
          <w:sz w:val="24"/>
          <w:lang w:eastAsia="zh-CN"/>
        </w:rPr>
        <w:t>）</w:t>
      </w:r>
      <w:r>
        <w:rPr>
          <w:rFonts w:hint="eastAsia" w:ascii="宋体" w:hAnsi="宋体" w:cs="Arial"/>
          <w:b w:val="0"/>
          <w:bCs w:val="0"/>
          <w:color w:val="000000"/>
          <w:sz w:val="24"/>
        </w:rPr>
        <w:t>若招标人需要改造或扩容，双方另行约定。</w:t>
      </w:r>
    </w:p>
    <w:p w14:paraId="453D5CAA">
      <w:pPr>
        <w:spacing w:line="460" w:lineRule="exact"/>
        <w:rPr>
          <w:rFonts w:hint="eastAsia" w:ascii="宋体" w:hAnsi="宋体" w:cs="Arial"/>
          <w:b w:val="0"/>
          <w:bCs w:val="0"/>
          <w:color w:val="000000"/>
          <w:sz w:val="24"/>
        </w:rPr>
      </w:pPr>
      <w:r>
        <w:rPr>
          <w:rFonts w:hint="eastAsia" w:ascii="宋体" w:hAnsi="宋体" w:cs="Arial"/>
          <w:b w:val="0"/>
          <w:bCs w:val="0"/>
          <w:color w:val="000000"/>
          <w:sz w:val="24"/>
          <w:lang w:eastAsia="zh-CN"/>
        </w:rPr>
        <w:t>（</w:t>
      </w:r>
      <w:r>
        <w:rPr>
          <w:rFonts w:hint="eastAsia" w:ascii="宋体" w:hAnsi="宋体" w:cs="Arial"/>
          <w:b w:val="0"/>
          <w:bCs w:val="0"/>
          <w:color w:val="000000"/>
          <w:sz w:val="24"/>
          <w:lang w:val="en-US" w:eastAsia="zh-CN"/>
        </w:rPr>
        <w:t>4</w:t>
      </w:r>
      <w:r>
        <w:rPr>
          <w:rFonts w:hint="eastAsia" w:ascii="宋体" w:hAnsi="宋体" w:cs="Arial"/>
          <w:b w:val="0"/>
          <w:bCs w:val="0"/>
          <w:color w:val="000000"/>
          <w:sz w:val="24"/>
          <w:lang w:eastAsia="zh-CN"/>
        </w:rPr>
        <w:t>）</w:t>
      </w:r>
      <w:r>
        <w:rPr>
          <w:rFonts w:hint="eastAsia" w:ascii="宋体" w:hAnsi="宋体" w:cs="Arial"/>
          <w:b w:val="0"/>
          <w:bCs w:val="0"/>
          <w:color w:val="000000"/>
          <w:sz w:val="24"/>
        </w:rPr>
        <w:t>投标人应提供与本项目有关设备的技术文件，并负责培训招标人的相关技术管理人员，使其能较熟练使用本工程设备。</w:t>
      </w:r>
    </w:p>
    <w:p w14:paraId="65A09DCB">
      <w:pPr>
        <w:spacing w:line="460" w:lineRule="exact"/>
        <w:rPr>
          <w:rFonts w:hint="eastAsia" w:ascii="宋体" w:hAnsi="宋体" w:cs="Arial"/>
          <w:b w:val="0"/>
          <w:bCs w:val="0"/>
          <w:color w:val="000000"/>
          <w:sz w:val="24"/>
        </w:rPr>
      </w:pPr>
      <w:r>
        <w:rPr>
          <w:rFonts w:hint="eastAsia" w:ascii="宋体" w:hAnsi="宋体" w:cs="Arial"/>
          <w:b w:val="0"/>
          <w:bCs w:val="0"/>
          <w:color w:val="000000"/>
          <w:sz w:val="24"/>
          <w:lang w:eastAsia="zh-CN"/>
        </w:rPr>
        <w:t>（</w:t>
      </w:r>
      <w:r>
        <w:rPr>
          <w:rFonts w:hint="eastAsia" w:ascii="宋体" w:hAnsi="宋体" w:cs="Arial"/>
          <w:b w:val="0"/>
          <w:bCs w:val="0"/>
          <w:color w:val="000000"/>
          <w:sz w:val="24"/>
          <w:lang w:val="en-US" w:eastAsia="zh-CN"/>
        </w:rPr>
        <w:t>5</w:t>
      </w:r>
      <w:r>
        <w:rPr>
          <w:rFonts w:hint="eastAsia" w:ascii="宋体" w:hAnsi="宋体" w:cs="Arial"/>
          <w:b w:val="0"/>
          <w:bCs w:val="0"/>
          <w:color w:val="000000"/>
          <w:sz w:val="24"/>
          <w:lang w:eastAsia="zh-CN"/>
        </w:rPr>
        <w:t>）</w:t>
      </w:r>
      <w:r>
        <w:rPr>
          <w:rFonts w:hint="eastAsia" w:ascii="宋体" w:hAnsi="宋体" w:cs="Arial"/>
          <w:b w:val="0"/>
          <w:bCs w:val="0"/>
          <w:color w:val="000000"/>
          <w:sz w:val="24"/>
        </w:rPr>
        <w:t>投标人负责所投软件的安装、调试、培训，如出现软件质量问题由投标人负责包换或送退，并自行承担相应费用。</w:t>
      </w:r>
    </w:p>
    <w:p w14:paraId="3EDEA308">
      <w:pPr>
        <w:spacing w:line="460" w:lineRule="exact"/>
        <w:rPr>
          <w:rFonts w:hint="eastAsia" w:ascii="宋体" w:hAnsi="宋体" w:cs="Arial"/>
          <w:b w:val="0"/>
          <w:bCs w:val="0"/>
          <w:color w:val="000000"/>
          <w:sz w:val="24"/>
        </w:rPr>
      </w:pPr>
      <w:r>
        <w:rPr>
          <w:rFonts w:hint="eastAsia" w:ascii="宋体" w:hAnsi="宋体" w:cs="Arial"/>
          <w:b w:val="0"/>
          <w:bCs w:val="0"/>
          <w:color w:val="000000"/>
          <w:sz w:val="24"/>
          <w:lang w:eastAsia="zh-CN"/>
        </w:rPr>
        <w:t>（</w:t>
      </w:r>
      <w:r>
        <w:rPr>
          <w:rFonts w:hint="eastAsia" w:ascii="宋体" w:hAnsi="宋体" w:cs="Arial"/>
          <w:b w:val="0"/>
          <w:bCs w:val="0"/>
          <w:color w:val="000000"/>
          <w:sz w:val="24"/>
          <w:lang w:val="en-US" w:eastAsia="zh-CN"/>
        </w:rPr>
        <w:t>6</w:t>
      </w:r>
      <w:r>
        <w:rPr>
          <w:rFonts w:hint="eastAsia" w:ascii="宋体" w:hAnsi="宋体" w:cs="Arial"/>
          <w:b w:val="0"/>
          <w:bCs w:val="0"/>
          <w:color w:val="000000"/>
          <w:sz w:val="24"/>
          <w:lang w:eastAsia="zh-CN"/>
        </w:rPr>
        <w:t>）</w:t>
      </w:r>
      <w:r>
        <w:rPr>
          <w:rFonts w:hint="eastAsia" w:ascii="宋体" w:hAnsi="宋体" w:cs="Arial"/>
          <w:b w:val="0"/>
          <w:bCs w:val="0"/>
          <w:color w:val="000000"/>
          <w:sz w:val="24"/>
        </w:rPr>
        <w:t>投标人应提供最短的设备供货和工程完工时间，但工期最长不得超过合同签订后</w:t>
      </w:r>
      <w:r>
        <w:rPr>
          <w:rFonts w:ascii="宋体" w:hAnsi="宋体" w:cs="Arial"/>
          <w:b w:val="0"/>
          <w:bCs w:val="0"/>
          <w:color w:val="000000"/>
          <w:sz w:val="24"/>
        </w:rPr>
        <w:t>90日历日</w:t>
      </w:r>
      <w:r>
        <w:rPr>
          <w:rFonts w:hint="eastAsia" w:ascii="宋体" w:hAnsi="宋体" w:cs="Arial"/>
          <w:b w:val="0"/>
          <w:bCs w:val="0"/>
          <w:color w:val="000000"/>
          <w:sz w:val="24"/>
        </w:rPr>
        <w:t>。（采购人原因除外）</w:t>
      </w:r>
    </w:p>
    <w:p w14:paraId="12CAEF3D">
      <w:pPr>
        <w:spacing w:line="460" w:lineRule="exact"/>
        <w:rPr>
          <w:rFonts w:hint="eastAsia" w:ascii="宋体" w:hAnsi="宋体" w:cs="Arial"/>
          <w:b w:val="0"/>
          <w:bCs w:val="0"/>
          <w:color w:val="000000"/>
          <w:sz w:val="24"/>
        </w:rPr>
      </w:pPr>
      <w:r>
        <w:rPr>
          <w:rFonts w:hint="eastAsia" w:ascii="宋体" w:hAnsi="宋体" w:cs="Arial"/>
          <w:b w:val="0"/>
          <w:bCs w:val="0"/>
          <w:color w:val="000000"/>
          <w:sz w:val="24"/>
          <w:lang w:eastAsia="zh-CN"/>
        </w:rPr>
        <w:t>（</w:t>
      </w:r>
      <w:r>
        <w:rPr>
          <w:rFonts w:hint="eastAsia" w:ascii="宋体" w:hAnsi="宋体" w:cs="Arial"/>
          <w:b w:val="0"/>
          <w:bCs w:val="0"/>
          <w:color w:val="000000"/>
          <w:sz w:val="24"/>
          <w:lang w:val="en-US" w:eastAsia="zh-CN"/>
        </w:rPr>
        <w:t>7</w:t>
      </w:r>
      <w:r>
        <w:rPr>
          <w:rFonts w:hint="eastAsia" w:ascii="宋体" w:hAnsi="宋体" w:cs="Arial"/>
          <w:b w:val="0"/>
          <w:bCs w:val="0"/>
          <w:color w:val="000000"/>
          <w:sz w:val="24"/>
          <w:lang w:eastAsia="zh-CN"/>
        </w:rPr>
        <w:t>）</w:t>
      </w:r>
      <w:r>
        <w:rPr>
          <w:rFonts w:hint="eastAsia" w:ascii="宋体" w:hAnsi="宋体" w:cs="Arial"/>
          <w:b w:val="0"/>
          <w:bCs w:val="0"/>
          <w:color w:val="000000"/>
          <w:sz w:val="24"/>
          <w:lang w:val="en-US" w:eastAsia="zh-CN"/>
        </w:rPr>
        <w:t>设备</w:t>
      </w:r>
      <w:r>
        <w:rPr>
          <w:rFonts w:hint="eastAsia" w:ascii="宋体" w:hAnsi="宋体" w:cs="Arial"/>
          <w:b w:val="0"/>
          <w:bCs w:val="0"/>
          <w:color w:val="000000"/>
          <w:sz w:val="24"/>
        </w:rPr>
        <w:t>终验合格后进入</w:t>
      </w:r>
      <w:r>
        <w:rPr>
          <w:rFonts w:hint="eastAsia" w:ascii="宋体" w:hAnsi="宋体" w:cs="Arial"/>
          <w:b w:val="0"/>
          <w:bCs w:val="0"/>
          <w:color w:val="000000"/>
          <w:sz w:val="24"/>
          <w:lang w:val="en-US" w:eastAsia="zh-CN"/>
        </w:rPr>
        <w:t>设备</w:t>
      </w:r>
      <w:r>
        <w:rPr>
          <w:rFonts w:hint="eastAsia" w:ascii="宋体" w:hAnsi="宋体" w:cs="Arial"/>
          <w:b w:val="0"/>
          <w:bCs w:val="0"/>
          <w:color w:val="000000"/>
          <w:sz w:val="24"/>
        </w:rPr>
        <w:t>质量保证期，自双方代表在终验合格单上签字之日起计算，质保期为3年。</w:t>
      </w:r>
    </w:p>
    <w:p w14:paraId="6FAA1CFD">
      <w:pPr>
        <w:spacing w:line="360" w:lineRule="auto"/>
        <w:contextualSpacing/>
        <w:rPr>
          <w:sz w:val="24"/>
        </w:rPr>
      </w:pPr>
    </w:p>
    <w:p w14:paraId="6184DEBA">
      <w:pPr>
        <w:spacing w:line="360" w:lineRule="auto"/>
        <w:contextualSpacing/>
        <w:rPr>
          <w:b/>
          <w:i/>
          <w:sz w:val="24"/>
        </w:rPr>
      </w:pPr>
      <w:r>
        <w:rPr>
          <w:sz w:val="24"/>
        </w:rPr>
        <w:t>5. 保险</w:t>
      </w:r>
    </w:p>
    <w:p w14:paraId="537F206D">
      <w:pPr>
        <w:widowControl/>
        <w:adjustRightInd w:val="0"/>
        <w:snapToGrid w:val="0"/>
        <w:spacing w:before="120" w:line="360" w:lineRule="auto"/>
        <w:ind w:firstLine="420"/>
        <w:jc w:val="left"/>
        <w:rPr>
          <w:rFonts w:hint="eastAsia" w:ascii="宋体" w:hAnsi="宋体" w:eastAsia="宋体"/>
          <w:color w:val="000000"/>
          <w:sz w:val="24"/>
        </w:rPr>
      </w:pPr>
      <w:r>
        <w:rPr>
          <w:rFonts w:ascii="宋体" w:hAnsi="宋体" w:eastAsia="宋体"/>
          <w:color w:val="000000"/>
          <w:sz w:val="24"/>
        </w:rPr>
        <w:t>如果货物是按现场交货方式或工厂交货方式报价的，由</w:t>
      </w:r>
      <w:r>
        <w:rPr>
          <w:rFonts w:hint="eastAsia" w:ascii="宋体" w:hAnsi="宋体"/>
          <w:color w:val="000000"/>
          <w:sz w:val="24"/>
          <w:lang w:val="en-US" w:eastAsia="zh-CN"/>
        </w:rPr>
        <w:t>投标人</w:t>
      </w:r>
      <w:r>
        <w:rPr>
          <w:rFonts w:ascii="宋体" w:hAnsi="宋体" w:eastAsia="宋体"/>
          <w:color w:val="000000"/>
          <w:sz w:val="24"/>
        </w:rPr>
        <w:t>办理保险，按照发票金额的110％办理“一切险”，保险范围包括</w:t>
      </w:r>
      <w:r>
        <w:rPr>
          <w:rFonts w:hint="eastAsia" w:ascii="宋体" w:hAnsi="宋体"/>
          <w:color w:val="000000"/>
          <w:sz w:val="24"/>
          <w:lang w:val="en-US" w:eastAsia="zh-CN"/>
        </w:rPr>
        <w:t>乙</w:t>
      </w:r>
      <w:r>
        <w:rPr>
          <w:rFonts w:ascii="宋体" w:hAnsi="宋体" w:eastAsia="宋体"/>
          <w:color w:val="000000"/>
          <w:sz w:val="24"/>
        </w:rPr>
        <w:t>方承诺装运的货物；如果货物是按</w:t>
      </w:r>
      <w:r>
        <w:rPr>
          <w:rFonts w:hint="eastAsia" w:ascii="宋体" w:hAnsi="宋体"/>
          <w:color w:val="000000"/>
          <w:sz w:val="24"/>
          <w:lang w:val="en-US" w:eastAsia="zh-CN"/>
        </w:rPr>
        <w:t>采购人</w:t>
      </w:r>
      <w:r>
        <w:rPr>
          <w:rFonts w:ascii="宋体" w:hAnsi="宋体" w:eastAsia="宋体"/>
          <w:color w:val="000000"/>
          <w:sz w:val="24"/>
        </w:rPr>
        <w:t>自提货物方式报价的，其保险由</w:t>
      </w:r>
      <w:r>
        <w:rPr>
          <w:rFonts w:hint="eastAsia" w:ascii="宋体" w:hAnsi="宋体"/>
          <w:color w:val="000000"/>
          <w:sz w:val="24"/>
          <w:lang w:val="en-US" w:eastAsia="zh-CN"/>
        </w:rPr>
        <w:t>甲</w:t>
      </w:r>
      <w:r>
        <w:rPr>
          <w:rFonts w:ascii="宋体" w:hAnsi="宋体" w:eastAsia="宋体"/>
          <w:color w:val="000000"/>
          <w:sz w:val="24"/>
        </w:rPr>
        <w:t>方办理。</w:t>
      </w:r>
    </w:p>
    <w:p w14:paraId="6806ADB5">
      <w:pPr>
        <w:spacing w:line="360" w:lineRule="auto"/>
        <w:contextualSpacing/>
        <w:rPr>
          <w:b/>
          <w:i/>
          <w:sz w:val="24"/>
        </w:rPr>
      </w:pPr>
    </w:p>
    <w:p w14:paraId="2738341C">
      <w:pPr>
        <w:pStyle w:val="7"/>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5566A743">
      <w:pPr>
        <w:widowControl/>
        <w:spacing w:line="360" w:lineRule="auto"/>
        <w:ind w:firstLine="480" w:firstLineChars="200"/>
        <w:contextualSpacing/>
        <w:rPr>
          <w:sz w:val="24"/>
        </w:rPr>
      </w:pPr>
    </w:p>
    <w:p w14:paraId="24592AAB">
      <w:pPr>
        <w:widowControl/>
        <w:spacing w:line="360" w:lineRule="auto"/>
        <w:ind w:firstLine="480" w:firstLineChars="200"/>
        <w:contextualSpacing/>
        <w:rPr>
          <w:sz w:val="24"/>
        </w:rPr>
      </w:pPr>
    </w:p>
    <w:p w14:paraId="15ADD8B0">
      <w:pPr>
        <w:widowControl/>
        <w:spacing w:line="360" w:lineRule="auto"/>
        <w:ind w:firstLine="480" w:firstLineChars="200"/>
        <w:contextualSpacing/>
        <w:rPr>
          <w:sz w:val="24"/>
        </w:rPr>
      </w:pPr>
    </w:p>
    <w:p w14:paraId="7590BEC6">
      <w:pPr>
        <w:widowControl/>
        <w:spacing w:line="360" w:lineRule="auto"/>
        <w:ind w:firstLine="480" w:firstLineChars="200"/>
        <w:contextualSpacing/>
        <w:rPr>
          <w:sz w:val="24"/>
        </w:rPr>
      </w:pPr>
    </w:p>
    <w:p w14:paraId="288C3CE1">
      <w:pPr>
        <w:widowControl/>
        <w:spacing w:line="360" w:lineRule="auto"/>
        <w:ind w:firstLine="480" w:firstLineChars="200"/>
        <w:contextualSpacing/>
        <w:rPr>
          <w:sz w:val="24"/>
        </w:rPr>
      </w:pPr>
    </w:p>
    <w:p w14:paraId="70D695D5">
      <w:pPr>
        <w:widowControl/>
        <w:spacing w:line="360" w:lineRule="auto"/>
        <w:ind w:firstLine="480" w:firstLineChars="200"/>
        <w:contextualSpacing/>
        <w:rPr>
          <w:sz w:val="24"/>
        </w:rPr>
      </w:pPr>
    </w:p>
    <w:p w14:paraId="340FF328">
      <w:pPr>
        <w:widowControl/>
        <w:spacing w:line="360" w:lineRule="auto"/>
        <w:ind w:firstLine="480" w:firstLineChars="200"/>
        <w:contextualSpacing/>
        <w:rPr>
          <w:sz w:val="24"/>
        </w:rPr>
      </w:pPr>
    </w:p>
    <w:p w14:paraId="4DE046D8">
      <w:pPr>
        <w:widowControl/>
        <w:spacing w:line="360" w:lineRule="auto"/>
        <w:ind w:firstLine="1015" w:firstLineChars="0"/>
        <w:contextualSpacing/>
        <w:rPr>
          <w:sz w:val="24"/>
        </w:rPr>
      </w:pPr>
    </w:p>
    <w:p w14:paraId="3E1CF4FF">
      <w:pPr>
        <w:widowControl/>
        <w:spacing w:line="360" w:lineRule="auto"/>
        <w:ind w:firstLine="480" w:firstLineChars="200"/>
        <w:contextualSpacing/>
        <w:rPr>
          <w:sz w:val="24"/>
        </w:rPr>
      </w:pPr>
    </w:p>
    <w:p w14:paraId="791D4325">
      <w:pPr>
        <w:widowControl/>
        <w:spacing w:line="360" w:lineRule="auto"/>
        <w:ind w:firstLine="480" w:firstLineChars="200"/>
        <w:contextualSpacing/>
        <w:rPr>
          <w:sz w:val="24"/>
        </w:rPr>
        <w:sectPr>
          <w:pgSz w:w="11910" w:h="16840"/>
          <w:pgMar w:top="1418" w:right="1701" w:bottom="1418" w:left="1701" w:header="720" w:footer="720" w:gutter="0"/>
          <w:cols w:space="720" w:num="1"/>
        </w:sectPr>
      </w:pPr>
    </w:p>
    <w:tbl>
      <w:tblPr>
        <w:tblStyle w:val="4"/>
        <w:tblW w:w="14357" w:type="dxa"/>
        <w:jc w:val="center"/>
        <w:tblLayout w:type="fixed"/>
        <w:tblCellMar>
          <w:top w:w="0" w:type="dxa"/>
          <w:left w:w="108" w:type="dxa"/>
          <w:bottom w:w="0" w:type="dxa"/>
          <w:right w:w="108" w:type="dxa"/>
        </w:tblCellMar>
      </w:tblPr>
      <w:tblGrid>
        <w:gridCol w:w="709"/>
        <w:gridCol w:w="1976"/>
        <w:gridCol w:w="1088"/>
        <w:gridCol w:w="1167"/>
        <w:gridCol w:w="9417"/>
      </w:tblGrid>
      <w:tr w14:paraId="6C4F2903">
        <w:tblPrEx>
          <w:tblCellMar>
            <w:top w:w="0" w:type="dxa"/>
            <w:left w:w="108" w:type="dxa"/>
            <w:bottom w:w="0" w:type="dxa"/>
            <w:right w:w="108" w:type="dxa"/>
          </w:tblCellMar>
        </w:tblPrEx>
        <w:trPr>
          <w:trHeight w:val="640"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1FE74F16">
            <w:pPr>
              <w:widowControl/>
              <w:spacing w:line="390" w:lineRule="exact"/>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序号</w:t>
            </w:r>
          </w:p>
        </w:tc>
        <w:tc>
          <w:tcPr>
            <w:tcW w:w="1976" w:type="dxa"/>
            <w:tcBorders>
              <w:top w:val="single" w:color="auto" w:sz="4" w:space="0"/>
              <w:left w:val="nil"/>
              <w:bottom w:val="single" w:color="auto" w:sz="4" w:space="0"/>
              <w:right w:val="single" w:color="auto" w:sz="4" w:space="0"/>
            </w:tcBorders>
            <w:noWrap/>
            <w:vAlign w:val="center"/>
          </w:tcPr>
          <w:p w14:paraId="182FF96C">
            <w:pPr>
              <w:widowControl/>
              <w:spacing w:line="390" w:lineRule="exact"/>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名称</w:t>
            </w:r>
          </w:p>
        </w:tc>
        <w:tc>
          <w:tcPr>
            <w:tcW w:w="1088" w:type="dxa"/>
            <w:tcBorders>
              <w:top w:val="single" w:color="auto" w:sz="4" w:space="0"/>
              <w:left w:val="nil"/>
              <w:bottom w:val="single" w:color="auto" w:sz="4" w:space="0"/>
              <w:right w:val="single" w:color="auto" w:sz="4" w:space="0"/>
            </w:tcBorders>
            <w:noWrap/>
            <w:vAlign w:val="center"/>
          </w:tcPr>
          <w:p w14:paraId="54F8C5C6">
            <w:pPr>
              <w:widowControl/>
              <w:spacing w:line="390" w:lineRule="exact"/>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单位</w:t>
            </w:r>
          </w:p>
        </w:tc>
        <w:tc>
          <w:tcPr>
            <w:tcW w:w="1167" w:type="dxa"/>
            <w:tcBorders>
              <w:top w:val="single" w:color="auto" w:sz="4" w:space="0"/>
              <w:left w:val="nil"/>
              <w:bottom w:val="single" w:color="auto" w:sz="4" w:space="0"/>
              <w:right w:val="single" w:color="auto" w:sz="4" w:space="0"/>
            </w:tcBorders>
            <w:noWrap/>
            <w:vAlign w:val="center"/>
          </w:tcPr>
          <w:p w14:paraId="1DFB0256">
            <w:pPr>
              <w:widowControl/>
              <w:spacing w:line="390" w:lineRule="exact"/>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数量</w:t>
            </w:r>
          </w:p>
        </w:tc>
        <w:tc>
          <w:tcPr>
            <w:tcW w:w="9417" w:type="dxa"/>
            <w:tcBorders>
              <w:top w:val="single" w:color="auto" w:sz="4" w:space="0"/>
              <w:left w:val="nil"/>
              <w:bottom w:val="single" w:color="auto" w:sz="4" w:space="0"/>
              <w:right w:val="single" w:color="auto" w:sz="4" w:space="0"/>
            </w:tcBorders>
            <w:noWrap/>
            <w:vAlign w:val="center"/>
          </w:tcPr>
          <w:p w14:paraId="623FF098">
            <w:pPr>
              <w:widowControl/>
              <w:spacing w:line="390" w:lineRule="exact"/>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技术指标要求</w:t>
            </w:r>
          </w:p>
        </w:tc>
      </w:tr>
      <w:tr w14:paraId="0F1F9339">
        <w:tblPrEx>
          <w:tblCellMar>
            <w:top w:w="0" w:type="dxa"/>
            <w:left w:w="108" w:type="dxa"/>
            <w:bottom w:w="0" w:type="dxa"/>
            <w:right w:w="108" w:type="dxa"/>
          </w:tblCellMar>
        </w:tblPrEx>
        <w:trPr>
          <w:trHeight w:val="31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686AF10B">
            <w:pPr>
              <w:widowControl/>
              <w:spacing w:line="390" w:lineRule="exact"/>
              <w:jc w:val="center"/>
              <w:rPr>
                <w:rFonts w:hint="eastAsia" w:ascii="宋体" w:hAnsi="宋体" w:eastAsia="宋体" w:cs="宋体"/>
                <w:b/>
                <w:bCs/>
                <w:color w:val="000000"/>
                <w:kern w:val="0"/>
                <w:sz w:val="24"/>
              </w:rPr>
            </w:pPr>
            <w:r>
              <w:rPr>
                <w:rFonts w:hint="eastAsia" w:ascii="宋体" w:hAnsi="宋体" w:eastAsia="宋体" w:cs="宋体"/>
                <w:color w:val="000000"/>
                <w:kern w:val="0"/>
                <w:sz w:val="24"/>
              </w:rPr>
              <w:t>1</w:t>
            </w:r>
          </w:p>
        </w:tc>
        <w:tc>
          <w:tcPr>
            <w:tcW w:w="1976" w:type="dxa"/>
            <w:tcBorders>
              <w:top w:val="single" w:color="auto" w:sz="4" w:space="0"/>
              <w:left w:val="nil"/>
              <w:bottom w:val="single" w:color="auto" w:sz="4" w:space="0"/>
              <w:right w:val="single" w:color="auto" w:sz="4" w:space="0"/>
            </w:tcBorders>
            <w:noWrap/>
            <w:vAlign w:val="center"/>
          </w:tcPr>
          <w:p w14:paraId="393FFBF9">
            <w:pPr>
              <w:widowControl/>
              <w:spacing w:line="390" w:lineRule="exact"/>
              <w:jc w:val="center"/>
              <w:rPr>
                <w:rFonts w:hint="default" w:ascii="宋体" w:hAnsi="宋体" w:eastAsia="宋体" w:cs="宋体"/>
                <w:b/>
                <w:bCs/>
                <w:color w:val="000000"/>
                <w:kern w:val="0"/>
                <w:sz w:val="24"/>
                <w:lang w:val="en-US" w:eastAsia="zh-CN"/>
              </w:rPr>
            </w:pPr>
            <w:r>
              <w:rPr>
                <w:rFonts w:hint="eastAsia" w:ascii="宋体" w:hAnsi="宋体" w:eastAsia="宋体" w:cs="宋体"/>
                <w:b w:val="0"/>
                <w:bCs w:val="0"/>
                <w:color w:val="000000"/>
                <w:kern w:val="0"/>
                <w:sz w:val="24"/>
                <w:lang w:val="en-US" w:eastAsia="zh-CN"/>
              </w:rPr>
              <w:t>智慧屏</w:t>
            </w:r>
          </w:p>
        </w:tc>
        <w:tc>
          <w:tcPr>
            <w:tcW w:w="1088" w:type="dxa"/>
            <w:tcBorders>
              <w:top w:val="single" w:color="auto" w:sz="4" w:space="0"/>
              <w:left w:val="nil"/>
              <w:bottom w:val="single" w:color="auto" w:sz="4" w:space="0"/>
              <w:right w:val="single" w:color="auto" w:sz="4" w:space="0"/>
            </w:tcBorders>
            <w:noWrap/>
            <w:vAlign w:val="center"/>
          </w:tcPr>
          <w:p w14:paraId="407C63BA">
            <w:pPr>
              <w:widowControl/>
              <w:spacing w:line="390" w:lineRule="exact"/>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台</w:t>
            </w:r>
          </w:p>
        </w:tc>
        <w:tc>
          <w:tcPr>
            <w:tcW w:w="1167" w:type="dxa"/>
            <w:tcBorders>
              <w:top w:val="single" w:color="auto" w:sz="4" w:space="0"/>
              <w:left w:val="nil"/>
              <w:bottom w:val="single" w:color="auto" w:sz="4" w:space="0"/>
              <w:right w:val="single" w:color="auto" w:sz="4" w:space="0"/>
            </w:tcBorders>
            <w:noWrap/>
            <w:vAlign w:val="center"/>
          </w:tcPr>
          <w:p w14:paraId="3DDD3A98">
            <w:pPr>
              <w:widowControl/>
              <w:spacing w:line="390" w:lineRule="exact"/>
              <w:jc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48</w:t>
            </w:r>
          </w:p>
        </w:tc>
        <w:tc>
          <w:tcPr>
            <w:tcW w:w="9417" w:type="dxa"/>
            <w:tcBorders>
              <w:top w:val="single" w:color="auto" w:sz="4" w:space="0"/>
              <w:left w:val="nil"/>
              <w:bottom w:val="single" w:color="auto" w:sz="4" w:space="0"/>
              <w:right w:val="single" w:color="auto" w:sz="4" w:space="0"/>
            </w:tcBorders>
            <w:noWrap/>
            <w:vAlign w:val="center"/>
          </w:tcPr>
          <w:p w14:paraId="720802B1">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触控一体机</w:t>
            </w:r>
          </w:p>
          <w:p w14:paraId="696C9A81">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设备液晶屏显示尺寸≥86英寸，须采用零贴合、红外感应技，A规屏，显示比例16:9，分辨率≥3840*2160，色域≥85%NTSC，防眩光，触摸高度≤2mm。</w:t>
            </w:r>
          </w:p>
          <w:p w14:paraId="33A1B381">
            <w:pPr>
              <w:widowControl/>
              <w:numPr>
                <w:ilvl w:val="0"/>
                <w:numId w:val="0"/>
              </w:numPr>
              <w:tabs>
                <w:tab w:val="left" w:pos="1392"/>
              </w:tabs>
              <w:spacing w:line="390" w:lineRule="exact"/>
              <w:jc w:val="left"/>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2设备配置国产系统，CPU核数≥8核，内存≥12GB，存储空间≥128GB，须采用国产主要元器件，包括但不限于CPU处理单元、可编程逻辑芯片，音视频编解码单元、视频输入输出芯片、电源模块、摄像机镜头、麦克风、内置扬声器、红外触控模组等</w:t>
            </w:r>
            <w:r>
              <w:rPr>
                <w:rFonts w:hint="eastAsia" w:ascii="宋体" w:hAnsi="宋体" w:cs="宋体"/>
                <w:color w:val="000000"/>
                <w:kern w:val="0"/>
                <w:sz w:val="24"/>
                <w:lang w:eastAsia="zh-CN"/>
              </w:rPr>
              <w:t>。</w:t>
            </w:r>
          </w:p>
          <w:p w14:paraId="007E1AA6">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3设备须内置白板，支持≥2种书写笔头，书写延时≤16ms，支持</w:t>
            </w:r>
            <w:r>
              <w:rPr>
                <w:rFonts w:hint="eastAsia" w:ascii="宋体" w:hAnsi="宋体" w:eastAsia="宋体" w:cs="宋体"/>
                <w:color w:val="000000"/>
                <w:kern w:val="0"/>
                <w:sz w:val="24"/>
                <w:lang w:val="en-US" w:eastAsia="zh-CN"/>
              </w:rPr>
              <w:t>书写</w:t>
            </w:r>
            <w:r>
              <w:rPr>
                <w:rFonts w:hint="eastAsia" w:ascii="宋体" w:hAnsi="宋体" w:eastAsia="宋体" w:cs="宋体"/>
                <w:color w:val="000000"/>
                <w:kern w:val="0"/>
                <w:sz w:val="24"/>
              </w:rPr>
              <w:t>本地保存、邮件分享、浏览器等第三方应用扫码带走功能，方便老师实时保存课堂书写内容。</w:t>
            </w:r>
          </w:p>
          <w:p w14:paraId="7452FAFE">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4设备</w:t>
            </w:r>
            <w:r>
              <w:rPr>
                <w:rFonts w:hint="eastAsia" w:ascii="宋体" w:hAnsi="宋体" w:eastAsia="宋体" w:cs="宋体"/>
                <w:color w:val="000000"/>
                <w:kern w:val="0"/>
                <w:sz w:val="24"/>
                <w:lang w:val="en-US" w:eastAsia="zh-CN"/>
              </w:rPr>
              <w:t>支持</w:t>
            </w:r>
            <w:r>
              <w:rPr>
                <w:rFonts w:hint="eastAsia" w:ascii="宋体" w:hAnsi="宋体" w:eastAsia="宋体" w:cs="宋体"/>
                <w:color w:val="000000"/>
                <w:kern w:val="0"/>
                <w:sz w:val="24"/>
              </w:rPr>
              <w:t>前面板独立物理按钮数量≤1，须实现包括但不限于开机、关机、息屏、唤醒的功能。</w:t>
            </w:r>
          </w:p>
          <w:p w14:paraId="14A8F1A1">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5设备须内置无线网卡，支持在内置系统下接入2.4G/5G双频无线网络，支持802.11a/b/g/n/ac/ax无线网络协议</w:t>
            </w:r>
            <w:r>
              <w:rPr>
                <w:rFonts w:hint="eastAsia" w:ascii="宋体" w:hAnsi="宋体" w:cs="宋体"/>
                <w:color w:val="000000"/>
                <w:kern w:val="0"/>
                <w:sz w:val="24"/>
                <w:lang w:eastAsia="zh-CN"/>
              </w:rPr>
              <w:t>。</w:t>
            </w:r>
          </w:p>
          <w:p w14:paraId="51D11B92">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6设备内置操作系统下，支持两个应用分屏同时显示，支持通过拖拉改变窗口大小。如一侧白板，一侧打开网页，可以通过拖拉调节分割线以改变窗口大小，方便一边书写一边查看资料。</w:t>
            </w:r>
          </w:p>
          <w:p w14:paraId="5DE7EF17">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7设备须内置应用市场，</w:t>
            </w:r>
            <w:r>
              <w:rPr>
                <w:rFonts w:hint="eastAsia" w:ascii="宋体" w:hAnsi="宋体" w:eastAsia="宋体" w:cs="宋体"/>
                <w:color w:val="000000"/>
                <w:kern w:val="0"/>
                <w:sz w:val="24"/>
                <w:lang w:val="en-US" w:eastAsia="zh-CN"/>
              </w:rPr>
              <w:t>支持</w:t>
            </w:r>
            <w:r>
              <w:rPr>
                <w:rFonts w:hint="eastAsia" w:ascii="宋体" w:hAnsi="宋体" w:eastAsia="宋体" w:cs="宋体"/>
                <w:color w:val="000000"/>
                <w:kern w:val="0"/>
                <w:sz w:val="24"/>
              </w:rPr>
              <w:t>应用市场自主安装应用，应用市场内须适配不少于40个第三方应用。</w:t>
            </w:r>
          </w:p>
          <w:p w14:paraId="4270E065">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8须提供内置设备操作指导模块，包含设备功能的视频介绍和文字介绍，支持通过移动端扫码查看常见使用问题。</w:t>
            </w:r>
          </w:p>
          <w:p w14:paraId="033CB67C">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9设备须支持外接使用OPS下的操作系统，提供标准模块化电脑（OPS）通用的80针接口，拒绝专用接口，以满足后续模块化电脑配置升级的需求。</w:t>
            </w:r>
          </w:p>
          <w:p w14:paraId="65A2748F">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10设备须支持音频调节功能，可根据不同教室空间的大小进行手动调节低频/中频/高频均衡，支持智能降噪、回声抑制、UAC增益、混响抑制等设置。</w:t>
            </w:r>
          </w:p>
          <w:p w14:paraId="02085224">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11设备内置白板须支持文字和图形智能识别功能，可将手写体识别为标准打印体，支持中英文识别</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lang w:val="en-US" w:eastAsia="zh-CN"/>
              </w:rPr>
              <w:t>支持</w:t>
            </w:r>
            <w:r>
              <w:rPr>
                <w:rFonts w:hint="eastAsia" w:ascii="宋体" w:hAnsi="宋体" w:eastAsia="宋体" w:cs="宋体"/>
                <w:color w:val="000000"/>
                <w:kern w:val="0"/>
                <w:sz w:val="24"/>
              </w:rPr>
              <w:t>断网状态下实现上述操作。</w:t>
            </w:r>
          </w:p>
          <w:p w14:paraId="68595EF4">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12须提供不低于4T</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OPS的AI算力，支持突发噪声抑制，具备教室去混响能力，从而有效提升拾音效果。</w:t>
            </w:r>
          </w:p>
          <w:p w14:paraId="22214F9E">
            <w:pPr>
              <w:widowControl/>
              <w:numPr>
                <w:ilvl w:val="0"/>
                <w:numId w:val="0"/>
              </w:numPr>
              <w:tabs>
                <w:tab w:val="left" w:pos="1392"/>
              </w:tabs>
              <w:spacing w:line="390" w:lineRule="exact"/>
              <w:jc w:val="left"/>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13须支持设备系统应用管控，支持儿童青少年模式，可针对不同年龄段的应用进行密码禁用设置，可有效管控第三方APP的安装使用</w:t>
            </w:r>
            <w:r>
              <w:rPr>
                <w:rFonts w:hint="eastAsia" w:ascii="宋体" w:hAnsi="宋体" w:eastAsia="宋体" w:cs="宋体"/>
                <w:color w:val="000000"/>
                <w:kern w:val="0"/>
                <w:sz w:val="24"/>
                <w:lang w:eastAsia="zh-CN"/>
              </w:rPr>
              <w:t>。</w:t>
            </w:r>
          </w:p>
          <w:p w14:paraId="32DF6181">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14支持通过投屏软件进行音视频投屏共享。支持跨网投屏，无需扫码或输入终端IP地址或无需设备在同一局域网中，可直接通过输入投屏码实现投屏。</w:t>
            </w:r>
          </w:p>
          <w:p w14:paraId="6BC2400B">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15前置须具有以下无转接接口：≥1*USB Type-C、≥2*USB Type-A；侧置须具有以下无转接接口：≥2*HDMI IN、≥1*HDMI OUT、≥1*Line IN、≥1*Line OUT、≥1*RJ45、≥1*控制串口、≥3*USB Type-A、≥1*USB Type-B。</w:t>
            </w:r>
          </w:p>
          <w:p w14:paraId="5D1B3A87">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电子黑板</w:t>
            </w:r>
          </w:p>
          <w:p w14:paraId="3A0F03C6">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支持</w:t>
            </w:r>
            <w:r>
              <w:rPr>
                <w:rFonts w:hint="eastAsia" w:ascii="宋体" w:hAnsi="宋体" w:eastAsia="宋体" w:cs="宋体"/>
                <w:color w:val="000000"/>
                <w:kern w:val="0"/>
                <w:sz w:val="24"/>
              </w:rPr>
              <w:t>ABA结构，与大屏形成三拼结构。</w:t>
            </w:r>
          </w:p>
          <w:p w14:paraId="215C3585">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2.</w:t>
            </w: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两侧采用红外感应可实现智能书写，并实现电子化，左右副板采用下侧居中笔拖结构；</w:t>
            </w:r>
          </w:p>
          <w:p w14:paraId="30FF13E5">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3</w:t>
            </w:r>
            <w:r>
              <w:rPr>
                <w:rFonts w:hint="eastAsia" w:ascii="宋体" w:hAnsi="宋体" w:eastAsia="宋体" w:cs="宋体"/>
                <w:color w:val="000000"/>
                <w:kern w:val="0"/>
                <w:sz w:val="24"/>
                <w:lang w:val="en-US" w:eastAsia="zh-CN"/>
              </w:rPr>
              <w:t>支持</w:t>
            </w:r>
            <w:r>
              <w:rPr>
                <w:rFonts w:hint="eastAsia" w:ascii="宋体" w:hAnsi="宋体" w:eastAsia="宋体" w:cs="宋体"/>
                <w:color w:val="000000"/>
                <w:kern w:val="0"/>
                <w:sz w:val="24"/>
              </w:rPr>
              <w:t>纳米书写板面，可采用粉笔等</w:t>
            </w:r>
            <w:r>
              <w:rPr>
                <w:rFonts w:hint="eastAsia" w:ascii="宋体" w:hAnsi="宋体" w:eastAsia="宋体" w:cs="宋体"/>
                <w:color w:val="000000"/>
                <w:kern w:val="0"/>
                <w:sz w:val="24"/>
                <w:lang w:val="en-US" w:eastAsia="zh-CN"/>
              </w:rPr>
              <w:t>多种</w:t>
            </w:r>
            <w:r>
              <w:rPr>
                <w:rFonts w:hint="eastAsia" w:ascii="宋体" w:hAnsi="宋体" w:eastAsia="宋体" w:cs="宋体"/>
                <w:color w:val="000000"/>
                <w:kern w:val="0"/>
                <w:sz w:val="24"/>
              </w:rPr>
              <w:t>书写；</w:t>
            </w:r>
            <w:r>
              <w:rPr>
                <w:rFonts w:hint="eastAsia" w:ascii="宋体" w:hAnsi="宋体" w:eastAsia="宋体" w:cs="宋体"/>
                <w:color w:val="000000"/>
                <w:kern w:val="0"/>
                <w:sz w:val="24"/>
                <w:lang w:val="en-US" w:eastAsia="zh-CN"/>
              </w:rPr>
              <w:t>支持</w:t>
            </w:r>
            <w:r>
              <w:rPr>
                <w:rFonts w:hint="eastAsia" w:ascii="宋体" w:hAnsi="宋体" w:eastAsia="宋体" w:cs="宋体"/>
                <w:color w:val="000000"/>
                <w:kern w:val="0"/>
                <w:sz w:val="24"/>
              </w:rPr>
              <w:t>干布或板擦擦拭</w:t>
            </w:r>
            <w:r>
              <w:rPr>
                <w:rFonts w:hint="eastAsia" w:ascii="宋体" w:hAnsi="宋体" w:cs="宋体"/>
                <w:color w:val="000000"/>
                <w:kern w:val="0"/>
                <w:sz w:val="24"/>
                <w:lang w:eastAsia="zh-CN"/>
              </w:rPr>
              <w:t>。</w:t>
            </w:r>
          </w:p>
          <w:p w14:paraId="04813554">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4采用红外触控技术，可以设置临界值</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当小于临界值时默认的是设备的是书写轨迹，如果大于临界值时实现的是擦除功能。</w:t>
            </w:r>
          </w:p>
          <w:p w14:paraId="72055EF3">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5双侧板面提供上下居中的快捷键，可以进行书写内容预览、板书上下页翻页、红、白、黄三色笔迹选择、扫码分享、投票、一键清屏等快捷按键。</w:t>
            </w:r>
          </w:p>
          <w:p w14:paraId="6761971D">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6</w:t>
            </w:r>
            <w:r>
              <w:rPr>
                <w:rFonts w:hint="eastAsia" w:ascii="宋体" w:hAnsi="宋体" w:eastAsia="宋体" w:cs="宋体"/>
                <w:color w:val="000000"/>
                <w:kern w:val="0"/>
                <w:sz w:val="24"/>
                <w:lang w:val="en-US" w:eastAsia="zh-CN"/>
              </w:rPr>
              <w:t>电子</w:t>
            </w:r>
            <w:r>
              <w:rPr>
                <w:rFonts w:hint="eastAsia" w:ascii="宋体" w:hAnsi="宋体" w:eastAsia="宋体" w:cs="宋体"/>
                <w:color w:val="000000"/>
                <w:kern w:val="0"/>
                <w:sz w:val="24"/>
              </w:rPr>
              <w:t>黑板软件在后台运行时，书写任意内容，显示设备可以同时进行交互式操作，在书写完毕后通过一键预览可以实现显示端显示，也可以通过预览直接调出记录内容实现板书和显示同步。</w:t>
            </w:r>
          </w:p>
          <w:p w14:paraId="6A9247CD">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7</w:t>
            </w:r>
            <w:r>
              <w:rPr>
                <w:rFonts w:hint="eastAsia" w:ascii="宋体" w:hAnsi="宋体" w:eastAsia="宋体" w:cs="宋体"/>
                <w:color w:val="000000"/>
                <w:kern w:val="0"/>
                <w:sz w:val="24"/>
                <w:lang w:val="en-US" w:eastAsia="zh-CN"/>
              </w:rPr>
              <w:t>电子</w:t>
            </w:r>
            <w:r>
              <w:rPr>
                <w:rFonts w:hint="eastAsia" w:ascii="宋体" w:hAnsi="宋体" w:eastAsia="宋体" w:cs="宋体"/>
                <w:color w:val="000000"/>
                <w:kern w:val="0"/>
                <w:sz w:val="24"/>
              </w:rPr>
              <w:t>黑板软件可以设置2种板书记录模式，支持一块</w:t>
            </w:r>
            <w:r>
              <w:rPr>
                <w:rFonts w:hint="eastAsia" w:ascii="宋体" w:hAnsi="宋体" w:eastAsia="宋体" w:cs="宋体"/>
                <w:color w:val="000000"/>
                <w:kern w:val="0"/>
                <w:sz w:val="24"/>
                <w:lang w:val="en-US" w:eastAsia="zh-CN"/>
              </w:rPr>
              <w:t>电子</w:t>
            </w:r>
            <w:r>
              <w:rPr>
                <w:rFonts w:hint="eastAsia" w:ascii="宋体" w:hAnsi="宋体" w:eastAsia="宋体" w:cs="宋体"/>
                <w:color w:val="000000"/>
                <w:kern w:val="0"/>
                <w:sz w:val="24"/>
              </w:rPr>
              <w:t>黑板记录为一页页面</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lang w:val="en-US" w:eastAsia="zh-CN"/>
              </w:rPr>
              <w:t>也可</w:t>
            </w:r>
            <w:r>
              <w:rPr>
                <w:rFonts w:hint="eastAsia" w:ascii="宋体" w:hAnsi="宋体" w:eastAsia="宋体" w:cs="宋体"/>
                <w:color w:val="000000"/>
                <w:kern w:val="0"/>
                <w:sz w:val="24"/>
              </w:rPr>
              <w:t>支持双</w:t>
            </w:r>
            <w:r>
              <w:rPr>
                <w:rFonts w:hint="eastAsia" w:ascii="宋体" w:hAnsi="宋体" w:eastAsia="宋体" w:cs="宋体"/>
                <w:color w:val="000000"/>
                <w:kern w:val="0"/>
                <w:sz w:val="24"/>
                <w:lang w:val="en-US" w:eastAsia="zh-CN"/>
              </w:rPr>
              <w:t>电子</w:t>
            </w:r>
            <w:r>
              <w:rPr>
                <w:rFonts w:hint="eastAsia" w:ascii="宋体" w:hAnsi="宋体" w:eastAsia="宋体" w:cs="宋体"/>
                <w:color w:val="000000"/>
                <w:kern w:val="0"/>
                <w:sz w:val="24"/>
              </w:rPr>
              <w:t>黑板同时书写时在显示端同时显示。</w:t>
            </w:r>
          </w:p>
          <w:p w14:paraId="6BDA3D7C">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8支持16:9/4:3或自定义模式。</w:t>
            </w:r>
          </w:p>
          <w:p w14:paraId="3CE664B4">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9显示提示：</w:t>
            </w:r>
            <w:r>
              <w:rPr>
                <w:rFonts w:hint="eastAsia" w:ascii="宋体" w:hAnsi="宋体" w:eastAsia="宋体" w:cs="宋体"/>
                <w:color w:val="000000"/>
                <w:kern w:val="0"/>
                <w:sz w:val="24"/>
                <w:lang w:val="en-US" w:eastAsia="zh-CN"/>
              </w:rPr>
              <w:t>电子</w:t>
            </w:r>
            <w:r>
              <w:rPr>
                <w:rFonts w:hint="eastAsia" w:ascii="宋体" w:hAnsi="宋体" w:eastAsia="宋体" w:cs="宋体"/>
                <w:color w:val="000000"/>
                <w:kern w:val="0"/>
                <w:sz w:val="24"/>
              </w:rPr>
              <w:t>黑板需采用后台记录，在未点击预览时所有操作与显示端无互动，但是显示端需提供</w:t>
            </w:r>
            <w:r>
              <w:rPr>
                <w:rFonts w:hint="eastAsia" w:ascii="宋体" w:hAnsi="宋体" w:eastAsia="宋体" w:cs="宋体"/>
                <w:color w:val="000000"/>
                <w:kern w:val="0"/>
                <w:sz w:val="24"/>
                <w:lang w:val="en-US" w:eastAsia="zh-CN"/>
              </w:rPr>
              <w:t>电子</w:t>
            </w:r>
            <w:r>
              <w:rPr>
                <w:rFonts w:hint="eastAsia" w:ascii="宋体" w:hAnsi="宋体" w:eastAsia="宋体" w:cs="宋体"/>
                <w:color w:val="000000"/>
                <w:kern w:val="0"/>
                <w:sz w:val="24"/>
              </w:rPr>
              <w:t>黑板工作状态提示，查看</w:t>
            </w:r>
            <w:r>
              <w:rPr>
                <w:rFonts w:hint="eastAsia" w:ascii="宋体" w:hAnsi="宋体" w:eastAsia="宋体" w:cs="宋体"/>
                <w:color w:val="000000"/>
                <w:kern w:val="0"/>
                <w:sz w:val="24"/>
                <w:lang w:val="en-US" w:eastAsia="zh-CN"/>
              </w:rPr>
              <w:t>电子黑板</w:t>
            </w:r>
            <w:r>
              <w:rPr>
                <w:rFonts w:hint="eastAsia" w:ascii="宋体" w:hAnsi="宋体" w:eastAsia="宋体" w:cs="宋体"/>
                <w:color w:val="000000"/>
                <w:kern w:val="0"/>
                <w:sz w:val="24"/>
              </w:rPr>
              <w:t>状态。在点击预览后书写的内容显示</w:t>
            </w:r>
            <w:r>
              <w:rPr>
                <w:rFonts w:hint="eastAsia" w:ascii="宋体" w:hAnsi="宋体" w:eastAsia="宋体" w:cs="宋体"/>
                <w:color w:val="000000"/>
                <w:kern w:val="0"/>
                <w:sz w:val="24"/>
                <w:lang w:val="en-US" w:eastAsia="zh-CN"/>
              </w:rPr>
              <w:t>端显示</w:t>
            </w:r>
            <w:r>
              <w:rPr>
                <w:rFonts w:hint="eastAsia" w:ascii="宋体" w:hAnsi="宋体" w:eastAsia="宋体" w:cs="宋体"/>
                <w:color w:val="000000"/>
                <w:kern w:val="0"/>
                <w:sz w:val="24"/>
              </w:rPr>
              <w:t>，进行互动操作。</w:t>
            </w:r>
          </w:p>
          <w:p w14:paraId="5728B1F4">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10</w:t>
            </w:r>
            <w:r>
              <w:rPr>
                <w:rFonts w:hint="eastAsia" w:ascii="宋体" w:hAnsi="宋体" w:eastAsia="宋体" w:cs="宋体"/>
                <w:color w:val="000000"/>
                <w:kern w:val="0"/>
                <w:sz w:val="24"/>
                <w:lang w:val="en-US" w:eastAsia="zh-CN"/>
              </w:rPr>
              <w:t>支持</w:t>
            </w:r>
            <w:r>
              <w:rPr>
                <w:rFonts w:hint="eastAsia" w:ascii="宋体" w:hAnsi="宋体" w:eastAsia="宋体" w:cs="宋体"/>
                <w:color w:val="000000"/>
                <w:kern w:val="0"/>
                <w:sz w:val="24"/>
              </w:rPr>
              <w:t>书写不同颜色粉笔时点击快捷键红、白、黄可以选择书写记录的笔迹颜色。</w:t>
            </w:r>
          </w:p>
          <w:p w14:paraId="38F4591A">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11</w:t>
            </w:r>
            <w:r>
              <w:rPr>
                <w:rFonts w:hint="eastAsia" w:ascii="宋体" w:hAnsi="宋体" w:eastAsia="宋体" w:cs="宋体"/>
                <w:color w:val="000000"/>
                <w:kern w:val="0"/>
                <w:sz w:val="24"/>
                <w:lang w:val="en-US" w:eastAsia="zh-CN"/>
              </w:rPr>
              <w:t>电子</w:t>
            </w:r>
            <w:r>
              <w:rPr>
                <w:rFonts w:hint="eastAsia" w:ascii="宋体" w:hAnsi="宋体" w:eastAsia="宋体" w:cs="宋体"/>
                <w:color w:val="000000"/>
                <w:kern w:val="0"/>
                <w:sz w:val="24"/>
              </w:rPr>
              <w:t>黑板左右板可以任意安装在显示端左右，无需固定方位，在双板书写同时显示时可以根据需要左右切换在显示端的位置。</w:t>
            </w:r>
          </w:p>
          <w:p w14:paraId="453FB2F9">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12</w:t>
            </w:r>
            <w:r>
              <w:rPr>
                <w:rFonts w:hint="eastAsia" w:ascii="宋体" w:hAnsi="宋体" w:eastAsia="宋体" w:cs="宋体"/>
                <w:color w:val="000000"/>
                <w:kern w:val="0"/>
                <w:sz w:val="24"/>
                <w:lang w:val="en-US" w:eastAsia="zh-CN"/>
              </w:rPr>
              <w:t>电子</w:t>
            </w:r>
            <w:r>
              <w:rPr>
                <w:rFonts w:hint="eastAsia" w:ascii="宋体" w:hAnsi="宋体" w:eastAsia="宋体" w:cs="宋体"/>
                <w:color w:val="000000"/>
                <w:kern w:val="0"/>
                <w:sz w:val="24"/>
              </w:rPr>
              <w:t>黑板软件提供标准协议在对接后可把板书内容通过一键插入到该台设备常用的白板软件中。</w:t>
            </w:r>
          </w:p>
          <w:p w14:paraId="0293C972">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13</w:t>
            </w:r>
            <w:r>
              <w:rPr>
                <w:rFonts w:hint="eastAsia" w:ascii="宋体" w:hAnsi="宋体" w:eastAsia="宋体" w:cs="宋体"/>
                <w:color w:val="000000"/>
                <w:kern w:val="0"/>
                <w:sz w:val="24"/>
                <w:lang w:val="en-US" w:eastAsia="zh-CN"/>
              </w:rPr>
              <w:t>电子</w:t>
            </w:r>
            <w:r>
              <w:rPr>
                <w:rFonts w:hint="eastAsia" w:ascii="宋体" w:hAnsi="宋体" w:eastAsia="宋体" w:cs="宋体"/>
                <w:color w:val="000000"/>
                <w:kern w:val="0"/>
                <w:sz w:val="24"/>
              </w:rPr>
              <w:t>黑板板书内容可本地保存为图片、PDF，也可采用移动设备扫描二维码直接带走。</w:t>
            </w:r>
          </w:p>
          <w:p w14:paraId="57D9C05E">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14</w:t>
            </w:r>
            <w:r>
              <w:rPr>
                <w:rFonts w:hint="eastAsia" w:ascii="宋体" w:hAnsi="宋体" w:eastAsia="宋体" w:cs="宋体"/>
                <w:color w:val="000000"/>
                <w:kern w:val="0"/>
                <w:sz w:val="24"/>
                <w:lang w:val="en-US" w:eastAsia="zh-CN"/>
              </w:rPr>
              <w:t>电子</w:t>
            </w:r>
            <w:r>
              <w:rPr>
                <w:rFonts w:hint="eastAsia" w:ascii="宋体" w:hAnsi="宋体" w:eastAsia="宋体" w:cs="宋体"/>
                <w:color w:val="000000"/>
                <w:kern w:val="0"/>
                <w:sz w:val="24"/>
              </w:rPr>
              <w:t>黑板支持单项投票、多项投票或表决等三种模式快速投票功能</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扫描二维码快速投票，投票无需下载安装专用软件，自动统计数据并展示投票的结果。</w:t>
            </w:r>
          </w:p>
          <w:p w14:paraId="16144F5B">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3.</w:t>
            </w:r>
            <w:r>
              <w:rPr>
                <w:rFonts w:hint="eastAsia" w:ascii="宋体" w:hAnsi="宋体" w:eastAsia="宋体" w:cs="宋体"/>
                <w:color w:val="000000"/>
                <w:kern w:val="0"/>
                <w:sz w:val="24"/>
              </w:rPr>
              <w:t>串口服务器</w:t>
            </w:r>
          </w:p>
          <w:p w14:paraId="3A16343F">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3.</w:t>
            </w:r>
            <w:r>
              <w:rPr>
                <w:rFonts w:hint="eastAsia" w:ascii="宋体" w:hAnsi="宋体" w:eastAsia="宋体" w:cs="宋体"/>
                <w:color w:val="000000"/>
                <w:kern w:val="0"/>
                <w:sz w:val="24"/>
              </w:rPr>
              <w:t>1支持将RS485转换成TCP/UDP/IP协议</w:t>
            </w:r>
          </w:p>
          <w:p w14:paraId="5020A083">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3.</w:t>
            </w:r>
            <w:r>
              <w:rPr>
                <w:rFonts w:hint="eastAsia" w:ascii="宋体" w:hAnsi="宋体" w:eastAsia="宋体" w:cs="宋体"/>
                <w:color w:val="000000"/>
                <w:kern w:val="0"/>
                <w:sz w:val="24"/>
              </w:rPr>
              <w:t>2支持10/100 Mbps数据传输速率</w:t>
            </w:r>
          </w:p>
          <w:p w14:paraId="61A48E80">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3.</w:t>
            </w:r>
            <w:r>
              <w:rPr>
                <w:rFonts w:hint="eastAsia" w:ascii="宋体" w:hAnsi="宋体" w:eastAsia="宋体" w:cs="宋体"/>
                <w:color w:val="000000"/>
                <w:kern w:val="0"/>
                <w:sz w:val="24"/>
              </w:rPr>
              <w:t>3支持奇偶校验和帧校验</w:t>
            </w:r>
          </w:p>
          <w:p w14:paraId="5C87F11F">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3.</w:t>
            </w:r>
            <w:r>
              <w:rPr>
                <w:rFonts w:hint="eastAsia" w:ascii="宋体" w:hAnsi="宋体" w:eastAsia="宋体" w:cs="宋体"/>
                <w:color w:val="000000"/>
                <w:kern w:val="0"/>
                <w:sz w:val="24"/>
              </w:rPr>
              <w:t>4支持6种波特+F40:F47率设置，包括1200,2400,4800,9600,57600,115200 其中默认9600</w:t>
            </w:r>
          </w:p>
          <w:p w14:paraId="203B2B4E">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3.</w:t>
            </w:r>
            <w:r>
              <w:rPr>
                <w:rFonts w:hint="eastAsia" w:ascii="宋体" w:hAnsi="宋体" w:eastAsia="宋体" w:cs="宋体"/>
                <w:color w:val="000000"/>
                <w:kern w:val="0"/>
                <w:sz w:val="24"/>
              </w:rPr>
              <w:t>5支持远程设备管理功能，通过TCP/UDP/IP协议个远程访问和配置</w:t>
            </w:r>
          </w:p>
          <w:p w14:paraId="75B70C2A">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3.</w:t>
            </w:r>
            <w:r>
              <w:rPr>
                <w:rFonts w:hint="eastAsia" w:ascii="宋体" w:hAnsi="宋体" w:eastAsia="宋体" w:cs="宋体"/>
                <w:color w:val="000000"/>
                <w:kern w:val="0"/>
                <w:sz w:val="24"/>
              </w:rPr>
              <w:t>6提供友好的web管理界面，方便用户进行远程管理和监控</w:t>
            </w:r>
          </w:p>
          <w:p w14:paraId="5FE417F9">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3.</w:t>
            </w:r>
            <w:r>
              <w:rPr>
                <w:rFonts w:hint="eastAsia" w:ascii="宋体" w:hAnsi="宋体" w:eastAsia="宋体" w:cs="宋体"/>
                <w:color w:val="000000"/>
                <w:kern w:val="0"/>
                <w:sz w:val="24"/>
              </w:rPr>
              <w:t>7支持自动重连功能，确保数据传输的可靠性和稳定性</w:t>
            </w:r>
          </w:p>
          <w:p w14:paraId="4BA965E3">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3.</w:t>
            </w:r>
            <w:r>
              <w:rPr>
                <w:rFonts w:hint="eastAsia" w:ascii="宋体" w:hAnsi="宋体" w:eastAsia="宋体" w:cs="宋体"/>
                <w:color w:val="000000"/>
                <w:kern w:val="0"/>
                <w:sz w:val="24"/>
              </w:rPr>
              <w:t>8支持热插拔，即插即用</w:t>
            </w:r>
          </w:p>
        </w:tc>
      </w:tr>
      <w:tr w14:paraId="0D07007B">
        <w:tblPrEx>
          <w:tblCellMar>
            <w:top w:w="0" w:type="dxa"/>
            <w:left w:w="108" w:type="dxa"/>
            <w:bottom w:w="0" w:type="dxa"/>
            <w:right w:w="108" w:type="dxa"/>
          </w:tblCellMar>
        </w:tblPrEx>
        <w:trPr>
          <w:trHeight w:val="31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2145C93D">
            <w:pPr>
              <w:widowControl/>
              <w:spacing w:line="390" w:lineRule="exact"/>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w:t>
            </w:r>
          </w:p>
        </w:tc>
        <w:tc>
          <w:tcPr>
            <w:tcW w:w="1976" w:type="dxa"/>
            <w:tcBorders>
              <w:top w:val="single" w:color="auto" w:sz="4" w:space="0"/>
              <w:left w:val="nil"/>
              <w:bottom w:val="single" w:color="auto" w:sz="4" w:space="0"/>
              <w:right w:val="single" w:color="auto" w:sz="4" w:space="0"/>
            </w:tcBorders>
            <w:noWrap/>
            <w:vAlign w:val="center"/>
          </w:tcPr>
          <w:p w14:paraId="34A55C56">
            <w:pPr>
              <w:widowControl/>
              <w:spacing w:line="390" w:lineRule="exact"/>
              <w:jc w:val="center"/>
              <w:rPr>
                <w:rFonts w:hint="default" w:ascii="宋体" w:hAnsi="宋体" w:eastAsia="宋体" w:cs="宋体"/>
                <w:color w:val="000000"/>
                <w:kern w:val="0"/>
                <w:sz w:val="24"/>
                <w:lang w:val="en-US" w:eastAsia="zh-CN"/>
              </w:rPr>
            </w:pPr>
            <w:r>
              <w:rPr>
                <w:rFonts w:hint="eastAsia" w:ascii="宋体" w:hAnsi="宋体" w:eastAsia="宋体" w:cs="宋体"/>
                <w:color w:val="auto"/>
                <w:kern w:val="0"/>
                <w:sz w:val="24"/>
                <w:lang w:val="en-US" w:eastAsia="zh-CN"/>
              </w:rPr>
              <w:t>统一管理软件</w:t>
            </w:r>
          </w:p>
        </w:tc>
        <w:tc>
          <w:tcPr>
            <w:tcW w:w="1088" w:type="dxa"/>
            <w:tcBorders>
              <w:top w:val="single" w:color="auto" w:sz="4" w:space="0"/>
              <w:left w:val="nil"/>
              <w:bottom w:val="single" w:color="auto" w:sz="4" w:space="0"/>
              <w:right w:val="single" w:color="auto" w:sz="4" w:space="0"/>
            </w:tcBorders>
            <w:noWrap/>
            <w:vAlign w:val="center"/>
          </w:tcPr>
          <w:p w14:paraId="25213709">
            <w:pPr>
              <w:widowControl/>
              <w:spacing w:line="390" w:lineRule="exact"/>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套</w:t>
            </w:r>
          </w:p>
        </w:tc>
        <w:tc>
          <w:tcPr>
            <w:tcW w:w="1167" w:type="dxa"/>
            <w:tcBorders>
              <w:top w:val="single" w:color="auto" w:sz="4" w:space="0"/>
              <w:left w:val="nil"/>
              <w:bottom w:val="single" w:color="auto" w:sz="4" w:space="0"/>
              <w:right w:val="single" w:color="auto" w:sz="4" w:space="0"/>
            </w:tcBorders>
            <w:noWrap/>
            <w:vAlign w:val="center"/>
          </w:tcPr>
          <w:p w14:paraId="684A98DD">
            <w:pPr>
              <w:widowControl/>
              <w:spacing w:line="390" w:lineRule="exact"/>
              <w:jc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9417" w:type="dxa"/>
            <w:tcBorders>
              <w:top w:val="single" w:color="auto" w:sz="4" w:space="0"/>
              <w:left w:val="nil"/>
              <w:bottom w:val="single" w:color="auto" w:sz="4" w:space="0"/>
              <w:right w:val="single" w:color="auto" w:sz="4" w:space="0"/>
            </w:tcBorders>
            <w:noWrap/>
            <w:vAlign w:val="center"/>
          </w:tcPr>
          <w:p w14:paraId="30713670">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设备统计和展示</w:t>
            </w:r>
          </w:p>
          <w:p w14:paraId="5EC7323E">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1支持空间统计</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lang w:val="en-US" w:eastAsia="zh-CN"/>
              </w:rPr>
              <w:t>可</w:t>
            </w:r>
            <w:r>
              <w:rPr>
                <w:rFonts w:hint="eastAsia" w:ascii="宋体" w:hAnsi="宋体" w:eastAsia="宋体" w:cs="宋体"/>
                <w:color w:val="000000"/>
                <w:kern w:val="0"/>
                <w:sz w:val="24"/>
              </w:rPr>
              <w:t>查看机构、楼宇、管理空间总数；</w:t>
            </w:r>
          </w:p>
          <w:p w14:paraId="720D8A17">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2支持网关、设备、设备高警统计，查看在线和离线状态；</w:t>
            </w:r>
          </w:p>
          <w:p w14:paraId="0701EB85">
            <w:pPr>
              <w:widowControl/>
              <w:numPr>
                <w:ilvl w:val="0"/>
                <w:numId w:val="0"/>
              </w:numPr>
              <w:tabs>
                <w:tab w:val="left" w:pos="1392"/>
              </w:tabs>
              <w:spacing w:line="390" w:lineRule="exact"/>
              <w:jc w:val="left"/>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3支持智慧空间展示、状态检测、服务查询、能耗统计一键进入常用快捷功能</w:t>
            </w:r>
            <w:r>
              <w:rPr>
                <w:rFonts w:hint="eastAsia" w:ascii="宋体" w:hAnsi="宋体" w:eastAsia="宋体" w:cs="宋体"/>
                <w:b/>
                <w:bCs/>
                <w:color w:val="000000"/>
                <w:kern w:val="0"/>
                <w:sz w:val="24"/>
                <w:lang w:eastAsia="zh-CN"/>
              </w:rPr>
              <w:t>；</w:t>
            </w:r>
          </w:p>
          <w:p w14:paraId="3309C1FC">
            <w:pPr>
              <w:widowControl/>
              <w:numPr>
                <w:ilvl w:val="0"/>
                <w:numId w:val="0"/>
              </w:numPr>
              <w:tabs>
                <w:tab w:val="left" w:pos="1392"/>
              </w:tabs>
              <w:spacing w:line="390" w:lineRule="exact"/>
              <w:jc w:val="left"/>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4支持工单进度、工单类型、设备名称、受理人设备工单统计</w:t>
            </w:r>
            <w:r>
              <w:rPr>
                <w:rFonts w:hint="eastAsia" w:ascii="宋体" w:hAnsi="宋体" w:eastAsia="宋体" w:cs="宋体"/>
                <w:color w:val="000000"/>
                <w:kern w:val="0"/>
                <w:sz w:val="24"/>
                <w:lang w:val="en-US" w:eastAsia="zh-CN"/>
              </w:rPr>
              <w:t>功能</w:t>
            </w:r>
            <w:r>
              <w:rPr>
                <w:rFonts w:hint="eastAsia" w:ascii="宋体" w:hAnsi="宋体" w:eastAsia="宋体" w:cs="宋体"/>
                <w:color w:val="000000"/>
                <w:kern w:val="0"/>
                <w:sz w:val="24"/>
              </w:rPr>
              <w:t>；</w:t>
            </w:r>
            <w:r>
              <w:rPr>
                <w:rFonts w:hint="eastAsia" w:ascii="宋体" w:hAnsi="宋体" w:eastAsia="宋体" w:cs="宋体"/>
                <w:color w:val="000000"/>
                <w:kern w:val="0"/>
                <w:sz w:val="24"/>
                <w:lang w:eastAsia="zh-CN"/>
              </w:rPr>
              <w:t>；</w:t>
            </w:r>
          </w:p>
          <w:p w14:paraId="5BDB083F">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5支持设备状态检测</w:t>
            </w:r>
            <w:r>
              <w:rPr>
                <w:rFonts w:hint="eastAsia" w:ascii="宋体" w:hAnsi="宋体" w:eastAsia="宋体" w:cs="宋体"/>
                <w:color w:val="000000"/>
                <w:kern w:val="0"/>
                <w:sz w:val="24"/>
                <w:lang w:val="en-US" w:eastAsia="zh-CN"/>
              </w:rPr>
              <w:t>功能</w:t>
            </w:r>
            <w:r>
              <w:rPr>
                <w:rFonts w:hint="eastAsia" w:ascii="宋体" w:hAnsi="宋体" w:eastAsia="宋体" w:cs="宋体"/>
                <w:color w:val="000000"/>
                <w:kern w:val="0"/>
                <w:sz w:val="24"/>
              </w:rPr>
              <w:t>，以曲线图的形式展示设备在线和离线状态；</w:t>
            </w:r>
          </w:p>
          <w:p w14:paraId="2D9B5854">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cs="宋体"/>
                <w:color w:val="000000"/>
                <w:kern w:val="0"/>
                <w:sz w:val="24"/>
                <w:lang w:val="en-US" w:eastAsia="zh-CN"/>
              </w:rPr>
              <w:t>#</w:t>
            </w: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6支持查看设备故障故障告警Top10;支持资产统计</w:t>
            </w:r>
            <w:r>
              <w:rPr>
                <w:rFonts w:hint="eastAsia" w:ascii="宋体" w:hAnsi="宋体" w:eastAsia="宋体" w:cs="宋体"/>
                <w:color w:val="000000"/>
                <w:kern w:val="0"/>
                <w:sz w:val="24"/>
                <w:lang w:val="en-US" w:eastAsia="zh-CN"/>
              </w:rPr>
              <w:t>功能</w:t>
            </w:r>
            <w:r>
              <w:rPr>
                <w:rFonts w:hint="eastAsia" w:ascii="宋体" w:hAnsi="宋体" w:eastAsia="宋体" w:cs="宋体"/>
                <w:color w:val="000000"/>
                <w:kern w:val="0"/>
                <w:sz w:val="24"/>
              </w:rPr>
              <w:t>，查看支持分类，设备控制协议；</w:t>
            </w:r>
          </w:p>
          <w:p w14:paraId="72ADC57E">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1.7</w:t>
            </w:r>
            <w:r>
              <w:rPr>
                <w:rFonts w:hint="eastAsia" w:ascii="宋体" w:hAnsi="宋体" w:eastAsia="宋体" w:cs="宋体"/>
                <w:color w:val="000000"/>
                <w:kern w:val="0"/>
                <w:sz w:val="24"/>
              </w:rPr>
              <w:t>支持设备名称、型号、所属空间、投入使用时间、已使用年限等资产使用情况</w:t>
            </w:r>
            <w:r>
              <w:rPr>
                <w:rFonts w:hint="eastAsia" w:ascii="宋体" w:hAnsi="宋体" w:eastAsia="宋体" w:cs="宋体"/>
                <w:color w:val="000000"/>
                <w:kern w:val="0"/>
                <w:sz w:val="24"/>
                <w:lang w:val="en-US" w:eastAsia="zh-CN"/>
              </w:rPr>
              <w:t>功能</w:t>
            </w:r>
            <w:r>
              <w:rPr>
                <w:rFonts w:hint="eastAsia" w:ascii="宋体" w:hAnsi="宋体" w:eastAsia="宋体" w:cs="宋体"/>
                <w:color w:val="000000"/>
                <w:kern w:val="0"/>
                <w:sz w:val="24"/>
              </w:rPr>
              <w:t>；</w:t>
            </w:r>
          </w:p>
          <w:p w14:paraId="5D505ECD">
            <w:pPr>
              <w:widowControl/>
              <w:numPr>
                <w:ilvl w:val="0"/>
                <w:numId w:val="0"/>
              </w:numPr>
              <w:tabs>
                <w:tab w:val="left" w:pos="1392"/>
              </w:tabs>
              <w:spacing w:line="390" w:lineRule="exact"/>
              <w:jc w:val="left"/>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智能检测</w:t>
            </w:r>
            <w:r>
              <w:rPr>
                <w:rFonts w:hint="eastAsia" w:ascii="宋体" w:hAnsi="宋体" w:cs="宋体"/>
                <w:color w:val="000000"/>
                <w:kern w:val="0"/>
                <w:sz w:val="24"/>
                <w:lang w:eastAsia="zh-CN"/>
              </w:rPr>
              <w:t>；</w:t>
            </w:r>
          </w:p>
          <w:p w14:paraId="6CDEC848">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cs="宋体"/>
                <w:color w:val="000000"/>
                <w:kern w:val="0"/>
                <w:sz w:val="24"/>
                <w:lang w:val="en-US" w:eastAsia="zh-CN"/>
              </w:rPr>
              <w:t>#</w:t>
            </w: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1支持通过设备名称查看设备的在线和离线状态；展示设备的名称、设备序列号、设备EUI、电量、绑定的网关、设备状态、会议室；</w:t>
            </w:r>
          </w:p>
          <w:p w14:paraId="00ED1914">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3.</w:t>
            </w:r>
            <w:r>
              <w:rPr>
                <w:rFonts w:hint="eastAsia" w:ascii="宋体" w:hAnsi="宋体" w:eastAsia="宋体" w:cs="宋体"/>
                <w:color w:val="000000"/>
                <w:kern w:val="0"/>
                <w:sz w:val="24"/>
              </w:rPr>
              <w:t>设备巡检</w:t>
            </w:r>
          </w:p>
          <w:p w14:paraId="1CC3BA37">
            <w:pPr>
              <w:widowControl/>
              <w:numPr>
                <w:ilvl w:val="0"/>
                <w:numId w:val="0"/>
              </w:numPr>
              <w:tabs>
                <w:tab w:val="left" w:pos="1392"/>
              </w:tabs>
              <w:spacing w:line="39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3.</w:t>
            </w:r>
            <w:r>
              <w:rPr>
                <w:rFonts w:hint="eastAsia" w:ascii="宋体" w:hAnsi="宋体" w:eastAsia="宋体" w:cs="宋体"/>
                <w:color w:val="000000"/>
                <w:kern w:val="0"/>
                <w:sz w:val="24"/>
              </w:rPr>
              <w:t>1.支持选择时间和巡检方式搜索设备状态信息；</w:t>
            </w:r>
          </w:p>
          <w:p w14:paraId="3E847E6E">
            <w:pPr>
              <w:widowControl/>
              <w:numPr>
                <w:ilvl w:val="0"/>
                <w:numId w:val="0"/>
              </w:numPr>
              <w:tabs>
                <w:tab w:val="left" w:pos="1392"/>
              </w:tabs>
              <w:spacing w:line="390" w:lineRule="exact"/>
              <w:jc w:val="left"/>
              <w:rPr>
                <w:rFonts w:hint="eastAsia"/>
                <w:lang w:eastAsia="zh-CN"/>
              </w:rPr>
            </w:pP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3.</w:t>
            </w:r>
            <w:r>
              <w:rPr>
                <w:rFonts w:hint="eastAsia" w:ascii="宋体" w:hAnsi="宋体" w:eastAsia="宋体" w:cs="宋体"/>
                <w:color w:val="000000"/>
                <w:kern w:val="0"/>
                <w:sz w:val="24"/>
              </w:rPr>
              <w:t>2支持一键巡检，</w:t>
            </w:r>
            <w:r>
              <w:rPr>
                <w:rFonts w:hint="eastAsia" w:ascii="宋体" w:hAnsi="宋体" w:eastAsia="宋体" w:cs="宋体"/>
                <w:color w:val="000000"/>
                <w:kern w:val="0"/>
                <w:sz w:val="24"/>
                <w:lang w:val="en-US" w:eastAsia="zh-CN"/>
              </w:rPr>
              <w:t>支持</w:t>
            </w:r>
            <w:r>
              <w:rPr>
                <w:rFonts w:hint="eastAsia" w:ascii="宋体" w:hAnsi="宋体" w:eastAsia="宋体" w:cs="宋体"/>
                <w:color w:val="000000"/>
                <w:kern w:val="0"/>
                <w:sz w:val="24"/>
              </w:rPr>
              <w:t>数字形式展示</w:t>
            </w:r>
            <w:r>
              <w:rPr>
                <w:rFonts w:hint="eastAsia" w:ascii="宋体" w:hAnsi="宋体" w:eastAsia="宋体" w:cs="宋体"/>
                <w:color w:val="000000"/>
                <w:kern w:val="0"/>
                <w:sz w:val="24"/>
                <w:lang w:val="en-US" w:eastAsia="zh-CN"/>
              </w:rPr>
              <w:t>结果</w:t>
            </w: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支持</w:t>
            </w:r>
            <w:r>
              <w:rPr>
                <w:rFonts w:hint="eastAsia" w:ascii="宋体" w:hAnsi="宋体" w:eastAsia="宋体" w:cs="宋体"/>
                <w:color w:val="000000"/>
                <w:kern w:val="0"/>
                <w:sz w:val="24"/>
              </w:rPr>
              <w:t>导出EXCEL表格</w:t>
            </w:r>
            <w:r>
              <w:rPr>
                <w:rFonts w:hint="eastAsia" w:ascii="宋体" w:hAnsi="宋体" w:eastAsia="宋体" w:cs="宋体"/>
                <w:b/>
                <w:bCs/>
                <w:color w:val="000000"/>
                <w:kern w:val="0"/>
                <w:sz w:val="24"/>
                <w:lang w:eastAsia="zh-CN"/>
              </w:rPr>
              <w:t>。</w:t>
            </w:r>
          </w:p>
        </w:tc>
      </w:tr>
      <w:tr w14:paraId="7C7AB7B8">
        <w:tblPrEx>
          <w:tblCellMar>
            <w:top w:w="0" w:type="dxa"/>
            <w:left w:w="108" w:type="dxa"/>
            <w:bottom w:w="0" w:type="dxa"/>
            <w:right w:w="108" w:type="dxa"/>
          </w:tblCellMar>
        </w:tblPrEx>
        <w:trPr>
          <w:trHeight w:val="31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56DCD698">
            <w:pPr>
              <w:widowControl/>
              <w:spacing w:line="390" w:lineRule="exact"/>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w:t>
            </w:r>
          </w:p>
        </w:tc>
        <w:tc>
          <w:tcPr>
            <w:tcW w:w="1976" w:type="dxa"/>
            <w:tcBorders>
              <w:top w:val="single" w:color="auto" w:sz="4" w:space="0"/>
              <w:left w:val="nil"/>
              <w:bottom w:val="single" w:color="auto" w:sz="4" w:space="0"/>
              <w:right w:val="single" w:color="auto" w:sz="4" w:space="0"/>
            </w:tcBorders>
            <w:noWrap/>
            <w:vAlign w:val="center"/>
          </w:tcPr>
          <w:p w14:paraId="3A269565">
            <w:pPr>
              <w:widowControl/>
              <w:spacing w:line="390" w:lineRule="exact"/>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安装</w:t>
            </w:r>
          </w:p>
        </w:tc>
        <w:tc>
          <w:tcPr>
            <w:tcW w:w="1088" w:type="dxa"/>
            <w:tcBorders>
              <w:top w:val="single" w:color="auto" w:sz="4" w:space="0"/>
              <w:left w:val="nil"/>
              <w:bottom w:val="single" w:color="auto" w:sz="4" w:space="0"/>
              <w:right w:val="single" w:color="auto" w:sz="4" w:space="0"/>
            </w:tcBorders>
            <w:noWrap/>
            <w:vAlign w:val="center"/>
          </w:tcPr>
          <w:p w14:paraId="11334B55">
            <w:pPr>
              <w:widowControl/>
              <w:spacing w:line="390" w:lineRule="exact"/>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w:t>
            </w:r>
          </w:p>
        </w:tc>
        <w:tc>
          <w:tcPr>
            <w:tcW w:w="1167" w:type="dxa"/>
            <w:tcBorders>
              <w:top w:val="single" w:color="auto" w:sz="4" w:space="0"/>
              <w:left w:val="nil"/>
              <w:bottom w:val="single" w:color="auto" w:sz="4" w:space="0"/>
              <w:right w:val="single" w:color="auto" w:sz="4" w:space="0"/>
            </w:tcBorders>
            <w:noWrap/>
            <w:vAlign w:val="center"/>
          </w:tcPr>
          <w:p w14:paraId="25890E20">
            <w:pPr>
              <w:widowControl/>
              <w:spacing w:line="390" w:lineRule="exact"/>
              <w:jc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48</w:t>
            </w:r>
          </w:p>
        </w:tc>
        <w:tc>
          <w:tcPr>
            <w:tcW w:w="9417" w:type="dxa"/>
            <w:tcBorders>
              <w:top w:val="single" w:color="auto" w:sz="4" w:space="0"/>
              <w:left w:val="nil"/>
              <w:bottom w:val="single" w:color="auto" w:sz="4" w:space="0"/>
              <w:right w:val="single" w:color="auto" w:sz="4" w:space="0"/>
            </w:tcBorders>
            <w:noWrap/>
            <w:vAlign w:val="center"/>
          </w:tcPr>
          <w:p w14:paraId="1C46AA01">
            <w:pPr>
              <w:widowControl/>
              <w:numPr>
                <w:ilvl w:val="0"/>
                <w:numId w:val="0"/>
              </w:numPr>
              <w:tabs>
                <w:tab w:val="left" w:pos="1392"/>
              </w:tabs>
              <w:spacing w:line="390" w:lineRule="exact"/>
              <w:jc w:val="left"/>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负责设备的安装，调试，网络线路的安装、调试，统一管理软件的安装、调试等。</w:t>
            </w:r>
          </w:p>
        </w:tc>
      </w:tr>
    </w:tbl>
    <w:p w14:paraId="712F31A6">
      <w:pPr>
        <w:widowControl/>
        <w:spacing w:line="360" w:lineRule="auto"/>
        <w:contextualSpacing/>
        <w:rPr>
          <w:sz w:val="24"/>
        </w:rPr>
      </w:pPr>
    </w:p>
    <w:p w14:paraId="14CD4951">
      <w:pPr>
        <w:pStyle w:val="2"/>
        <w:rPr>
          <w:sz w:val="24"/>
        </w:rPr>
      </w:pPr>
    </w:p>
    <w:p w14:paraId="4FA2EF61">
      <w:pPr>
        <w:pStyle w:val="2"/>
        <w:rPr>
          <w:sz w:val="24"/>
        </w:rPr>
      </w:pPr>
    </w:p>
    <w:p w14:paraId="5CED0E54">
      <w:pPr>
        <w:pStyle w:val="2"/>
        <w:rPr>
          <w:sz w:val="24"/>
        </w:rPr>
      </w:pPr>
    </w:p>
    <w:p w14:paraId="497E1119">
      <w:pPr>
        <w:pStyle w:val="2"/>
        <w:rPr>
          <w:sz w:val="24"/>
        </w:rPr>
      </w:pPr>
    </w:p>
    <w:p w14:paraId="125EC71B">
      <w:pPr>
        <w:pStyle w:val="2"/>
        <w:rPr>
          <w:sz w:val="24"/>
        </w:rPr>
      </w:pPr>
    </w:p>
    <w:p w14:paraId="0184F31B">
      <w:pPr>
        <w:pStyle w:val="2"/>
        <w:rPr>
          <w:sz w:val="24"/>
        </w:rPr>
      </w:pPr>
    </w:p>
    <w:p w14:paraId="5B35B22D">
      <w:pPr>
        <w:pStyle w:val="2"/>
        <w:rPr>
          <w:sz w:val="24"/>
        </w:rPr>
      </w:pPr>
    </w:p>
    <w:p w14:paraId="2AF49917">
      <w:pPr>
        <w:pStyle w:val="2"/>
        <w:rPr>
          <w:sz w:val="24"/>
        </w:rPr>
      </w:pPr>
    </w:p>
    <w:p w14:paraId="795C95A3">
      <w:pPr>
        <w:pStyle w:val="2"/>
        <w:rPr>
          <w:sz w:val="24"/>
        </w:rPr>
      </w:pPr>
    </w:p>
    <w:p w14:paraId="328BFB50">
      <w:pPr>
        <w:pStyle w:val="2"/>
        <w:rPr>
          <w:sz w:val="24"/>
        </w:rPr>
      </w:pPr>
    </w:p>
    <w:p w14:paraId="6FEF7511">
      <w:pPr>
        <w:pStyle w:val="2"/>
        <w:rPr>
          <w:sz w:val="24"/>
        </w:rPr>
      </w:pPr>
    </w:p>
    <w:p w14:paraId="6F8AEE30">
      <w:pPr>
        <w:pStyle w:val="2"/>
        <w:rPr>
          <w:sz w:val="24"/>
        </w:rPr>
      </w:pPr>
    </w:p>
    <w:p w14:paraId="2B97AE25">
      <w:pPr>
        <w:pStyle w:val="2"/>
        <w:rPr>
          <w:sz w:val="24"/>
        </w:rPr>
      </w:pPr>
    </w:p>
    <w:p w14:paraId="72C9DC52">
      <w:pPr>
        <w:pStyle w:val="2"/>
        <w:rPr>
          <w:sz w:val="24"/>
        </w:rPr>
      </w:pPr>
    </w:p>
    <w:p w14:paraId="49FB12D5">
      <w:pPr>
        <w:pStyle w:val="2"/>
        <w:rPr>
          <w:sz w:val="24"/>
        </w:rPr>
      </w:pPr>
    </w:p>
    <w:p w14:paraId="2F673619">
      <w:pPr>
        <w:pStyle w:val="2"/>
        <w:rPr>
          <w:sz w:val="24"/>
        </w:rPr>
      </w:pPr>
    </w:p>
    <w:p w14:paraId="2CD22B56">
      <w:pPr>
        <w:pStyle w:val="2"/>
        <w:rPr>
          <w:sz w:val="24"/>
        </w:rPr>
      </w:pPr>
    </w:p>
    <w:p w14:paraId="14FA4BBA">
      <w:pPr>
        <w:pStyle w:val="2"/>
        <w:rPr>
          <w:sz w:val="24"/>
        </w:rPr>
      </w:pPr>
    </w:p>
    <w:p w14:paraId="391DF219">
      <w:pPr>
        <w:pStyle w:val="2"/>
        <w:rPr>
          <w:sz w:val="24"/>
        </w:rPr>
      </w:pPr>
    </w:p>
    <w:p w14:paraId="0F887E21">
      <w:pPr>
        <w:pStyle w:val="2"/>
        <w:rPr>
          <w:sz w:val="24"/>
        </w:rPr>
      </w:pPr>
    </w:p>
    <w:p w14:paraId="4712F450">
      <w:pPr>
        <w:pStyle w:val="2"/>
        <w:rPr>
          <w:sz w:val="24"/>
        </w:rPr>
      </w:pPr>
    </w:p>
    <w:p w14:paraId="6CEDCC9B">
      <w:pPr>
        <w:pStyle w:val="2"/>
        <w:rPr>
          <w:sz w:val="24"/>
        </w:rPr>
      </w:pPr>
    </w:p>
    <w:p w14:paraId="7B469A41">
      <w:pPr>
        <w:pStyle w:val="2"/>
        <w:rPr>
          <w:sz w:val="24"/>
        </w:rPr>
        <w:sectPr>
          <w:pgSz w:w="16838" w:h="11911" w:orient="landscape"/>
          <w:pgMar w:top="1701" w:right="1417" w:bottom="1701" w:left="1417" w:header="720" w:footer="720" w:gutter="0"/>
          <w:cols w:space="720" w:num="1"/>
          <w:rtlGutter w:val="0"/>
          <w:docGrid w:linePitch="0" w:charSpace="0"/>
        </w:sectPr>
      </w:pPr>
    </w:p>
    <w:p w14:paraId="59FF3EBD">
      <w:pPr>
        <w:pStyle w:val="2"/>
        <w:rPr>
          <w:sz w:val="24"/>
        </w:rPr>
      </w:pPr>
    </w:p>
    <w:p w14:paraId="107D761F">
      <w:pPr>
        <w:spacing w:line="360" w:lineRule="auto"/>
        <w:contextualSpacing/>
        <w:rPr>
          <w:i/>
          <w:iCs/>
          <w:sz w:val="24"/>
        </w:rPr>
      </w:pPr>
      <w:r>
        <w:rPr>
          <w:sz w:val="24"/>
        </w:rPr>
        <w:t>3. 验收标准</w:t>
      </w:r>
    </w:p>
    <w:p w14:paraId="7F58D928">
      <w:pPr>
        <w:pStyle w:val="3"/>
        <w:spacing w:line="460" w:lineRule="exact"/>
        <w:ind w:left="0" w:leftChars="0" w:firstLine="0" w:firstLineChars="0"/>
        <w:rPr>
          <w:rFonts w:hint="eastAsia" w:ascii="宋体" w:hAnsi="宋体" w:eastAsia="宋体" w:cs="宋体"/>
          <w:b w:val="0"/>
          <w:bCs w:val="0"/>
        </w:rPr>
      </w:pPr>
      <w:r>
        <w:rPr>
          <w:rFonts w:hint="eastAsia" w:ascii="宋体" w:hAnsi="宋体" w:eastAsia="宋体" w:cs="宋体"/>
          <w:b w:val="0"/>
          <w:bCs w:val="0"/>
          <w:lang w:eastAsia="zh-CN"/>
        </w:rPr>
        <w:t>（</w:t>
      </w:r>
      <w:r>
        <w:rPr>
          <w:rFonts w:hint="eastAsia" w:ascii="宋体" w:hAnsi="宋体" w:eastAsia="宋体" w:cs="宋体"/>
          <w:b w:val="0"/>
          <w:bCs w:val="0"/>
          <w:lang w:val="en-US" w:eastAsia="zh-CN"/>
        </w:rPr>
        <w:t>1</w:t>
      </w:r>
      <w:r>
        <w:rPr>
          <w:rFonts w:hint="eastAsia" w:ascii="宋体" w:hAnsi="宋体" w:eastAsia="宋体" w:cs="宋体"/>
          <w:b w:val="0"/>
          <w:bCs w:val="0"/>
          <w:lang w:eastAsia="zh-CN"/>
        </w:rPr>
        <w:t>）</w:t>
      </w:r>
      <w:r>
        <w:rPr>
          <w:rFonts w:hint="eastAsia" w:ascii="宋体" w:hAnsi="宋体" w:eastAsia="宋体" w:cs="宋体"/>
          <w:b w:val="0"/>
          <w:bCs w:val="0"/>
        </w:rPr>
        <w:t>项目全部安装调试实施完成后，中标</w:t>
      </w:r>
      <w:r>
        <w:rPr>
          <w:rFonts w:hint="eastAsia" w:ascii="宋体" w:hAnsi="宋体" w:eastAsia="宋体" w:cs="宋体"/>
          <w:b w:val="0"/>
          <w:bCs w:val="0"/>
          <w:lang w:val="en-US" w:eastAsia="zh-CN"/>
        </w:rPr>
        <w:t>人</w:t>
      </w:r>
      <w:r>
        <w:rPr>
          <w:rFonts w:hint="eastAsia" w:ascii="宋体" w:hAnsi="宋体" w:eastAsia="宋体" w:cs="宋体"/>
          <w:b w:val="0"/>
          <w:bCs w:val="0"/>
        </w:rPr>
        <w:t>对采购</w:t>
      </w:r>
      <w:r>
        <w:rPr>
          <w:rFonts w:hint="eastAsia" w:ascii="宋体" w:hAnsi="宋体" w:eastAsia="宋体" w:cs="宋体"/>
          <w:b w:val="0"/>
          <w:bCs w:val="0"/>
          <w:lang w:val="en-US" w:eastAsia="zh-CN"/>
        </w:rPr>
        <w:t>人</w:t>
      </w:r>
      <w:r>
        <w:rPr>
          <w:rFonts w:hint="eastAsia" w:ascii="宋体" w:hAnsi="宋体" w:eastAsia="宋体" w:cs="宋体"/>
          <w:b w:val="0"/>
          <w:bCs w:val="0"/>
        </w:rPr>
        <w:t>进行全面的使用培训，包含日常使用、简单故障排除、使用技巧等方面培训，直至采购</w:t>
      </w:r>
      <w:r>
        <w:rPr>
          <w:rFonts w:hint="eastAsia" w:ascii="宋体" w:hAnsi="宋体" w:eastAsia="宋体" w:cs="宋体"/>
          <w:b w:val="0"/>
          <w:bCs w:val="0"/>
          <w:lang w:val="en-US" w:eastAsia="zh-CN"/>
        </w:rPr>
        <w:t>人</w:t>
      </w:r>
      <w:r>
        <w:rPr>
          <w:rFonts w:hint="eastAsia" w:ascii="宋体" w:hAnsi="宋体" w:eastAsia="宋体" w:cs="宋体"/>
          <w:b w:val="0"/>
          <w:bCs w:val="0"/>
        </w:rPr>
        <w:t>能够掌握日常操作。</w:t>
      </w:r>
    </w:p>
    <w:p w14:paraId="5E28543F">
      <w:pPr>
        <w:pStyle w:val="3"/>
        <w:spacing w:line="460" w:lineRule="exact"/>
        <w:ind w:left="0" w:leftChars="0" w:firstLine="0" w:firstLineChars="0"/>
        <w:rPr>
          <w:rFonts w:hint="eastAsia" w:ascii="宋体" w:hAnsi="宋体" w:eastAsia="宋体" w:cs="宋体"/>
          <w:b w:val="0"/>
          <w:bCs w:val="0"/>
        </w:rPr>
      </w:pPr>
      <w:r>
        <w:rPr>
          <w:rFonts w:hint="eastAsia" w:ascii="宋体" w:hAnsi="宋体" w:eastAsia="宋体" w:cs="宋体"/>
          <w:b w:val="0"/>
          <w:bCs w:val="0"/>
          <w:lang w:eastAsia="zh-CN"/>
        </w:rPr>
        <w:t>（</w:t>
      </w:r>
      <w:r>
        <w:rPr>
          <w:rFonts w:hint="eastAsia" w:ascii="宋体" w:hAnsi="宋体" w:eastAsia="宋体" w:cs="宋体"/>
          <w:b w:val="0"/>
          <w:bCs w:val="0"/>
          <w:lang w:val="en-US" w:eastAsia="zh-CN"/>
        </w:rPr>
        <w:t>2</w:t>
      </w:r>
      <w:r>
        <w:rPr>
          <w:rFonts w:hint="eastAsia" w:ascii="宋体" w:hAnsi="宋体" w:eastAsia="宋体" w:cs="宋体"/>
          <w:b w:val="0"/>
          <w:bCs w:val="0"/>
          <w:lang w:eastAsia="zh-CN"/>
        </w:rPr>
        <w:t>）</w:t>
      </w:r>
      <w:r>
        <w:rPr>
          <w:rFonts w:hint="eastAsia" w:ascii="宋体" w:hAnsi="宋体" w:eastAsia="宋体" w:cs="宋体"/>
          <w:b w:val="0"/>
          <w:bCs w:val="0"/>
        </w:rPr>
        <w:t>项目实施完成后采购</w:t>
      </w:r>
      <w:r>
        <w:rPr>
          <w:rFonts w:hint="eastAsia" w:ascii="宋体" w:hAnsi="宋体" w:eastAsia="宋体" w:cs="宋体"/>
          <w:b w:val="0"/>
          <w:bCs w:val="0"/>
          <w:lang w:val="en-US" w:eastAsia="zh-CN"/>
        </w:rPr>
        <w:t>人</w:t>
      </w:r>
      <w:r>
        <w:rPr>
          <w:rFonts w:hint="eastAsia" w:ascii="宋体" w:hAnsi="宋体" w:eastAsia="宋体" w:cs="宋体"/>
          <w:b w:val="0"/>
          <w:bCs w:val="0"/>
        </w:rPr>
        <w:t>对系统进行全面功能检查，包含</w:t>
      </w:r>
      <w:r>
        <w:rPr>
          <w:rFonts w:hint="eastAsia" w:ascii="宋体" w:hAnsi="宋体" w:eastAsia="宋体" w:cs="宋体"/>
          <w:b w:val="0"/>
          <w:bCs w:val="0"/>
          <w:lang w:val="en-US" w:eastAsia="zh-CN"/>
        </w:rPr>
        <w:t>智慧屏</w:t>
      </w:r>
      <w:r>
        <w:rPr>
          <w:rFonts w:hint="eastAsia" w:ascii="宋体" w:hAnsi="宋体" w:eastAsia="宋体" w:cs="宋体"/>
          <w:b w:val="0"/>
          <w:bCs w:val="0"/>
        </w:rPr>
        <w:t>建设数量、是否实现统一管理、建设数量与采购数量是否一致</w:t>
      </w:r>
      <w:r>
        <w:rPr>
          <w:rFonts w:hint="eastAsia" w:ascii="宋体" w:hAnsi="宋体" w:eastAsia="宋体" w:cs="宋体"/>
          <w:b w:val="0"/>
          <w:bCs w:val="0"/>
          <w:lang w:val="en-US" w:eastAsia="zh-CN"/>
        </w:rPr>
        <w:t>等</w:t>
      </w:r>
      <w:r>
        <w:rPr>
          <w:rFonts w:hint="eastAsia" w:ascii="宋体" w:hAnsi="宋体" w:eastAsia="宋体" w:cs="宋体"/>
          <w:b w:val="0"/>
          <w:bCs w:val="0"/>
        </w:rPr>
        <w:t>。</w:t>
      </w:r>
    </w:p>
    <w:p w14:paraId="2F98C752">
      <w:pPr>
        <w:widowControl/>
        <w:spacing w:line="360" w:lineRule="auto"/>
        <w:contextualSpacing/>
        <w:rPr>
          <w:b/>
          <w:sz w:val="24"/>
        </w:rPr>
      </w:pPr>
    </w:p>
    <w:p w14:paraId="48594810">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9E0F55"/>
    <w:rsid w:val="7A551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widowControl/>
      <w:ind w:left="480" w:right="-341" w:firstLine="513"/>
    </w:pPr>
    <w:rPr>
      <w:kern w:val="0"/>
      <w:sz w:val="24"/>
      <w:szCs w:val="20"/>
    </w:rPr>
  </w:style>
  <w:style w:type="paragraph" w:styleId="3">
    <w:name w:val="Body Text Indent 2"/>
    <w:basedOn w:val="1"/>
    <w:qFormat/>
    <w:uiPriority w:val="0"/>
    <w:pPr>
      <w:ind w:firstLine="480" w:firstLineChars="200"/>
    </w:pPr>
    <w:rPr>
      <w:rFonts w:ascii="仿宋_GB2312" w:eastAsia="仿宋_GB2312"/>
      <w:sz w:val="24"/>
    </w:rPr>
  </w:style>
  <w:style w:type="character" w:styleId="6">
    <w:name w:val="annotation reference"/>
    <w:qFormat/>
    <w:uiPriority w:val="99"/>
    <w:rPr>
      <w:sz w:val="21"/>
      <w:szCs w:val="21"/>
    </w:rPr>
  </w:style>
  <w:style w:type="paragraph" w:styleId="7">
    <w:name w:val="List Paragraph"/>
    <w:basedOn w:val="1"/>
    <w:qFormat/>
    <w:uiPriority w:val="34"/>
    <w:pPr>
      <w:ind w:firstLine="420" w:firstLineChars="200"/>
    </w:pPr>
    <w:rPr>
      <w:rFonts w:ascii="Calibri" w:hAnsi="Calibri"/>
      <w:szCs w:val="22"/>
    </w:rPr>
  </w:style>
  <w:style w:type="paragraph" w:customStyle="1" w:styleId="8">
    <w:name w:val="正文（SANGFOR）"/>
    <w:basedOn w:val="1"/>
    <w:qFormat/>
    <w:uiPriority w:val="0"/>
    <w:pPr>
      <w:tabs>
        <w:tab w:val="right" w:pos="9031"/>
      </w:tabs>
      <w:autoSpaceDE w:val="0"/>
      <w:autoSpaceDN w:val="0"/>
      <w:adjustRightInd w:val="0"/>
      <w:spacing w:before="80" w:after="80" w:line="300" w:lineRule="auto"/>
      <w:ind w:left="567" w:firstLine="420" w:firstLineChars="200"/>
    </w:pPr>
    <w:rPr>
      <w:rFonts w:ascii="Arial" w:hAnsi="Arial" w:cs="Arial"/>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4157</Words>
  <Characters>4554</Characters>
  <Lines>0</Lines>
  <Paragraphs>0</Paragraphs>
  <TotalTime>0</TotalTime>
  <ScaleCrop>false</ScaleCrop>
  <LinksUpToDate>false</LinksUpToDate>
  <CharactersWithSpaces>4576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2025-11-24T07:57:00Z</dcterms:created>
  <dc:creator>luozhao</dc:creator>
  <cp:lastModifiedBy>LZ</cp:lastModifiedBy>
  <dcterms:modified xsi:type="dcterms:W3CDTF">2025-12-19T02:19:00Z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39BF76A8C22342598269586F11D9713E_12</vt:lpwstr>
  </property>
</Properties>
</file>