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BC5BC">
      <w:pPr>
        <w:spacing w:line="360" w:lineRule="auto"/>
        <w:jc w:val="center"/>
        <w:outlineLvl w:val="0"/>
        <w:rPr>
          <w:b/>
          <w:color w:val="auto"/>
          <w:sz w:val="36"/>
          <w:szCs w:val="36"/>
          <w:highlight w:val="none"/>
        </w:rPr>
      </w:pPr>
      <w:r>
        <w:rPr>
          <w:b/>
          <w:color w:val="auto"/>
          <w:sz w:val="36"/>
          <w:szCs w:val="36"/>
          <w:highlight w:val="none"/>
        </w:rPr>
        <w:t xml:space="preserve"> 采购需求</w:t>
      </w:r>
    </w:p>
    <w:p w14:paraId="5D72B9CD">
      <w:pPr>
        <w:jc w:val="center"/>
        <w:rPr>
          <w:rFonts w:hint="eastAsia" w:ascii="宋体" w:hAnsi="宋体" w:cs="宋体"/>
          <w:color w:val="auto"/>
          <w:kern w:val="0"/>
          <w:sz w:val="24"/>
          <w:highlight w:val="none"/>
        </w:rPr>
      </w:pPr>
    </w:p>
    <w:p w14:paraId="1657D981">
      <w:pPr>
        <w:pStyle w:val="8"/>
        <w:numPr>
          <w:ilvl w:val="0"/>
          <w:numId w:val="1"/>
        </w:numPr>
        <w:spacing w:line="360" w:lineRule="auto"/>
        <w:ind w:firstLineChars="0"/>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采购标的</w:t>
      </w:r>
    </w:p>
    <w:p w14:paraId="1DC91A2B">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1. 采购标的</w:t>
      </w:r>
    </w:p>
    <w:p w14:paraId="5B4EB139">
      <w:pPr>
        <w:spacing w:line="360" w:lineRule="auto"/>
        <w:ind w:firstLine="240" w:firstLineChars="100"/>
        <w:contextualSpacing/>
        <w:rPr>
          <w:rFonts w:hint="eastAsia" w:ascii="宋体" w:hAnsi="宋体" w:cs="宋体"/>
          <w:bCs/>
          <w:color w:val="auto"/>
          <w:sz w:val="24"/>
          <w:highlight w:val="none"/>
        </w:rPr>
      </w:pPr>
      <w:r>
        <w:rPr>
          <w:rFonts w:hint="eastAsia" w:ascii="宋体" w:hAnsi="宋体" w:cs="宋体"/>
          <w:bCs/>
          <w:color w:val="auto"/>
          <w:sz w:val="24"/>
          <w:highlight w:val="none"/>
        </w:rPr>
        <w:t>（1）基础服务</w:t>
      </w:r>
    </w:p>
    <w:tbl>
      <w:tblPr>
        <w:tblStyle w:val="6"/>
        <w:tblW w:w="8519" w:type="dxa"/>
        <w:tblInd w:w="0" w:type="dxa"/>
        <w:tblLayout w:type="fixed"/>
        <w:tblCellMar>
          <w:top w:w="0" w:type="dxa"/>
          <w:left w:w="108" w:type="dxa"/>
          <w:bottom w:w="0" w:type="dxa"/>
          <w:right w:w="108" w:type="dxa"/>
        </w:tblCellMar>
      </w:tblPr>
      <w:tblGrid>
        <w:gridCol w:w="401"/>
        <w:gridCol w:w="2016"/>
        <w:gridCol w:w="2780"/>
        <w:gridCol w:w="888"/>
        <w:gridCol w:w="1056"/>
        <w:gridCol w:w="571"/>
        <w:gridCol w:w="807"/>
      </w:tblGrid>
      <w:tr w14:paraId="3583644B">
        <w:tblPrEx>
          <w:tblCellMar>
            <w:top w:w="0" w:type="dxa"/>
            <w:left w:w="108" w:type="dxa"/>
            <w:bottom w:w="0" w:type="dxa"/>
            <w:right w:w="108" w:type="dxa"/>
          </w:tblCellMar>
        </w:tblPrEx>
        <w:trPr>
          <w:trHeight w:val="810" w:hRule="atLeast"/>
        </w:trPr>
        <w:tc>
          <w:tcPr>
            <w:tcW w:w="401" w:type="dxa"/>
            <w:tcBorders>
              <w:top w:val="single" w:color="000000" w:sz="4" w:space="0"/>
              <w:left w:val="single" w:color="000000" w:sz="4" w:space="0"/>
              <w:bottom w:val="single" w:color="000000" w:sz="4" w:space="0"/>
              <w:right w:val="single" w:color="000000" w:sz="4" w:space="0"/>
            </w:tcBorders>
            <w:noWrap/>
            <w:vAlign w:val="center"/>
          </w:tcPr>
          <w:p w14:paraId="21815FA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2A3B254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服务项</w:t>
            </w:r>
          </w:p>
        </w:tc>
        <w:tc>
          <w:tcPr>
            <w:tcW w:w="2780" w:type="dxa"/>
            <w:tcBorders>
              <w:top w:val="single" w:color="000000" w:sz="4" w:space="0"/>
              <w:left w:val="single" w:color="000000" w:sz="4" w:space="0"/>
              <w:bottom w:val="single" w:color="000000" w:sz="4" w:space="0"/>
              <w:right w:val="single" w:color="000000" w:sz="4" w:space="0"/>
            </w:tcBorders>
            <w:vAlign w:val="center"/>
          </w:tcPr>
          <w:p w14:paraId="53368D7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服务描述或规格型号</w:t>
            </w:r>
          </w:p>
        </w:tc>
        <w:tc>
          <w:tcPr>
            <w:tcW w:w="888" w:type="dxa"/>
            <w:tcBorders>
              <w:top w:val="single" w:color="000000" w:sz="4" w:space="0"/>
              <w:left w:val="single" w:color="000000" w:sz="4" w:space="0"/>
              <w:bottom w:val="single" w:color="000000" w:sz="4" w:space="0"/>
              <w:right w:val="single" w:color="000000" w:sz="4" w:space="0"/>
            </w:tcBorders>
            <w:vAlign w:val="center"/>
          </w:tcPr>
          <w:p w14:paraId="3FB7F5B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服务期（月）</w:t>
            </w:r>
          </w:p>
        </w:tc>
        <w:tc>
          <w:tcPr>
            <w:tcW w:w="1056" w:type="dxa"/>
            <w:tcBorders>
              <w:top w:val="single" w:color="000000" w:sz="4" w:space="0"/>
              <w:left w:val="single" w:color="000000" w:sz="4" w:space="0"/>
              <w:bottom w:val="single" w:color="000000" w:sz="4" w:space="0"/>
              <w:right w:val="single" w:color="000000" w:sz="4" w:space="0"/>
            </w:tcBorders>
            <w:vAlign w:val="center"/>
          </w:tcPr>
          <w:p w14:paraId="04A0374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预算单位</w:t>
            </w:r>
          </w:p>
        </w:tc>
        <w:tc>
          <w:tcPr>
            <w:tcW w:w="571" w:type="dxa"/>
            <w:tcBorders>
              <w:top w:val="single" w:color="000000" w:sz="4" w:space="0"/>
              <w:left w:val="single" w:color="000000" w:sz="4" w:space="0"/>
              <w:bottom w:val="single" w:color="000000" w:sz="4" w:space="0"/>
              <w:right w:val="single" w:color="000000" w:sz="4" w:space="0"/>
            </w:tcBorders>
            <w:vAlign w:val="center"/>
          </w:tcPr>
          <w:p w14:paraId="473996D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计量单位</w:t>
            </w:r>
          </w:p>
        </w:tc>
        <w:tc>
          <w:tcPr>
            <w:tcW w:w="807" w:type="dxa"/>
            <w:tcBorders>
              <w:top w:val="single" w:color="000000" w:sz="4" w:space="0"/>
              <w:left w:val="single" w:color="000000" w:sz="4" w:space="0"/>
              <w:bottom w:val="single" w:color="000000" w:sz="4" w:space="0"/>
              <w:right w:val="single" w:color="000000" w:sz="4" w:space="0"/>
            </w:tcBorders>
            <w:vAlign w:val="center"/>
          </w:tcPr>
          <w:p w14:paraId="4469F6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数量</w:t>
            </w:r>
          </w:p>
        </w:tc>
      </w:tr>
      <w:tr w14:paraId="672634C4">
        <w:tblPrEx>
          <w:tblCellMar>
            <w:top w:w="0" w:type="dxa"/>
            <w:left w:w="108" w:type="dxa"/>
            <w:bottom w:w="0" w:type="dxa"/>
            <w:right w:w="108" w:type="dxa"/>
          </w:tblCellMar>
        </w:tblPrEx>
        <w:trPr>
          <w:trHeight w:val="550" w:hRule="atLeast"/>
        </w:trPr>
        <w:tc>
          <w:tcPr>
            <w:tcW w:w="401" w:type="dxa"/>
            <w:tcBorders>
              <w:top w:val="single" w:color="000000" w:sz="4" w:space="0"/>
              <w:left w:val="single" w:color="000000" w:sz="4" w:space="0"/>
              <w:bottom w:val="single" w:color="000000" w:sz="4" w:space="0"/>
              <w:right w:val="single" w:color="000000" w:sz="4" w:space="0"/>
            </w:tcBorders>
            <w:noWrap/>
            <w:vAlign w:val="center"/>
          </w:tcPr>
          <w:p w14:paraId="6E9BA71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w:t>
            </w:r>
          </w:p>
        </w:tc>
        <w:tc>
          <w:tcPr>
            <w:tcW w:w="2016" w:type="dxa"/>
            <w:tcBorders>
              <w:top w:val="single" w:color="000000" w:sz="4" w:space="0"/>
              <w:left w:val="single" w:color="000000" w:sz="4" w:space="0"/>
              <w:bottom w:val="single" w:color="000000" w:sz="4" w:space="0"/>
              <w:right w:val="single" w:color="000000" w:sz="4" w:space="0"/>
            </w:tcBorders>
            <w:vAlign w:val="center"/>
          </w:tcPr>
          <w:p w14:paraId="3692A7A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计算服务</w:t>
            </w:r>
          </w:p>
        </w:tc>
        <w:tc>
          <w:tcPr>
            <w:tcW w:w="2780" w:type="dxa"/>
            <w:tcBorders>
              <w:top w:val="single" w:color="000000" w:sz="4" w:space="0"/>
              <w:left w:val="single" w:color="000000" w:sz="4" w:space="0"/>
              <w:bottom w:val="single" w:color="000000" w:sz="4" w:space="0"/>
              <w:right w:val="single" w:color="000000" w:sz="4" w:space="0"/>
            </w:tcBorders>
            <w:vAlign w:val="center"/>
          </w:tcPr>
          <w:p w14:paraId="58B15E3B">
            <w:pPr>
              <w:rPr>
                <w:rFonts w:hint="eastAsia" w:ascii="宋体" w:hAnsi="宋体" w:cs="宋体"/>
                <w:color w:val="auto"/>
                <w:sz w:val="24"/>
                <w:highlight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14:paraId="7CD8FFCF">
            <w:pPr>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1C9DB503">
            <w:pPr>
              <w:jc w:val="center"/>
              <w:rPr>
                <w:rFonts w:hint="eastAsia" w:ascii="宋体" w:hAnsi="宋体" w:cs="宋体"/>
                <w:color w:val="auto"/>
                <w:sz w:val="24"/>
                <w:highlight w:val="none"/>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18F7CB9F">
            <w:pPr>
              <w:jc w:val="center"/>
              <w:rPr>
                <w:rFonts w:hint="eastAsia" w:ascii="宋体" w:hAnsi="宋体" w:cs="宋体"/>
                <w:color w:val="auto"/>
                <w:sz w:val="24"/>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20392B0A">
            <w:pPr>
              <w:jc w:val="center"/>
              <w:rPr>
                <w:rFonts w:hint="eastAsia" w:ascii="宋体" w:hAnsi="宋体" w:cs="宋体"/>
                <w:color w:val="auto"/>
                <w:sz w:val="24"/>
                <w:highlight w:val="none"/>
              </w:rPr>
            </w:pPr>
          </w:p>
        </w:tc>
      </w:tr>
      <w:tr w14:paraId="0C3F49BE">
        <w:tblPrEx>
          <w:tblCellMar>
            <w:top w:w="0" w:type="dxa"/>
            <w:left w:w="108" w:type="dxa"/>
            <w:bottom w:w="0" w:type="dxa"/>
            <w:right w:w="108" w:type="dxa"/>
          </w:tblCellMar>
        </w:tblPrEx>
        <w:trPr>
          <w:trHeight w:val="288" w:hRule="atLeast"/>
        </w:trPr>
        <w:tc>
          <w:tcPr>
            <w:tcW w:w="401" w:type="dxa"/>
            <w:tcBorders>
              <w:top w:val="single" w:color="000000" w:sz="4" w:space="0"/>
              <w:left w:val="single" w:color="000000" w:sz="4" w:space="0"/>
              <w:bottom w:val="single" w:color="000000" w:sz="4" w:space="0"/>
              <w:right w:val="single" w:color="000000" w:sz="4" w:space="0"/>
            </w:tcBorders>
            <w:vAlign w:val="center"/>
          </w:tcPr>
          <w:p w14:paraId="30D1D9EB">
            <w:pPr>
              <w:widowControl/>
              <w:numPr>
                <w:ilvl w:val="0"/>
                <w:numId w:val="2"/>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101BB86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X86平台云主机服务-vCPU</w:t>
            </w:r>
          </w:p>
        </w:tc>
        <w:tc>
          <w:tcPr>
            <w:tcW w:w="2780" w:type="dxa"/>
            <w:tcBorders>
              <w:top w:val="single" w:color="000000" w:sz="4" w:space="0"/>
              <w:left w:val="single" w:color="000000" w:sz="4" w:space="0"/>
              <w:bottom w:val="single" w:color="000000" w:sz="4" w:space="0"/>
              <w:right w:val="single" w:color="000000" w:sz="4" w:space="0"/>
            </w:tcBorders>
            <w:vAlign w:val="center"/>
          </w:tcPr>
          <w:p w14:paraId="6B73751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主频不低于2.4GHz</w:t>
            </w:r>
          </w:p>
        </w:tc>
        <w:tc>
          <w:tcPr>
            <w:tcW w:w="888" w:type="dxa"/>
            <w:tcBorders>
              <w:top w:val="single" w:color="000000" w:sz="4" w:space="0"/>
              <w:left w:val="single" w:color="000000" w:sz="4" w:space="0"/>
              <w:bottom w:val="single" w:color="000000" w:sz="4" w:space="0"/>
              <w:right w:val="single" w:color="000000" w:sz="4" w:space="0"/>
            </w:tcBorders>
            <w:vAlign w:val="center"/>
          </w:tcPr>
          <w:p w14:paraId="25810FB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208EA0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元/CPU·月</w:t>
            </w:r>
          </w:p>
        </w:tc>
        <w:tc>
          <w:tcPr>
            <w:tcW w:w="571" w:type="dxa"/>
            <w:tcBorders>
              <w:top w:val="single" w:color="000000" w:sz="4" w:space="0"/>
              <w:left w:val="single" w:color="000000" w:sz="4" w:space="0"/>
              <w:bottom w:val="single" w:color="000000" w:sz="4" w:space="0"/>
              <w:right w:val="single" w:color="000000" w:sz="4" w:space="0"/>
            </w:tcBorders>
            <w:vAlign w:val="center"/>
          </w:tcPr>
          <w:p w14:paraId="727EE90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CPU</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220296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599</w:t>
            </w:r>
          </w:p>
        </w:tc>
      </w:tr>
      <w:tr w14:paraId="6C0328D2">
        <w:tblPrEx>
          <w:tblCellMar>
            <w:top w:w="0" w:type="dxa"/>
            <w:left w:w="108" w:type="dxa"/>
            <w:bottom w:w="0" w:type="dxa"/>
            <w:right w:w="108" w:type="dxa"/>
          </w:tblCellMar>
        </w:tblPrEx>
        <w:trPr>
          <w:trHeight w:val="288" w:hRule="atLeast"/>
        </w:trPr>
        <w:tc>
          <w:tcPr>
            <w:tcW w:w="401" w:type="dxa"/>
            <w:tcBorders>
              <w:top w:val="single" w:color="000000" w:sz="4" w:space="0"/>
              <w:left w:val="single" w:color="000000" w:sz="4" w:space="0"/>
              <w:bottom w:val="single" w:color="000000" w:sz="4" w:space="0"/>
              <w:right w:val="single" w:color="000000" w:sz="4" w:space="0"/>
            </w:tcBorders>
            <w:vAlign w:val="center"/>
          </w:tcPr>
          <w:p w14:paraId="29440E63">
            <w:pPr>
              <w:widowControl/>
              <w:numPr>
                <w:ilvl w:val="0"/>
                <w:numId w:val="2"/>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35F3617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X86平台云主机服务-内存</w:t>
            </w:r>
          </w:p>
        </w:tc>
        <w:tc>
          <w:tcPr>
            <w:tcW w:w="2780" w:type="dxa"/>
            <w:tcBorders>
              <w:top w:val="single" w:color="000000" w:sz="4" w:space="0"/>
              <w:left w:val="single" w:color="000000" w:sz="4" w:space="0"/>
              <w:bottom w:val="single" w:color="000000" w:sz="4" w:space="0"/>
              <w:right w:val="single" w:color="000000" w:sz="4" w:space="0"/>
            </w:tcBorders>
            <w:vAlign w:val="center"/>
          </w:tcPr>
          <w:p w14:paraId="1CDEEB8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内存</w:t>
            </w:r>
          </w:p>
        </w:tc>
        <w:tc>
          <w:tcPr>
            <w:tcW w:w="888" w:type="dxa"/>
            <w:tcBorders>
              <w:top w:val="single" w:color="000000" w:sz="4" w:space="0"/>
              <w:left w:val="single" w:color="000000" w:sz="4" w:space="0"/>
              <w:bottom w:val="single" w:color="000000" w:sz="4" w:space="0"/>
              <w:right w:val="single" w:color="000000" w:sz="4" w:space="0"/>
            </w:tcBorders>
            <w:vAlign w:val="center"/>
          </w:tcPr>
          <w:p w14:paraId="5AEEA5A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6A96CF0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元/GB·月</w:t>
            </w:r>
          </w:p>
        </w:tc>
        <w:tc>
          <w:tcPr>
            <w:tcW w:w="571" w:type="dxa"/>
            <w:tcBorders>
              <w:top w:val="single" w:color="000000" w:sz="4" w:space="0"/>
              <w:left w:val="single" w:color="000000" w:sz="4" w:space="0"/>
              <w:bottom w:val="single" w:color="000000" w:sz="4" w:space="0"/>
              <w:right w:val="single" w:color="000000" w:sz="4" w:space="0"/>
            </w:tcBorders>
            <w:vAlign w:val="center"/>
          </w:tcPr>
          <w:p w14:paraId="63746FF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GB</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5A429DB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2373</w:t>
            </w:r>
          </w:p>
        </w:tc>
      </w:tr>
      <w:tr w14:paraId="3B729C2F">
        <w:tblPrEx>
          <w:tblCellMar>
            <w:top w:w="0" w:type="dxa"/>
            <w:left w:w="108" w:type="dxa"/>
            <w:bottom w:w="0" w:type="dxa"/>
            <w:right w:w="108" w:type="dxa"/>
          </w:tblCellMar>
        </w:tblPrEx>
        <w:trPr>
          <w:trHeight w:val="631" w:hRule="atLeast"/>
        </w:trPr>
        <w:tc>
          <w:tcPr>
            <w:tcW w:w="401" w:type="dxa"/>
            <w:tcBorders>
              <w:top w:val="single" w:color="000000" w:sz="4" w:space="0"/>
              <w:left w:val="single" w:color="000000" w:sz="4" w:space="0"/>
              <w:bottom w:val="single" w:color="000000" w:sz="4" w:space="0"/>
              <w:right w:val="single" w:color="000000" w:sz="4" w:space="0"/>
            </w:tcBorders>
            <w:vAlign w:val="center"/>
          </w:tcPr>
          <w:p w14:paraId="3C037673">
            <w:pPr>
              <w:widowControl/>
              <w:numPr>
                <w:ilvl w:val="0"/>
                <w:numId w:val="2"/>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2C65C77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x86物理服务器租用服务-X86物理服务器配置1</w:t>
            </w:r>
          </w:p>
        </w:tc>
        <w:tc>
          <w:tcPr>
            <w:tcW w:w="2780" w:type="dxa"/>
            <w:tcBorders>
              <w:top w:val="single" w:color="000000" w:sz="4" w:space="0"/>
              <w:left w:val="single" w:color="000000" w:sz="4" w:space="0"/>
              <w:bottom w:val="single" w:color="000000" w:sz="4" w:space="0"/>
              <w:right w:val="single" w:color="000000" w:sz="4" w:space="0"/>
            </w:tcBorders>
            <w:vAlign w:val="center"/>
          </w:tcPr>
          <w:p w14:paraId="1F2872D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x86物理服务器配置1: 2 路12核（主频≥2.0Ghz），64G内存，2块600G SAS硬盘，2个HBA卡，2个万兆端口</w:t>
            </w:r>
          </w:p>
        </w:tc>
        <w:tc>
          <w:tcPr>
            <w:tcW w:w="888" w:type="dxa"/>
            <w:tcBorders>
              <w:top w:val="single" w:color="000000" w:sz="4" w:space="0"/>
              <w:left w:val="single" w:color="000000" w:sz="4" w:space="0"/>
              <w:bottom w:val="single" w:color="000000" w:sz="4" w:space="0"/>
              <w:right w:val="single" w:color="000000" w:sz="4" w:space="0"/>
            </w:tcBorders>
            <w:vAlign w:val="center"/>
          </w:tcPr>
          <w:p w14:paraId="37BDFE3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5EE5956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元/台·月</w:t>
            </w:r>
          </w:p>
        </w:tc>
        <w:tc>
          <w:tcPr>
            <w:tcW w:w="571" w:type="dxa"/>
            <w:tcBorders>
              <w:top w:val="single" w:color="000000" w:sz="4" w:space="0"/>
              <w:left w:val="single" w:color="000000" w:sz="4" w:space="0"/>
              <w:bottom w:val="single" w:color="000000" w:sz="4" w:space="0"/>
              <w:right w:val="single" w:color="000000" w:sz="4" w:space="0"/>
            </w:tcBorders>
            <w:vAlign w:val="center"/>
          </w:tcPr>
          <w:p w14:paraId="389752A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3B9D591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r>
      <w:tr w14:paraId="78C8F434">
        <w:tblPrEx>
          <w:tblCellMar>
            <w:top w:w="0" w:type="dxa"/>
            <w:left w:w="108" w:type="dxa"/>
            <w:bottom w:w="0" w:type="dxa"/>
            <w:right w:w="108" w:type="dxa"/>
          </w:tblCellMar>
        </w:tblPrEx>
        <w:trPr>
          <w:trHeight w:val="550" w:hRule="atLeast"/>
        </w:trPr>
        <w:tc>
          <w:tcPr>
            <w:tcW w:w="401" w:type="dxa"/>
            <w:tcBorders>
              <w:top w:val="single" w:color="000000" w:sz="4" w:space="0"/>
              <w:left w:val="single" w:color="000000" w:sz="4" w:space="0"/>
              <w:bottom w:val="single" w:color="000000" w:sz="4" w:space="0"/>
              <w:right w:val="single" w:color="000000" w:sz="4" w:space="0"/>
            </w:tcBorders>
            <w:vAlign w:val="center"/>
          </w:tcPr>
          <w:p w14:paraId="4CBA99FB">
            <w:pPr>
              <w:widowControl/>
              <w:numPr>
                <w:ilvl w:val="0"/>
                <w:numId w:val="2"/>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76C4487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x86物理服务器租用服务-硬盘配置2</w:t>
            </w:r>
          </w:p>
        </w:tc>
        <w:tc>
          <w:tcPr>
            <w:tcW w:w="2780" w:type="dxa"/>
            <w:tcBorders>
              <w:top w:val="single" w:color="000000" w:sz="4" w:space="0"/>
              <w:left w:val="single" w:color="000000" w:sz="4" w:space="0"/>
              <w:bottom w:val="single" w:color="000000" w:sz="4" w:space="0"/>
              <w:right w:val="single" w:color="000000" w:sz="4" w:space="0"/>
            </w:tcBorders>
            <w:noWrap/>
            <w:vAlign w:val="center"/>
          </w:tcPr>
          <w:p w14:paraId="65EC6FB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硬盘配置2-600GB SAS</w:t>
            </w:r>
          </w:p>
        </w:tc>
        <w:tc>
          <w:tcPr>
            <w:tcW w:w="888" w:type="dxa"/>
            <w:tcBorders>
              <w:top w:val="single" w:color="000000" w:sz="4" w:space="0"/>
              <w:left w:val="single" w:color="000000" w:sz="4" w:space="0"/>
              <w:bottom w:val="single" w:color="000000" w:sz="4" w:space="0"/>
              <w:right w:val="single" w:color="000000" w:sz="4" w:space="0"/>
            </w:tcBorders>
            <w:vAlign w:val="center"/>
          </w:tcPr>
          <w:p w14:paraId="55AC145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5CB8592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元/块·月</w:t>
            </w:r>
          </w:p>
        </w:tc>
        <w:tc>
          <w:tcPr>
            <w:tcW w:w="571" w:type="dxa"/>
            <w:tcBorders>
              <w:top w:val="single" w:color="000000" w:sz="4" w:space="0"/>
              <w:left w:val="single" w:color="000000" w:sz="4" w:space="0"/>
              <w:bottom w:val="single" w:color="000000" w:sz="4" w:space="0"/>
              <w:right w:val="single" w:color="000000" w:sz="4" w:space="0"/>
            </w:tcBorders>
            <w:vAlign w:val="center"/>
          </w:tcPr>
          <w:p w14:paraId="3419E35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块</w:t>
            </w:r>
          </w:p>
        </w:tc>
        <w:tc>
          <w:tcPr>
            <w:tcW w:w="807" w:type="dxa"/>
            <w:tcBorders>
              <w:top w:val="single" w:color="000000" w:sz="4" w:space="0"/>
              <w:left w:val="single" w:color="000000" w:sz="4" w:space="0"/>
              <w:bottom w:val="single" w:color="000000" w:sz="4" w:space="0"/>
              <w:right w:val="single" w:color="000000" w:sz="4" w:space="0"/>
            </w:tcBorders>
            <w:vAlign w:val="center"/>
          </w:tcPr>
          <w:p w14:paraId="2CB720F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r>
      <w:tr w14:paraId="7A2F59F7">
        <w:tblPrEx>
          <w:tblCellMar>
            <w:top w:w="0" w:type="dxa"/>
            <w:left w:w="108" w:type="dxa"/>
            <w:bottom w:w="0" w:type="dxa"/>
            <w:right w:w="108" w:type="dxa"/>
          </w:tblCellMar>
        </w:tblPrEx>
        <w:trPr>
          <w:trHeight w:val="450" w:hRule="atLeast"/>
        </w:trPr>
        <w:tc>
          <w:tcPr>
            <w:tcW w:w="401" w:type="dxa"/>
            <w:tcBorders>
              <w:top w:val="single" w:color="000000" w:sz="4" w:space="0"/>
              <w:left w:val="single" w:color="000000" w:sz="4" w:space="0"/>
              <w:bottom w:val="single" w:color="000000" w:sz="4" w:space="0"/>
              <w:right w:val="single" w:color="000000" w:sz="4" w:space="0"/>
            </w:tcBorders>
            <w:vAlign w:val="center"/>
          </w:tcPr>
          <w:p w14:paraId="29952A0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二</w:t>
            </w:r>
          </w:p>
        </w:tc>
        <w:tc>
          <w:tcPr>
            <w:tcW w:w="2016" w:type="dxa"/>
            <w:tcBorders>
              <w:top w:val="single" w:color="000000" w:sz="4" w:space="0"/>
              <w:left w:val="single" w:color="000000" w:sz="4" w:space="0"/>
              <w:bottom w:val="single" w:color="000000" w:sz="4" w:space="0"/>
              <w:right w:val="single" w:color="000000" w:sz="4" w:space="0"/>
            </w:tcBorders>
            <w:vAlign w:val="center"/>
          </w:tcPr>
          <w:p w14:paraId="0CFDBDA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存储服务</w:t>
            </w:r>
          </w:p>
        </w:tc>
        <w:tc>
          <w:tcPr>
            <w:tcW w:w="2780" w:type="dxa"/>
            <w:tcBorders>
              <w:top w:val="single" w:color="000000" w:sz="4" w:space="0"/>
              <w:left w:val="single" w:color="000000" w:sz="4" w:space="0"/>
              <w:bottom w:val="single" w:color="000000" w:sz="4" w:space="0"/>
              <w:right w:val="single" w:color="000000" w:sz="4" w:space="0"/>
            </w:tcBorders>
            <w:vAlign w:val="center"/>
          </w:tcPr>
          <w:p w14:paraId="121FDD07">
            <w:pPr>
              <w:jc w:val="left"/>
              <w:rPr>
                <w:rFonts w:hint="eastAsia" w:ascii="宋体" w:hAnsi="宋体" w:cs="宋体"/>
                <w:color w:val="auto"/>
                <w:sz w:val="24"/>
                <w:highlight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14:paraId="785EA16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3023F502">
            <w:pPr>
              <w:jc w:val="center"/>
              <w:rPr>
                <w:rFonts w:hint="eastAsia" w:ascii="宋体" w:hAnsi="宋体" w:cs="宋体"/>
                <w:color w:val="auto"/>
                <w:sz w:val="24"/>
                <w:highlight w:val="none"/>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365E8428">
            <w:pPr>
              <w:jc w:val="center"/>
              <w:rPr>
                <w:rFonts w:hint="eastAsia" w:ascii="宋体" w:hAnsi="宋体" w:cs="宋体"/>
                <w:color w:val="auto"/>
                <w:sz w:val="24"/>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4815B403">
            <w:pPr>
              <w:jc w:val="center"/>
              <w:rPr>
                <w:rFonts w:hint="eastAsia" w:ascii="宋体" w:hAnsi="宋体" w:cs="宋体"/>
                <w:color w:val="auto"/>
                <w:sz w:val="24"/>
                <w:highlight w:val="none"/>
              </w:rPr>
            </w:pPr>
          </w:p>
        </w:tc>
      </w:tr>
      <w:tr w14:paraId="719B2829">
        <w:tblPrEx>
          <w:tblCellMar>
            <w:top w:w="0" w:type="dxa"/>
            <w:left w:w="108" w:type="dxa"/>
            <w:bottom w:w="0" w:type="dxa"/>
            <w:right w:w="108" w:type="dxa"/>
          </w:tblCellMar>
        </w:tblPrEx>
        <w:trPr>
          <w:trHeight w:val="288" w:hRule="atLeast"/>
        </w:trPr>
        <w:tc>
          <w:tcPr>
            <w:tcW w:w="401" w:type="dxa"/>
            <w:tcBorders>
              <w:top w:val="single" w:color="000000" w:sz="4" w:space="0"/>
              <w:left w:val="single" w:color="000000" w:sz="4" w:space="0"/>
              <w:bottom w:val="single" w:color="000000" w:sz="4" w:space="0"/>
              <w:right w:val="single" w:color="000000" w:sz="4" w:space="0"/>
            </w:tcBorders>
            <w:noWrap/>
            <w:vAlign w:val="center"/>
          </w:tcPr>
          <w:p w14:paraId="19FAE344">
            <w:pPr>
              <w:widowControl/>
              <w:numPr>
                <w:ilvl w:val="0"/>
                <w:numId w:val="3"/>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02A3DE9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普通性能存储</w:t>
            </w:r>
          </w:p>
        </w:tc>
        <w:tc>
          <w:tcPr>
            <w:tcW w:w="2780" w:type="dxa"/>
            <w:tcBorders>
              <w:top w:val="single" w:color="000000" w:sz="4" w:space="0"/>
              <w:left w:val="single" w:color="000000" w:sz="4" w:space="0"/>
              <w:bottom w:val="single" w:color="000000" w:sz="4" w:space="0"/>
              <w:right w:val="single" w:color="000000" w:sz="4" w:space="0"/>
            </w:tcBorders>
            <w:vAlign w:val="center"/>
          </w:tcPr>
          <w:p w14:paraId="4B12318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单盘技术指标：单盘IOPS 1000-3000）</w:t>
            </w:r>
          </w:p>
        </w:tc>
        <w:tc>
          <w:tcPr>
            <w:tcW w:w="888" w:type="dxa"/>
            <w:tcBorders>
              <w:top w:val="single" w:color="000000" w:sz="4" w:space="0"/>
              <w:left w:val="single" w:color="000000" w:sz="4" w:space="0"/>
              <w:bottom w:val="single" w:color="000000" w:sz="4" w:space="0"/>
              <w:right w:val="single" w:color="000000" w:sz="4" w:space="0"/>
            </w:tcBorders>
            <w:vAlign w:val="center"/>
          </w:tcPr>
          <w:p w14:paraId="36594E8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0B9A377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元/GB·月</w:t>
            </w:r>
          </w:p>
        </w:tc>
        <w:tc>
          <w:tcPr>
            <w:tcW w:w="571" w:type="dxa"/>
            <w:tcBorders>
              <w:top w:val="single" w:color="000000" w:sz="4" w:space="0"/>
              <w:left w:val="single" w:color="000000" w:sz="4" w:space="0"/>
              <w:bottom w:val="single" w:color="000000" w:sz="4" w:space="0"/>
              <w:right w:val="single" w:color="000000" w:sz="4" w:space="0"/>
            </w:tcBorders>
            <w:vAlign w:val="center"/>
          </w:tcPr>
          <w:p w14:paraId="04FBB32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GB</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46F0573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19028</w:t>
            </w:r>
          </w:p>
        </w:tc>
      </w:tr>
      <w:tr w14:paraId="2E59D9BA">
        <w:tblPrEx>
          <w:tblCellMar>
            <w:top w:w="0" w:type="dxa"/>
            <w:left w:w="108" w:type="dxa"/>
            <w:bottom w:w="0" w:type="dxa"/>
            <w:right w:w="108" w:type="dxa"/>
          </w:tblCellMar>
        </w:tblPrEx>
        <w:trPr>
          <w:trHeight w:val="288" w:hRule="atLeast"/>
        </w:trPr>
        <w:tc>
          <w:tcPr>
            <w:tcW w:w="401" w:type="dxa"/>
            <w:tcBorders>
              <w:top w:val="single" w:color="000000" w:sz="4" w:space="0"/>
              <w:left w:val="single" w:color="000000" w:sz="4" w:space="0"/>
              <w:bottom w:val="single" w:color="000000" w:sz="4" w:space="0"/>
              <w:right w:val="single" w:color="000000" w:sz="4" w:space="0"/>
            </w:tcBorders>
            <w:noWrap/>
            <w:vAlign w:val="center"/>
          </w:tcPr>
          <w:p w14:paraId="64F496CA">
            <w:pPr>
              <w:widowControl/>
              <w:numPr>
                <w:ilvl w:val="0"/>
                <w:numId w:val="3"/>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5666DE5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高性能存储</w:t>
            </w:r>
          </w:p>
        </w:tc>
        <w:tc>
          <w:tcPr>
            <w:tcW w:w="2780" w:type="dxa"/>
            <w:tcBorders>
              <w:top w:val="single" w:color="000000" w:sz="4" w:space="0"/>
              <w:left w:val="single" w:color="000000" w:sz="4" w:space="0"/>
              <w:bottom w:val="single" w:color="000000" w:sz="4" w:space="0"/>
              <w:right w:val="single" w:color="000000" w:sz="4" w:space="0"/>
            </w:tcBorders>
            <w:vAlign w:val="center"/>
          </w:tcPr>
          <w:p w14:paraId="62E5BC8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单盘技术指标：单盘IOPS 3000-20000</w:t>
            </w:r>
          </w:p>
        </w:tc>
        <w:tc>
          <w:tcPr>
            <w:tcW w:w="888" w:type="dxa"/>
            <w:tcBorders>
              <w:top w:val="single" w:color="000000" w:sz="4" w:space="0"/>
              <w:left w:val="single" w:color="000000" w:sz="4" w:space="0"/>
              <w:bottom w:val="single" w:color="000000" w:sz="4" w:space="0"/>
              <w:right w:val="single" w:color="000000" w:sz="4" w:space="0"/>
            </w:tcBorders>
            <w:vAlign w:val="center"/>
          </w:tcPr>
          <w:p w14:paraId="2476505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7B15DF7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元/GB·月</w:t>
            </w:r>
          </w:p>
        </w:tc>
        <w:tc>
          <w:tcPr>
            <w:tcW w:w="571" w:type="dxa"/>
            <w:tcBorders>
              <w:top w:val="single" w:color="000000" w:sz="4" w:space="0"/>
              <w:left w:val="single" w:color="000000" w:sz="4" w:space="0"/>
              <w:bottom w:val="single" w:color="000000" w:sz="4" w:space="0"/>
              <w:right w:val="single" w:color="000000" w:sz="4" w:space="0"/>
            </w:tcBorders>
            <w:vAlign w:val="center"/>
          </w:tcPr>
          <w:p w14:paraId="5A40DBB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GB</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6D8B48A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46686</w:t>
            </w:r>
          </w:p>
        </w:tc>
      </w:tr>
      <w:tr w14:paraId="27113B56">
        <w:tblPrEx>
          <w:tblCellMar>
            <w:top w:w="0" w:type="dxa"/>
            <w:left w:w="108" w:type="dxa"/>
            <w:bottom w:w="0" w:type="dxa"/>
            <w:right w:w="108" w:type="dxa"/>
          </w:tblCellMar>
        </w:tblPrEx>
        <w:trPr>
          <w:trHeight w:val="380" w:hRule="atLeast"/>
        </w:trPr>
        <w:tc>
          <w:tcPr>
            <w:tcW w:w="401" w:type="dxa"/>
            <w:tcBorders>
              <w:top w:val="single" w:color="000000" w:sz="4" w:space="0"/>
              <w:left w:val="single" w:color="000000" w:sz="4" w:space="0"/>
              <w:bottom w:val="single" w:color="000000" w:sz="4" w:space="0"/>
              <w:right w:val="single" w:color="000000" w:sz="4" w:space="0"/>
            </w:tcBorders>
            <w:noWrap/>
            <w:vAlign w:val="center"/>
          </w:tcPr>
          <w:p w14:paraId="57550671">
            <w:pPr>
              <w:widowControl/>
              <w:numPr>
                <w:ilvl w:val="0"/>
                <w:numId w:val="3"/>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798BACC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本地备份服务</w:t>
            </w:r>
          </w:p>
        </w:tc>
        <w:tc>
          <w:tcPr>
            <w:tcW w:w="2780" w:type="dxa"/>
            <w:tcBorders>
              <w:top w:val="single" w:color="000000" w:sz="4" w:space="0"/>
              <w:left w:val="single" w:color="000000" w:sz="4" w:space="0"/>
              <w:bottom w:val="single" w:color="000000" w:sz="4" w:space="0"/>
              <w:right w:val="single" w:color="000000" w:sz="4" w:space="0"/>
            </w:tcBorders>
            <w:vAlign w:val="center"/>
          </w:tcPr>
          <w:p w14:paraId="3D1EC18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本地备份服务</w:t>
            </w:r>
          </w:p>
        </w:tc>
        <w:tc>
          <w:tcPr>
            <w:tcW w:w="888" w:type="dxa"/>
            <w:tcBorders>
              <w:top w:val="single" w:color="000000" w:sz="4" w:space="0"/>
              <w:left w:val="single" w:color="000000" w:sz="4" w:space="0"/>
              <w:bottom w:val="single" w:color="000000" w:sz="4" w:space="0"/>
              <w:right w:val="single" w:color="000000" w:sz="4" w:space="0"/>
            </w:tcBorders>
            <w:vAlign w:val="center"/>
          </w:tcPr>
          <w:p w14:paraId="71BD7E5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7AA9624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元/GB·月</w:t>
            </w:r>
          </w:p>
        </w:tc>
        <w:tc>
          <w:tcPr>
            <w:tcW w:w="571" w:type="dxa"/>
            <w:tcBorders>
              <w:top w:val="single" w:color="000000" w:sz="4" w:space="0"/>
              <w:left w:val="single" w:color="000000" w:sz="4" w:space="0"/>
              <w:bottom w:val="single" w:color="000000" w:sz="4" w:space="0"/>
              <w:right w:val="single" w:color="000000" w:sz="4" w:space="0"/>
            </w:tcBorders>
            <w:vAlign w:val="center"/>
          </w:tcPr>
          <w:p w14:paraId="50767FB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GB</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7749665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19028</w:t>
            </w:r>
          </w:p>
        </w:tc>
      </w:tr>
      <w:tr w14:paraId="26DE25A2">
        <w:tblPrEx>
          <w:tblCellMar>
            <w:top w:w="0" w:type="dxa"/>
            <w:left w:w="108" w:type="dxa"/>
            <w:bottom w:w="0" w:type="dxa"/>
            <w:right w:w="108" w:type="dxa"/>
          </w:tblCellMar>
        </w:tblPrEx>
        <w:trPr>
          <w:trHeight w:val="520" w:hRule="atLeast"/>
        </w:trPr>
        <w:tc>
          <w:tcPr>
            <w:tcW w:w="401" w:type="dxa"/>
            <w:tcBorders>
              <w:top w:val="single" w:color="000000" w:sz="4" w:space="0"/>
              <w:left w:val="single" w:color="000000" w:sz="4" w:space="0"/>
              <w:bottom w:val="single" w:color="000000" w:sz="4" w:space="0"/>
              <w:right w:val="single" w:color="000000" w:sz="4" w:space="0"/>
            </w:tcBorders>
            <w:vAlign w:val="center"/>
          </w:tcPr>
          <w:p w14:paraId="615A146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w:t>
            </w:r>
          </w:p>
        </w:tc>
        <w:tc>
          <w:tcPr>
            <w:tcW w:w="2016" w:type="dxa"/>
            <w:tcBorders>
              <w:top w:val="single" w:color="000000" w:sz="4" w:space="0"/>
              <w:left w:val="single" w:color="000000" w:sz="4" w:space="0"/>
              <w:bottom w:val="single" w:color="000000" w:sz="4" w:space="0"/>
              <w:right w:val="single" w:color="000000" w:sz="4" w:space="0"/>
            </w:tcBorders>
            <w:vAlign w:val="center"/>
          </w:tcPr>
          <w:p w14:paraId="3A9BE33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网络服务</w:t>
            </w:r>
          </w:p>
        </w:tc>
        <w:tc>
          <w:tcPr>
            <w:tcW w:w="2780" w:type="dxa"/>
            <w:tcBorders>
              <w:top w:val="single" w:color="000000" w:sz="4" w:space="0"/>
              <w:left w:val="single" w:color="000000" w:sz="4" w:space="0"/>
              <w:bottom w:val="single" w:color="000000" w:sz="4" w:space="0"/>
              <w:right w:val="single" w:color="000000" w:sz="4" w:space="0"/>
            </w:tcBorders>
            <w:vAlign w:val="center"/>
          </w:tcPr>
          <w:p w14:paraId="40FB9D06">
            <w:pPr>
              <w:jc w:val="left"/>
              <w:rPr>
                <w:rFonts w:hint="eastAsia" w:ascii="宋体" w:hAnsi="宋体" w:cs="宋体"/>
                <w:color w:val="auto"/>
                <w:sz w:val="24"/>
                <w:highlight w:val="none"/>
              </w:rPr>
            </w:pPr>
          </w:p>
        </w:tc>
        <w:tc>
          <w:tcPr>
            <w:tcW w:w="888" w:type="dxa"/>
            <w:tcBorders>
              <w:top w:val="single" w:color="000000" w:sz="4" w:space="0"/>
              <w:left w:val="single" w:color="000000" w:sz="4" w:space="0"/>
              <w:bottom w:val="single" w:color="000000" w:sz="4" w:space="0"/>
              <w:right w:val="single" w:color="000000" w:sz="4" w:space="0"/>
            </w:tcBorders>
            <w:vAlign w:val="center"/>
          </w:tcPr>
          <w:p w14:paraId="3CC598E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362A2B1C">
            <w:pPr>
              <w:jc w:val="center"/>
              <w:rPr>
                <w:rFonts w:hint="eastAsia" w:ascii="宋体" w:hAnsi="宋体" w:cs="宋体"/>
                <w:color w:val="auto"/>
                <w:sz w:val="24"/>
                <w:highlight w:val="none"/>
              </w:rPr>
            </w:pPr>
          </w:p>
        </w:tc>
        <w:tc>
          <w:tcPr>
            <w:tcW w:w="571" w:type="dxa"/>
            <w:tcBorders>
              <w:top w:val="single" w:color="000000" w:sz="4" w:space="0"/>
              <w:left w:val="single" w:color="000000" w:sz="4" w:space="0"/>
              <w:bottom w:val="single" w:color="000000" w:sz="4" w:space="0"/>
              <w:right w:val="single" w:color="000000" w:sz="4" w:space="0"/>
            </w:tcBorders>
            <w:vAlign w:val="center"/>
          </w:tcPr>
          <w:p w14:paraId="514E4607">
            <w:pPr>
              <w:jc w:val="center"/>
              <w:rPr>
                <w:rFonts w:hint="eastAsia" w:ascii="宋体" w:hAnsi="宋体" w:cs="宋体"/>
                <w:color w:val="auto"/>
                <w:sz w:val="24"/>
                <w:highlight w:val="none"/>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43DC1B2F">
            <w:pPr>
              <w:jc w:val="center"/>
              <w:rPr>
                <w:rFonts w:hint="eastAsia" w:ascii="宋体" w:hAnsi="宋体" w:cs="宋体"/>
                <w:color w:val="auto"/>
                <w:sz w:val="24"/>
                <w:highlight w:val="none"/>
              </w:rPr>
            </w:pPr>
          </w:p>
        </w:tc>
      </w:tr>
      <w:tr w14:paraId="7CF781E8">
        <w:tblPrEx>
          <w:tblCellMar>
            <w:top w:w="0" w:type="dxa"/>
            <w:left w:w="108" w:type="dxa"/>
            <w:bottom w:w="0" w:type="dxa"/>
            <w:right w:w="108" w:type="dxa"/>
          </w:tblCellMar>
        </w:tblPrEx>
        <w:trPr>
          <w:trHeight w:val="420" w:hRule="atLeast"/>
        </w:trPr>
        <w:tc>
          <w:tcPr>
            <w:tcW w:w="401" w:type="dxa"/>
            <w:tcBorders>
              <w:top w:val="single" w:color="000000" w:sz="4" w:space="0"/>
              <w:left w:val="single" w:color="000000" w:sz="4" w:space="0"/>
              <w:bottom w:val="single" w:color="000000" w:sz="4" w:space="0"/>
              <w:right w:val="single" w:color="000000" w:sz="4" w:space="0"/>
            </w:tcBorders>
            <w:noWrap/>
            <w:vAlign w:val="center"/>
          </w:tcPr>
          <w:p w14:paraId="4A1B5115">
            <w:pPr>
              <w:widowControl/>
              <w:numPr>
                <w:ilvl w:val="0"/>
                <w:numId w:val="4"/>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33C0546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互联网链路服务1</w:t>
            </w:r>
          </w:p>
        </w:tc>
        <w:tc>
          <w:tcPr>
            <w:tcW w:w="2780" w:type="dxa"/>
            <w:tcBorders>
              <w:top w:val="single" w:color="000000" w:sz="4" w:space="0"/>
              <w:left w:val="single" w:color="000000" w:sz="4" w:space="0"/>
              <w:bottom w:val="single" w:color="000000" w:sz="4" w:space="0"/>
              <w:right w:val="single" w:color="000000" w:sz="4" w:space="0"/>
            </w:tcBorders>
            <w:vAlign w:val="center"/>
          </w:tcPr>
          <w:p w14:paraId="57458BA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互联网链路带宽</w:t>
            </w:r>
          </w:p>
        </w:tc>
        <w:tc>
          <w:tcPr>
            <w:tcW w:w="888" w:type="dxa"/>
            <w:tcBorders>
              <w:top w:val="single" w:color="000000" w:sz="4" w:space="0"/>
              <w:left w:val="single" w:color="000000" w:sz="4" w:space="0"/>
              <w:bottom w:val="single" w:color="000000" w:sz="4" w:space="0"/>
              <w:right w:val="single" w:color="000000" w:sz="4" w:space="0"/>
            </w:tcBorders>
            <w:vAlign w:val="center"/>
          </w:tcPr>
          <w:p w14:paraId="6F8AF0B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2FF1F6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元/Mb·月</w:t>
            </w:r>
          </w:p>
        </w:tc>
        <w:tc>
          <w:tcPr>
            <w:tcW w:w="571" w:type="dxa"/>
            <w:tcBorders>
              <w:top w:val="single" w:color="000000" w:sz="4" w:space="0"/>
              <w:left w:val="single" w:color="000000" w:sz="4" w:space="0"/>
              <w:bottom w:val="single" w:color="000000" w:sz="4" w:space="0"/>
              <w:right w:val="single" w:color="000000" w:sz="4" w:space="0"/>
            </w:tcBorders>
            <w:vAlign w:val="center"/>
          </w:tcPr>
          <w:p w14:paraId="00D5003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Mb</w:t>
            </w:r>
          </w:p>
        </w:tc>
        <w:tc>
          <w:tcPr>
            <w:tcW w:w="807" w:type="dxa"/>
            <w:tcBorders>
              <w:top w:val="single" w:color="000000" w:sz="4" w:space="0"/>
              <w:left w:val="single" w:color="000000" w:sz="4" w:space="0"/>
              <w:bottom w:val="single" w:color="000000" w:sz="4" w:space="0"/>
              <w:right w:val="single" w:color="000000" w:sz="4" w:space="0"/>
            </w:tcBorders>
            <w:vAlign w:val="center"/>
          </w:tcPr>
          <w:p w14:paraId="69B1E5F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50</w:t>
            </w:r>
          </w:p>
        </w:tc>
      </w:tr>
      <w:tr w14:paraId="19312DC7">
        <w:tblPrEx>
          <w:tblCellMar>
            <w:top w:w="0" w:type="dxa"/>
            <w:left w:w="108" w:type="dxa"/>
            <w:bottom w:w="0" w:type="dxa"/>
            <w:right w:w="108" w:type="dxa"/>
          </w:tblCellMar>
        </w:tblPrEx>
        <w:trPr>
          <w:trHeight w:val="288" w:hRule="atLeast"/>
        </w:trPr>
        <w:tc>
          <w:tcPr>
            <w:tcW w:w="401" w:type="dxa"/>
            <w:tcBorders>
              <w:top w:val="single" w:color="000000" w:sz="4" w:space="0"/>
              <w:left w:val="single" w:color="000000" w:sz="4" w:space="0"/>
              <w:bottom w:val="single" w:color="000000" w:sz="4" w:space="0"/>
              <w:right w:val="single" w:color="000000" w:sz="4" w:space="0"/>
            </w:tcBorders>
            <w:noWrap/>
            <w:vAlign w:val="center"/>
          </w:tcPr>
          <w:p w14:paraId="5160D36A">
            <w:pPr>
              <w:widowControl/>
              <w:numPr>
                <w:ilvl w:val="0"/>
                <w:numId w:val="4"/>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0BE23CB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互联网链路服务2</w:t>
            </w:r>
          </w:p>
        </w:tc>
        <w:tc>
          <w:tcPr>
            <w:tcW w:w="2780" w:type="dxa"/>
            <w:tcBorders>
              <w:top w:val="single" w:color="000000" w:sz="4" w:space="0"/>
              <w:left w:val="single" w:color="000000" w:sz="4" w:space="0"/>
              <w:bottom w:val="single" w:color="000000" w:sz="4" w:space="0"/>
              <w:right w:val="single" w:color="000000" w:sz="4" w:space="0"/>
            </w:tcBorders>
            <w:vAlign w:val="center"/>
          </w:tcPr>
          <w:p w14:paraId="715C430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互联网IP地址租用服务、并提供备案服务</w:t>
            </w:r>
          </w:p>
        </w:tc>
        <w:tc>
          <w:tcPr>
            <w:tcW w:w="888" w:type="dxa"/>
            <w:tcBorders>
              <w:top w:val="single" w:color="000000" w:sz="4" w:space="0"/>
              <w:left w:val="single" w:color="000000" w:sz="4" w:space="0"/>
              <w:bottom w:val="single" w:color="000000" w:sz="4" w:space="0"/>
              <w:right w:val="single" w:color="000000" w:sz="4" w:space="0"/>
            </w:tcBorders>
            <w:vAlign w:val="center"/>
          </w:tcPr>
          <w:p w14:paraId="349324E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2B22553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元/IP·月</w:t>
            </w:r>
          </w:p>
        </w:tc>
        <w:tc>
          <w:tcPr>
            <w:tcW w:w="571" w:type="dxa"/>
            <w:tcBorders>
              <w:top w:val="single" w:color="000000" w:sz="4" w:space="0"/>
              <w:left w:val="single" w:color="000000" w:sz="4" w:space="0"/>
              <w:bottom w:val="single" w:color="000000" w:sz="4" w:space="0"/>
              <w:right w:val="single" w:color="000000" w:sz="4" w:space="0"/>
            </w:tcBorders>
            <w:vAlign w:val="center"/>
          </w:tcPr>
          <w:p w14:paraId="1AC7147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w:t>
            </w:r>
          </w:p>
        </w:tc>
        <w:tc>
          <w:tcPr>
            <w:tcW w:w="807" w:type="dxa"/>
            <w:tcBorders>
              <w:top w:val="single" w:color="000000" w:sz="4" w:space="0"/>
              <w:left w:val="single" w:color="000000" w:sz="4" w:space="0"/>
              <w:bottom w:val="single" w:color="000000" w:sz="4" w:space="0"/>
              <w:right w:val="single" w:color="000000" w:sz="4" w:space="0"/>
            </w:tcBorders>
            <w:vAlign w:val="center"/>
          </w:tcPr>
          <w:p w14:paraId="512E132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r>
      <w:tr w14:paraId="1DE35B1C">
        <w:tblPrEx>
          <w:tblCellMar>
            <w:top w:w="0" w:type="dxa"/>
            <w:left w:w="108" w:type="dxa"/>
            <w:bottom w:w="0" w:type="dxa"/>
            <w:right w:w="108" w:type="dxa"/>
          </w:tblCellMar>
        </w:tblPrEx>
        <w:trPr>
          <w:trHeight w:val="950" w:hRule="atLeast"/>
        </w:trPr>
        <w:tc>
          <w:tcPr>
            <w:tcW w:w="401" w:type="dxa"/>
            <w:tcBorders>
              <w:top w:val="single" w:color="000000" w:sz="4" w:space="0"/>
              <w:left w:val="single" w:color="000000" w:sz="4" w:space="0"/>
              <w:bottom w:val="single" w:color="000000" w:sz="4" w:space="0"/>
              <w:right w:val="single" w:color="000000" w:sz="4" w:space="0"/>
            </w:tcBorders>
            <w:noWrap/>
            <w:vAlign w:val="center"/>
          </w:tcPr>
          <w:p w14:paraId="49D57A45">
            <w:pPr>
              <w:widowControl/>
              <w:numPr>
                <w:ilvl w:val="0"/>
                <w:numId w:val="4"/>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5D614DF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远程接入服务</w:t>
            </w:r>
          </w:p>
        </w:tc>
        <w:tc>
          <w:tcPr>
            <w:tcW w:w="2780" w:type="dxa"/>
            <w:tcBorders>
              <w:top w:val="single" w:color="000000" w:sz="4" w:space="0"/>
              <w:left w:val="single" w:color="000000" w:sz="4" w:space="0"/>
              <w:bottom w:val="single" w:color="000000" w:sz="4" w:space="0"/>
              <w:right w:val="single" w:color="000000" w:sz="4" w:space="0"/>
            </w:tcBorders>
            <w:vAlign w:val="center"/>
          </w:tcPr>
          <w:p w14:paraId="45AB3D8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远程接入运维，每个账号结合身份验证，通过VPN远程接入堡垒机进行维护（免费提供1个账号）</w:t>
            </w:r>
          </w:p>
        </w:tc>
        <w:tc>
          <w:tcPr>
            <w:tcW w:w="888" w:type="dxa"/>
            <w:tcBorders>
              <w:top w:val="single" w:color="000000" w:sz="4" w:space="0"/>
              <w:left w:val="single" w:color="000000" w:sz="4" w:space="0"/>
              <w:bottom w:val="single" w:color="000000" w:sz="4" w:space="0"/>
              <w:right w:val="single" w:color="000000" w:sz="4" w:space="0"/>
            </w:tcBorders>
            <w:vAlign w:val="center"/>
          </w:tcPr>
          <w:p w14:paraId="4DF28A6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3747FF7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元/账号·月</w:t>
            </w:r>
          </w:p>
        </w:tc>
        <w:tc>
          <w:tcPr>
            <w:tcW w:w="571" w:type="dxa"/>
            <w:tcBorders>
              <w:top w:val="single" w:color="000000" w:sz="4" w:space="0"/>
              <w:left w:val="single" w:color="000000" w:sz="4" w:space="0"/>
              <w:bottom w:val="single" w:color="000000" w:sz="4" w:space="0"/>
              <w:right w:val="single" w:color="000000" w:sz="4" w:space="0"/>
            </w:tcBorders>
            <w:vAlign w:val="center"/>
          </w:tcPr>
          <w:p w14:paraId="252C2A9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账号</w:t>
            </w:r>
          </w:p>
        </w:tc>
        <w:tc>
          <w:tcPr>
            <w:tcW w:w="807" w:type="dxa"/>
            <w:tcBorders>
              <w:top w:val="single" w:color="000000" w:sz="4" w:space="0"/>
              <w:left w:val="single" w:color="000000" w:sz="4" w:space="0"/>
              <w:bottom w:val="single" w:color="000000" w:sz="4" w:space="0"/>
              <w:right w:val="single" w:color="000000" w:sz="4" w:space="0"/>
            </w:tcBorders>
            <w:vAlign w:val="center"/>
          </w:tcPr>
          <w:p w14:paraId="76E1F28F">
            <w:pPr>
              <w:widowControl/>
              <w:jc w:val="center"/>
              <w:textAlignment w:val="center"/>
              <w:rPr>
                <w:rFonts w:hint="eastAsia" w:ascii="宋体" w:hAnsi="宋体" w:eastAsia="宋体" w:cs="宋体"/>
                <w:color w:val="auto"/>
                <w:sz w:val="24"/>
                <w:highlight w:val="none"/>
                <w:lang w:eastAsia="zh-CN"/>
              </w:rPr>
            </w:pPr>
            <w:r>
              <w:rPr>
                <w:rFonts w:hint="default" w:ascii="宋体" w:hAnsi="宋体" w:cs="宋体"/>
                <w:color w:val="auto"/>
                <w:kern w:val="0"/>
                <w:sz w:val="24"/>
                <w:highlight w:val="none"/>
                <w:lang w:val="en-US" w:bidi="ar"/>
              </w:rPr>
              <w:t>4</w:t>
            </w:r>
          </w:p>
        </w:tc>
      </w:tr>
      <w:tr w14:paraId="7DC8888A">
        <w:tblPrEx>
          <w:tblCellMar>
            <w:top w:w="0" w:type="dxa"/>
            <w:left w:w="108" w:type="dxa"/>
            <w:bottom w:w="0" w:type="dxa"/>
            <w:right w:w="108" w:type="dxa"/>
          </w:tblCellMar>
        </w:tblPrEx>
        <w:trPr>
          <w:trHeight w:val="660" w:hRule="atLeast"/>
        </w:trPr>
        <w:tc>
          <w:tcPr>
            <w:tcW w:w="401" w:type="dxa"/>
            <w:tcBorders>
              <w:top w:val="single" w:color="000000" w:sz="4" w:space="0"/>
              <w:left w:val="single" w:color="000000" w:sz="4" w:space="0"/>
              <w:bottom w:val="single" w:color="000000" w:sz="4" w:space="0"/>
              <w:right w:val="single" w:color="000000" w:sz="4" w:space="0"/>
            </w:tcBorders>
            <w:noWrap/>
            <w:vAlign w:val="center"/>
          </w:tcPr>
          <w:p w14:paraId="7DFD61AE">
            <w:pPr>
              <w:widowControl/>
              <w:numPr>
                <w:ilvl w:val="0"/>
                <w:numId w:val="4"/>
              </w:numPr>
              <w:jc w:val="center"/>
              <w:textAlignment w:val="center"/>
              <w:rPr>
                <w:rFonts w:hint="eastAsia" w:ascii="宋体" w:hAnsi="宋体" w:cs="宋体"/>
                <w:color w:val="auto"/>
                <w:sz w:val="24"/>
                <w:highlight w:val="none"/>
              </w:rPr>
            </w:pPr>
          </w:p>
        </w:tc>
        <w:tc>
          <w:tcPr>
            <w:tcW w:w="2016" w:type="dxa"/>
            <w:tcBorders>
              <w:top w:val="single" w:color="000000" w:sz="4" w:space="0"/>
              <w:left w:val="single" w:color="000000" w:sz="4" w:space="0"/>
              <w:bottom w:val="single" w:color="000000" w:sz="4" w:space="0"/>
              <w:right w:val="single" w:color="000000" w:sz="4" w:space="0"/>
            </w:tcBorders>
            <w:vAlign w:val="center"/>
          </w:tcPr>
          <w:p w14:paraId="3F70ABC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WAF防护</w:t>
            </w:r>
          </w:p>
        </w:tc>
        <w:tc>
          <w:tcPr>
            <w:tcW w:w="2780" w:type="dxa"/>
            <w:tcBorders>
              <w:top w:val="single" w:color="000000" w:sz="4" w:space="0"/>
              <w:left w:val="single" w:color="000000" w:sz="4" w:space="0"/>
              <w:bottom w:val="single" w:color="000000" w:sz="4" w:space="0"/>
              <w:right w:val="single" w:color="000000" w:sz="4" w:space="0"/>
            </w:tcBorders>
            <w:vAlign w:val="center"/>
          </w:tcPr>
          <w:p w14:paraId="2B21927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web应用防火墙服务</w:t>
            </w:r>
          </w:p>
        </w:tc>
        <w:tc>
          <w:tcPr>
            <w:tcW w:w="888" w:type="dxa"/>
            <w:tcBorders>
              <w:top w:val="single" w:color="000000" w:sz="4" w:space="0"/>
              <w:left w:val="single" w:color="000000" w:sz="4" w:space="0"/>
              <w:bottom w:val="single" w:color="000000" w:sz="4" w:space="0"/>
              <w:right w:val="single" w:color="000000" w:sz="4" w:space="0"/>
            </w:tcBorders>
            <w:vAlign w:val="center"/>
          </w:tcPr>
          <w:p w14:paraId="598FAF6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056" w:type="dxa"/>
            <w:tcBorders>
              <w:top w:val="single" w:color="000000" w:sz="4" w:space="0"/>
              <w:left w:val="single" w:color="000000" w:sz="4" w:space="0"/>
              <w:bottom w:val="single" w:color="000000" w:sz="4" w:space="0"/>
              <w:right w:val="single" w:color="000000" w:sz="4" w:space="0"/>
            </w:tcBorders>
            <w:vAlign w:val="center"/>
          </w:tcPr>
          <w:p w14:paraId="5D655D6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元/IP·月</w:t>
            </w:r>
          </w:p>
        </w:tc>
        <w:tc>
          <w:tcPr>
            <w:tcW w:w="571" w:type="dxa"/>
            <w:tcBorders>
              <w:top w:val="single" w:color="000000" w:sz="4" w:space="0"/>
              <w:left w:val="single" w:color="000000" w:sz="4" w:space="0"/>
              <w:bottom w:val="single" w:color="000000" w:sz="4" w:space="0"/>
              <w:right w:val="single" w:color="000000" w:sz="4" w:space="0"/>
            </w:tcBorders>
            <w:vAlign w:val="center"/>
          </w:tcPr>
          <w:p w14:paraId="5828030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IP（互联网）</w:t>
            </w:r>
          </w:p>
        </w:tc>
        <w:tc>
          <w:tcPr>
            <w:tcW w:w="807" w:type="dxa"/>
            <w:tcBorders>
              <w:top w:val="single" w:color="000000" w:sz="4" w:space="0"/>
              <w:left w:val="single" w:color="000000" w:sz="4" w:space="0"/>
              <w:bottom w:val="single" w:color="000000" w:sz="4" w:space="0"/>
              <w:right w:val="single" w:color="000000" w:sz="4" w:space="0"/>
            </w:tcBorders>
            <w:vAlign w:val="center"/>
          </w:tcPr>
          <w:p w14:paraId="7160E4B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r>
    </w:tbl>
    <w:p w14:paraId="5384B133">
      <w:pPr>
        <w:spacing w:before="100" w:beforeAutospacing="1"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 xml:space="preserve">对机房环境、硬件设备及入云系统云资源的运行情况进行7×24小时的不间断巡检监控，及时发现安全隐患，通知相关人员及时处理，并形成监控报告。  </w:t>
      </w:r>
    </w:p>
    <w:tbl>
      <w:tblPr>
        <w:tblStyle w:val="6"/>
        <w:tblW w:w="82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9"/>
        <w:gridCol w:w="2155"/>
        <w:gridCol w:w="4840"/>
      </w:tblGrid>
      <w:tr w14:paraId="05456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299"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14:paraId="6AB2ED10">
            <w:pPr>
              <w:widowControl/>
              <w:spacing w:before="100" w:beforeAutospacing="1" w:after="160" w:line="276" w:lineRule="auto"/>
              <w:jc w:val="center"/>
              <w:textAlignment w:val="center"/>
              <w:rPr>
                <w:rFonts w:hint="eastAsia" w:ascii="宋体" w:hAnsi="宋体" w:cs="宋体"/>
                <w:b/>
                <w:color w:val="auto"/>
                <w:sz w:val="24"/>
                <w:highlight w:val="none"/>
              </w:rPr>
            </w:pPr>
            <w:r>
              <w:rPr>
                <w:rFonts w:hint="eastAsia" w:ascii="宋体" w:hAnsi="宋体" w:cs="宋体"/>
                <w:b/>
                <w:color w:val="auto"/>
                <w:sz w:val="24"/>
                <w:highlight w:val="none"/>
                <w:lang w:bidi="ar"/>
              </w:rPr>
              <w:t>服务类别</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14:paraId="4CFAFC66">
            <w:pPr>
              <w:widowControl/>
              <w:spacing w:before="100" w:beforeAutospacing="1" w:after="160" w:line="276" w:lineRule="auto"/>
              <w:jc w:val="center"/>
              <w:textAlignment w:val="center"/>
              <w:rPr>
                <w:rFonts w:hint="eastAsia" w:ascii="宋体" w:hAnsi="宋体" w:cs="宋体"/>
                <w:b/>
                <w:color w:val="auto"/>
                <w:sz w:val="24"/>
                <w:highlight w:val="none"/>
              </w:rPr>
            </w:pPr>
            <w:r>
              <w:rPr>
                <w:rFonts w:hint="eastAsia" w:ascii="宋体" w:hAnsi="宋体" w:cs="宋体"/>
                <w:b/>
                <w:color w:val="auto"/>
                <w:sz w:val="24"/>
                <w:highlight w:val="none"/>
                <w:lang w:bidi="ar"/>
              </w:rPr>
              <w:t>服务目录</w:t>
            </w:r>
          </w:p>
        </w:tc>
        <w:tc>
          <w:tcPr>
            <w:tcW w:w="4840" w:type="dxa"/>
            <w:tcBorders>
              <w:top w:val="single" w:color="000000" w:sz="4" w:space="0"/>
              <w:left w:val="single" w:color="000000" w:sz="4" w:space="0"/>
              <w:bottom w:val="single" w:color="000000" w:sz="4" w:space="0"/>
              <w:right w:val="single" w:color="000000" w:sz="4" w:space="0"/>
            </w:tcBorders>
            <w:shd w:val="clear" w:color="auto" w:fill="FFFFFF"/>
            <w:tcMar>
              <w:top w:w="9" w:type="dxa"/>
              <w:left w:w="9" w:type="dxa"/>
              <w:right w:w="9" w:type="dxa"/>
            </w:tcMar>
            <w:vAlign w:val="center"/>
          </w:tcPr>
          <w:p w14:paraId="4AFFAF0D">
            <w:pPr>
              <w:widowControl/>
              <w:spacing w:before="100" w:beforeAutospacing="1" w:after="160" w:line="276" w:lineRule="auto"/>
              <w:jc w:val="center"/>
              <w:textAlignment w:val="center"/>
              <w:rPr>
                <w:rFonts w:hint="eastAsia" w:ascii="宋体" w:hAnsi="宋体" w:cs="宋体"/>
                <w:b/>
                <w:color w:val="auto"/>
                <w:sz w:val="24"/>
                <w:highlight w:val="none"/>
              </w:rPr>
            </w:pPr>
            <w:r>
              <w:rPr>
                <w:rFonts w:hint="eastAsia" w:ascii="宋体" w:hAnsi="宋体" w:cs="宋体"/>
                <w:b/>
                <w:color w:val="auto"/>
                <w:sz w:val="24"/>
                <w:highlight w:val="none"/>
                <w:lang w:bidi="ar"/>
              </w:rPr>
              <w:t>项目</w:t>
            </w:r>
          </w:p>
        </w:tc>
      </w:tr>
      <w:tr w14:paraId="04D56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restart"/>
            <w:tcBorders>
              <w:top w:val="nil"/>
              <w:left w:val="single" w:color="000000" w:sz="4" w:space="0"/>
              <w:bottom w:val="single" w:color="000000" w:sz="4" w:space="0"/>
              <w:right w:val="single" w:color="000000" w:sz="4" w:space="0"/>
            </w:tcBorders>
            <w:tcMar>
              <w:top w:w="9" w:type="dxa"/>
              <w:left w:w="9" w:type="dxa"/>
              <w:right w:w="9" w:type="dxa"/>
            </w:tcMar>
            <w:vAlign w:val="center"/>
          </w:tcPr>
          <w:p w14:paraId="5F15958E">
            <w:pPr>
              <w:widowControl/>
              <w:spacing w:before="100" w:beforeAutospacing="1" w:after="160" w:line="276"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安全管理服务</w:t>
            </w: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71C119E5">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运维人员管理</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032987D0">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7x24 小时运维人员管理、安全登记</w:t>
            </w:r>
          </w:p>
        </w:tc>
      </w:tr>
      <w:tr w14:paraId="4506F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538496A6">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460038DC">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机房运维管理</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5D05D1CF">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机房设备管理、安全控制</w:t>
            </w:r>
          </w:p>
        </w:tc>
      </w:tr>
      <w:tr w14:paraId="7872E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5D89140F">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5E5FA033">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应急演练</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46E52F73">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协助云使用单位进行安全应急演练</w:t>
            </w:r>
          </w:p>
        </w:tc>
      </w:tr>
      <w:tr w14:paraId="450F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restart"/>
            <w:tcBorders>
              <w:top w:val="nil"/>
              <w:left w:val="single" w:color="000000" w:sz="4" w:space="0"/>
              <w:bottom w:val="single" w:color="000000" w:sz="4" w:space="0"/>
              <w:right w:val="single" w:color="000000" w:sz="4" w:space="0"/>
            </w:tcBorders>
            <w:tcMar>
              <w:top w:w="9" w:type="dxa"/>
              <w:left w:w="9" w:type="dxa"/>
              <w:right w:w="9" w:type="dxa"/>
            </w:tcMar>
            <w:vAlign w:val="center"/>
          </w:tcPr>
          <w:p w14:paraId="38755240">
            <w:pPr>
              <w:widowControl/>
              <w:spacing w:before="100" w:beforeAutospacing="1" w:after="160" w:line="276"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安全技术服务</w:t>
            </w: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229E2349">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物理访问控制</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1C08EA8C">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机房进出控制、监控等</w:t>
            </w:r>
          </w:p>
        </w:tc>
      </w:tr>
      <w:tr w14:paraId="1CEEC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07E673DA">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64CED446">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机房三防服务</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38C9751F">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机房防火、防盗、防雷电</w:t>
            </w:r>
          </w:p>
        </w:tc>
      </w:tr>
      <w:tr w14:paraId="6F335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09C283C6">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18B43B66">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设备访问审计</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0593087E">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设备访问记录、日志统计、安全事件</w:t>
            </w:r>
          </w:p>
        </w:tc>
      </w:tr>
      <w:tr w14:paraId="7EC13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6475932F">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2D20EAD2">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出口流量监测</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323EAB73">
            <w:pPr>
              <w:widowControl/>
              <w:spacing w:before="100" w:beforeAutospacing="1" w:after="160" w:line="276" w:lineRule="auto"/>
              <w:ind w:firstLine="480" w:firstLineChars="200"/>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出口流量控制、检测，并且可观测数据，互联网网络行为审计</w:t>
            </w:r>
          </w:p>
        </w:tc>
      </w:tr>
      <w:tr w14:paraId="1406D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7FBB66E1">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10F7F158">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本地抗 DDoS 防护</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268ECBB4">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云平台整体提供总带宽为 10Gb 的抗 DDoS 防护</w:t>
            </w:r>
          </w:p>
        </w:tc>
      </w:tr>
      <w:tr w14:paraId="650D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0752BFDE">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1E8CFEAE">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防火墙安全防护</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17BE7CCF">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出口安全</w:t>
            </w:r>
          </w:p>
        </w:tc>
      </w:tr>
      <w:tr w14:paraId="532C0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4D23795E">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304012F8">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防入侵监测 IPS</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4F4EFAB9">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防入侵监测</w:t>
            </w:r>
          </w:p>
        </w:tc>
      </w:tr>
      <w:tr w14:paraId="14845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6114A641">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114C02DD">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远程接入服务</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6FABB684">
            <w:pPr>
              <w:widowControl/>
              <w:spacing w:before="100" w:beforeAutospacing="1" w:after="160" w:line="276" w:lineRule="auto"/>
              <w:jc w:val="center"/>
              <w:textAlignment w:val="top"/>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bidi="ar"/>
              </w:rPr>
              <w:t>提供</w:t>
            </w:r>
            <w:r>
              <w:rPr>
                <w:rFonts w:hint="eastAsia" w:ascii="宋体" w:hAnsi="宋体" w:cs="宋体"/>
                <w:color w:val="auto"/>
                <w:sz w:val="24"/>
                <w:highlight w:val="none"/>
                <w:lang w:eastAsia="zh-CN" w:bidi="ar"/>
              </w:rPr>
              <w:t>至少</w:t>
            </w:r>
            <w:r>
              <w:rPr>
                <w:rFonts w:hint="eastAsia" w:ascii="宋体" w:hAnsi="宋体" w:cs="宋体"/>
                <w:color w:val="auto"/>
                <w:sz w:val="24"/>
                <w:highlight w:val="none"/>
                <w:lang w:val="en-US" w:eastAsia="zh-CN" w:bidi="ar"/>
              </w:rPr>
              <w:t>2</w:t>
            </w:r>
            <w:r>
              <w:rPr>
                <w:rFonts w:hint="eastAsia" w:ascii="宋体" w:hAnsi="宋体" w:cs="宋体"/>
                <w:color w:val="auto"/>
                <w:sz w:val="24"/>
                <w:highlight w:val="none"/>
                <w:lang w:bidi="ar"/>
              </w:rPr>
              <w:t>个远程登录堡垒机的运维账号</w:t>
            </w:r>
            <w:r>
              <w:rPr>
                <w:rFonts w:hint="eastAsia" w:ascii="宋体" w:hAnsi="宋体" w:cs="宋体"/>
                <w:color w:val="auto"/>
                <w:sz w:val="24"/>
                <w:highlight w:val="none"/>
                <w:lang w:eastAsia="zh-CN" w:bidi="ar"/>
              </w:rPr>
              <w:t>，所涉及费用包含在投标报价中</w:t>
            </w:r>
          </w:p>
        </w:tc>
      </w:tr>
      <w:tr w14:paraId="4B0B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6D150496">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2C9FCD9E">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租户隔离</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1B222ACD">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租户虚拟化层隔离</w:t>
            </w:r>
          </w:p>
        </w:tc>
      </w:tr>
      <w:tr w14:paraId="430FC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56CAB344">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62174D48">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租户内部访问控制</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6A5FE047">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租户内部访问权限控制，用户可以自由分配</w:t>
            </w:r>
          </w:p>
        </w:tc>
      </w:tr>
      <w:tr w14:paraId="598B4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4C71E664">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26801965">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云主机监控</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60F937B7">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提供云上资源的基本监控，包括 CPU、内存使用率等</w:t>
            </w:r>
          </w:p>
        </w:tc>
      </w:tr>
      <w:tr w14:paraId="70ECA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99" w:type="dxa"/>
            <w:vMerge w:val="continue"/>
            <w:tcBorders>
              <w:top w:val="nil"/>
              <w:left w:val="single" w:color="000000" w:sz="4" w:space="0"/>
              <w:bottom w:val="single" w:color="000000" w:sz="4" w:space="0"/>
              <w:right w:val="single" w:color="000000" w:sz="4" w:space="0"/>
            </w:tcBorders>
            <w:tcMar>
              <w:top w:w="9" w:type="dxa"/>
              <w:left w:w="9" w:type="dxa"/>
              <w:right w:w="9" w:type="dxa"/>
            </w:tcMar>
            <w:vAlign w:val="center"/>
          </w:tcPr>
          <w:p w14:paraId="07B9DB45">
            <w:pPr>
              <w:rPr>
                <w:rFonts w:hint="eastAsia" w:ascii="宋体" w:hAnsi="宋体" w:cs="宋体"/>
                <w:color w:val="auto"/>
                <w:sz w:val="24"/>
                <w:highlight w:val="none"/>
              </w:rPr>
            </w:pPr>
          </w:p>
        </w:tc>
        <w:tc>
          <w:tcPr>
            <w:tcW w:w="215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122D1BE6">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角色权限管理</w:t>
            </w:r>
          </w:p>
        </w:tc>
        <w:tc>
          <w:tcPr>
            <w:tcW w:w="4840"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14:paraId="57DD7077">
            <w:pPr>
              <w:widowControl/>
              <w:spacing w:before="100" w:beforeAutospacing="1" w:after="160" w:line="276" w:lineRule="auto"/>
              <w:jc w:val="center"/>
              <w:textAlignment w:val="top"/>
              <w:rPr>
                <w:rFonts w:hint="eastAsia" w:ascii="宋体" w:hAnsi="宋体" w:cs="宋体"/>
                <w:color w:val="auto"/>
                <w:sz w:val="24"/>
                <w:highlight w:val="none"/>
              </w:rPr>
            </w:pPr>
            <w:r>
              <w:rPr>
                <w:rFonts w:hint="eastAsia" w:ascii="宋体" w:hAnsi="宋体" w:cs="宋体"/>
                <w:color w:val="auto"/>
                <w:sz w:val="24"/>
                <w:highlight w:val="none"/>
                <w:lang w:bidi="ar"/>
              </w:rPr>
              <w:t>提供通过代入角色实现获取操作权限</w:t>
            </w:r>
          </w:p>
        </w:tc>
      </w:tr>
    </w:tbl>
    <w:p w14:paraId="0821F94A">
      <w:pPr>
        <w:spacing w:line="360" w:lineRule="auto"/>
        <w:contextualSpacing/>
        <w:rPr>
          <w:rFonts w:hint="eastAsia" w:ascii="宋体" w:hAnsi="宋体" w:cs="宋体"/>
          <w:bCs/>
          <w:color w:val="auto"/>
          <w:sz w:val="24"/>
          <w:highlight w:val="none"/>
        </w:rPr>
      </w:pPr>
    </w:p>
    <w:p w14:paraId="758D48E8">
      <w:pPr>
        <w:numPr>
          <w:ilvl w:val="0"/>
          <w:numId w:val="5"/>
        </w:numPr>
        <w:spacing w:line="360" w:lineRule="auto"/>
        <w:ind w:firstLine="240" w:firstLineChars="100"/>
        <w:contextualSpacing/>
        <w:rPr>
          <w:rFonts w:hint="eastAsia" w:ascii="宋体" w:hAnsi="宋体" w:cs="宋体"/>
          <w:bCs/>
          <w:color w:val="auto"/>
          <w:sz w:val="24"/>
          <w:highlight w:val="none"/>
        </w:rPr>
      </w:pPr>
      <w:r>
        <w:rPr>
          <w:rFonts w:hint="eastAsia" w:ascii="宋体" w:hAnsi="宋体" w:cs="宋体"/>
          <w:bCs/>
          <w:color w:val="auto"/>
          <w:sz w:val="24"/>
          <w:highlight w:val="none"/>
        </w:rPr>
        <w:t>扩展及其他服务</w:t>
      </w:r>
    </w:p>
    <w:tbl>
      <w:tblPr>
        <w:tblStyle w:val="6"/>
        <w:tblW w:w="8517" w:type="dxa"/>
        <w:tblInd w:w="0" w:type="dxa"/>
        <w:tblLayout w:type="fixed"/>
        <w:tblCellMar>
          <w:top w:w="0" w:type="dxa"/>
          <w:left w:w="108" w:type="dxa"/>
          <w:bottom w:w="0" w:type="dxa"/>
          <w:right w:w="108" w:type="dxa"/>
        </w:tblCellMar>
      </w:tblPr>
      <w:tblGrid>
        <w:gridCol w:w="748"/>
        <w:gridCol w:w="1969"/>
        <w:gridCol w:w="1386"/>
        <w:gridCol w:w="1960"/>
        <w:gridCol w:w="1283"/>
        <w:gridCol w:w="1171"/>
      </w:tblGrid>
      <w:tr w14:paraId="0CB3BC1C">
        <w:tblPrEx>
          <w:tblCellMar>
            <w:top w:w="0" w:type="dxa"/>
            <w:left w:w="108" w:type="dxa"/>
            <w:bottom w:w="0" w:type="dxa"/>
            <w:right w:w="108" w:type="dxa"/>
          </w:tblCellMar>
        </w:tblPrEx>
        <w:trPr>
          <w:trHeight w:val="512"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73A939E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969" w:type="dxa"/>
            <w:tcBorders>
              <w:top w:val="single" w:color="000000" w:sz="4" w:space="0"/>
              <w:left w:val="single" w:color="000000" w:sz="4" w:space="0"/>
              <w:bottom w:val="single" w:color="000000" w:sz="4" w:space="0"/>
              <w:right w:val="single" w:color="000000" w:sz="4" w:space="0"/>
            </w:tcBorders>
            <w:vAlign w:val="center"/>
          </w:tcPr>
          <w:p w14:paraId="07D55AD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服务项</w:t>
            </w:r>
          </w:p>
        </w:tc>
        <w:tc>
          <w:tcPr>
            <w:tcW w:w="1386" w:type="dxa"/>
            <w:tcBorders>
              <w:top w:val="single" w:color="000000" w:sz="4" w:space="0"/>
              <w:left w:val="single" w:color="000000" w:sz="4" w:space="0"/>
              <w:bottom w:val="single" w:color="000000" w:sz="4" w:space="0"/>
              <w:right w:val="single" w:color="000000" w:sz="4" w:space="0"/>
            </w:tcBorders>
            <w:vAlign w:val="center"/>
          </w:tcPr>
          <w:p w14:paraId="58736E6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服务期（月）</w:t>
            </w:r>
          </w:p>
        </w:tc>
        <w:tc>
          <w:tcPr>
            <w:tcW w:w="1960" w:type="dxa"/>
            <w:tcBorders>
              <w:top w:val="single" w:color="000000" w:sz="4" w:space="0"/>
              <w:left w:val="single" w:color="000000" w:sz="4" w:space="0"/>
              <w:bottom w:val="single" w:color="000000" w:sz="4" w:space="0"/>
              <w:right w:val="single" w:color="000000" w:sz="4" w:space="0"/>
            </w:tcBorders>
            <w:vAlign w:val="center"/>
          </w:tcPr>
          <w:p w14:paraId="0669974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预算单位</w:t>
            </w:r>
          </w:p>
        </w:tc>
        <w:tc>
          <w:tcPr>
            <w:tcW w:w="1283" w:type="dxa"/>
            <w:tcBorders>
              <w:top w:val="single" w:color="000000" w:sz="4" w:space="0"/>
              <w:left w:val="single" w:color="000000" w:sz="4" w:space="0"/>
              <w:bottom w:val="single" w:color="000000" w:sz="4" w:space="0"/>
              <w:right w:val="single" w:color="000000" w:sz="4" w:space="0"/>
            </w:tcBorders>
            <w:vAlign w:val="center"/>
          </w:tcPr>
          <w:p w14:paraId="09CAFB9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计量单位</w:t>
            </w:r>
          </w:p>
        </w:tc>
        <w:tc>
          <w:tcPr>
            <w:tcW w:w="1171" w:type="dxa"/>
            <w:tcBorders>
              <w:top w:val="single" w:color="000000" w:sz="4" w:space="0"/>
              <w:left w:val="single" w:color="000000" w:sz="4" w:space="0"/>
              <w:bottom w:val="single" w:color="000000" w:sz="4" w:space="0"/>
              <w:right w:val="single" w:color="000000" w:sz="4" w:space="0"/>
            </w:tcBorders>
            <w:vAlign w:val="center"/>
          </w:tcPr>
          <w:p w14:paraId="727A0A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数量</w:t>
            </w:r>
          </w:p>
        </w:tc>
      </w:tr>
      <w:tr w14:paraId="2A94FB9B">
        <w:tblPrEx>
          <w:tblCellMar>
            <w:top w:w="0" w:type="dxa"/>
            <w:left w:w="108" w:type="dxa"/>
            <w:bottom w:w="0" w:type="dxa"/>
            <w:right w:w="108" w:type="dxa"/>
          </w:tblCellMar>
        </w:tblPrEx>
        <w:trPr>
          <w:trHeight w:val="418" w:hRule="atLeast"/>
        </w:trPr>
        <w:tc>
          <w:tcPr>
            <w:tcW w:w="748" w:type="dxa"/>
            <w:tcBorders>
              <w:top w:val="single" w:color="000000" w:sz="4" w:space="0"/>
              <w:left w:val="single" w:color="000000" w:sz="4" w:space="0"/>
              <w:bottom w:val="single" w:color="000000" w:sz="4" w:space="0"/>
              <w:right w:val="single" w:color="000000" w:sz="4" w:space="0"/>
            </w:tcBorders>
            <w:vAlign w:val="center"/>
          </w:tcPr>
          <w:p w14:paraId="191AFE3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969" w:type="dxa"/>
            <w:tcBorders>
              <w:top w:val="single" w:color="000000" w:sz="4" w:space="0"/>
              <w:left w:val="single" w:color="000000" w:sz="4" w:space="0"/>
              <w:bottom w:val="single" w:color="000000" w:sz="4" w:space="0"/>
              <w:right w:val="single" w:color="000000" w:sz="4" w:space="0"/>
            </w:tcBorders>
            <w:vAlign w:val="center"/>
          </w:tcPr>
          <w:p w14:paraId="3F339E7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云端抗DDOS服务</w:t>
            </w:r>
          </w:p>
        </w:tc>
        <w:tc>
          <w:tcPr>
            <w:tcW w:w="1386" w:type="dxa"/>
            <w:tcBorders>
              <w:top w:val="single" w:color="000000" w:sz="4" w:space="0"/>
              <w:left w:val="single" w:color="000000" w:sz="4" w:space="0"/>
              <w:bottom w:val="single" w:color="000000" w:sz="4" w:space="0"/>
              <w:right w:val="single" w:color="000000" w:sz="4" w:space="0"/>
            </w:tcBorders>
            <w:vAlign w:val="center"/>
          </w:tcPr>
          <w:p w14:paraId="5465786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960" w:type="dxa"/>
            <w:tcBorders>
              <w:top w:val="single" w:color="000000" w:sz="4" w:space="0"/>
              <w:left w:val="single" w:color="000000" w:sz="4" w:space="0"/>
              <w:bottom w:val="single" w:color="000000" w:sz="4" w:space="0"/>
              <w:right w:val="single" w:color="000000" w:sz="4" w:space="0"/>
            </w:tcBorders>
            <w:vAlign w:val="center"/>
          </w:tcPr>
          <w:p w14:paraId="3385F89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元/月/站点 </w:t>
            </w:r>
          </w:p>
        </w:tc>
        <w:tc>
          <w:tcPr>
            <w:tcW w:w="1283" w:type="dxa"/>
            <w:tcBorders>
              <w:top w:val="single" w:color="000000" w:sz="4" w:space="0"/>
              <w:left w:val="single" w:color="000000" w:sz="4" w:space="0"/>
              <w:bottom w:val="single" w:color="000000" w:sz="4" w:space="0"/>
              <w:right w:val="single" w:color="000000" w:sz="4" w:space="0"/>
            </w:tcBorders>
            <w:vAlign w:val="center"/>
          </w:tcPr>
          <w:p w14:paraId="70C8205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站点</w:t>
            </w:r>
          </w:p>
        </w:tc>
        <w:tc>
          <w:tcPr>
            <w:tcW w:w="1171" w:type="dxa"/>
            <w:tcBorders>
              <w:top w:val="single" w:color="000000" w:sz="4" w:space="0"/>
              <w:left w:val="single" w:color="000000" w:sz="4" w:space="0"/>
              <w:bottom w:val="single" w:color="000000" w:sz="4" w:space="0"/>
              <w:right w:val="single" w:color="000000" w:sz="4" w:space="0"/>
            </w:tcBorders>
            <w:vAlign w:val="center"/>
          </w:tcPr>
          <w:p w14:paraId="23A117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r>
      <w:tr w14:paraId="123A4AEB">
        <w:tblPrEx>
          <w:tblCellMar>
            <w:top w:w="0" w:type="dxa"/>
            <w:left w:w="108" w:type="dxa"/>
            <w:bottom w:w="0" w:type="dxa"/>
            <w:right w:w="108" w:type="dxa"/>
          </w:tblCellMar>
        </w:tblPrEx>
        <w:trPr>
          <w:trHeight w:val="288" w:hRule="atLeast"/>
        </w:trPr>
        <w:tc>
          <w:tcPr>
            <w:tcW w:w="748" w:type="dxa"/>
            <w:tcBorders>
              <w:top w:val="single" w:color="000000" w:sz="4" w:space="0"/>
              <w:left w:val="single" w:color="000000" w:sz="4" w:space="0"/>
              <w:bottom w:val="single" w:color="000000" w:sz="4" w:space="0"/>
              <w:right w:val="single" w:color="000000" w:sz="4" w:space="0"/>
            </w:tcBorders>
            <w:vAlign w:val="center"/>
          </w:tcPr>
          <w:p w14:paraId="0DB2562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969" w:type="dxa"/>
            <w:tcBorders>
              <w:top w:val="single" w:color="000000" w:sz="4" w:space="0"/>
              <w:left w:val="single" w:color="000000" w:sz="4" w:space="0"/>
              <w:bottom w:val="single" w:color="000000" w:sz="4" w:space="0"/>
              <w:right w:val="single" w:color="000000" w:sz="4" w:space="0"/>
            </w:tcBorders>
            <w:vAlign w:val="center"/>
          </w:tcPr>
          <w:p w14:paraId="2D8A77A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云端APT防护服务</w:t>
            </w:r>
          </w:p>
        </w:tc>
        <w:tc>
          <w:tcPr>
            <w:tcW w:w="1386" w:type="dxa"/>
            <w:tcBorders>
              <w:top w:val="single" w:color="000000" w:sz="4" w:space="0"/>
              <w:left w:val="single" w:color="000000" w:sz="4" w:space="0"/>
              <w:bottom w:val="single" w:color="000000" w:sz="4" w:space="0"/>
              <w:right w:val="single" w:color="000000" w:sz="4" w:space="0"/>
            </w:tcBorders>
            <w:vAlign w:val="center"/>
          </w:tcPr>
          <w:p w14:paraId="04B0FB1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960" w:type="dxa"/>
            <w:tcBorders>
              <w:top w:val="single" w:color="000000" w:sz="4" w:space="0"/>
              <w:left w:val="single" w:color="000000" w:sz="4" w:space="0"/>
              <w:bottom w:val="single" w:color="000000" w:sz="4" w:space="0"/>
              <w:right w:val="single" w:color="000000" w:sz="4" w:space="0"/>
            </w:tcBorders>
            <w:vAlign w:val="center"/>
          </w:tcPr>
          <w:p w14:paraId="454CA49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元/月/套 </w:t>
            </w:r>
          </w:p>
        </w:tc>
        <w:tc>
          <w:tcPr>
            <w:tcW w:w="1283" w:type="dxa"/>
            <w:tcBorders>
              <w:top w:val="single" w:color="000000" w:sz="4" w:space="0"/>
              <w:left w:val="single" w:color="000000" w:sz="4" w:space="0"/>
              <w:bottom w:val="single" w:color="000000" w:sz="4" w:space="0"/>
              <w:right w:val="single" w:color="000000" w:sz="4" w:space="0"/>
            </w:tcBorders>
            <w:vAlign w:val="center"/>
          </w:tcPr>
          <w:p w14:paraId="72A0479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1171" w:type="dxa"/>
            <w:tcBorders>
              <w:top w:val="single" w:color="000000" w:sz="4" w:space="0"/>
              <w:left w:val="single" w:color="000000" w:sz="4" w:space="0"/>
              <w:bottom w:val="single" w:color="000000" w:sz="4" w:space="0"/>
              <w:right w:val="single" w:color="000000" w:sz="4" w:space="0"/>
            </w:tcBorders>
            <w:noWrap/>
            <w:vAlign w:val="center"/>
          </w:tcPr>
          <w:p w14:paraId="64DFA6F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r>
      <w:tr w14:paraId="37CBA764">
        <w:tblPrEx>
          <w:tblCellMar>
            <w:top w:w="0" w:type="dxa"/>
            <w:left w:w="108" w:type="dxa"/>
            <w:bottom w:w="0" w:type="dxa"/>
            <w:right w:w="108" w:type="dxa"/>
          </w:tblCellMar>
        </w:tblPrEx>
        <w:trPr>
          <w:trHeight w:val="288" w:hRule="atLeast"/>
        </w:trPr>
        <w:tc>
          <w:tcPr>
            <w:tcW w:w="748" w:type="dxa"/>
            <w:tcBorders>
              <w:top w:val="single" w:color="000000" w:sz="4" w:space="0"/>
              <w:left w:val="single" w:color="000000" w:sz="4" w:space="0"/>
              <w:bottom w:val="single" w:color="000000" w:sz="4" w:space="0"/>
              <w:right w:val="single" w:color="000000" w:sz="4" w:space="0"/>
            </w:tcBorders>
            <w:vAlign w:val="center"/>
          </w:tcPr>
          <w:p w14:paraId="43158F0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969" w:type="dxa"/>
            <w:tcBorders>
              <w:top w:val="single" w:color="000000" w:sz="4" w:space="0"/>
              <w:left w:val="single" w:color="000000" w:sz="4" w:space="0"/>
              <w:bottom w:val="single" w:color="000000" w:sz="4" w:space="0"/>
              <w:right w:val="single" w:color="000000" w:sz="4" w:space="0"/>
            </w:tcBorders>
            <w:vAlign w:val="center"/>
          </w:tcPr>
          <w:p w14:paraId="6B52766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数据库审计服务</w:t>
            </w:r>
          </w:p>
        </w:tc>
        <w:tc>
          <w:tcPr>
            <w:tcW w:w="1386" w:type="dxa"/>
            <w:tcBorders>
              <w:top w:val="single" w:color="000000" w:sz="4" w:space="0"/>
              <w:left w:val="single" w:color="000000" w:sz="4" w:space="0"/>
              <w:bottom w:val="single" w:color="000000" w:sz="4" w:space="0"/>
              <w:right w:val="single" w:color="000000" w:sz="4" w:space="0"/>
            </w:tcBorders>
            <w:vAlign w:val="center"/>
          </w:tcPr>
          <w:p w14:paraId="6A7676F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960" w:type="dxa"/>
            <w:tcBorders>
              <w:top w:val="single" w:color="000000" w:sz="4" w:space="0"/>
              <w:left w:val="single" w:color="000000" w:sz="4" w:space="0"/>
              <w:bottom w:val="single" w:color="000000" w:sz="4" w:space="0"/>
              <w:right w:val="single" w:color="000000" w:sz="4" w:space="0"/>
            </w:tcBorders>
            <w:vAlign w:val="center"/>
          </w:tcPr>
          <w:p w14:paraId="6805DD2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元/年/实例 </w:t>
            </w:r>
          </w:p>
        </w:tc>
        <w:tc>
          <w:tcPr>
            <w:tcW w:w="1283" w:type="dxa"/>
            <w:tcBorders>
              <w:top w:val="single" w:color="000000" w:sz="4" w:space="0"/>
              <w:left w:val="single" w:color="000000" w:sz="4" w:space="0"/>
              <w:bottom w:val="single" w:color="000000" w:sz="4" w:space="0"/>
              <w:right w:val="single" w:color="000000" w:sz="4" w:space="0"/>
            </w:tcBorders>
            <w:vAlign w:val="center"/>
          </w:tcPr>
          <w:p w14:paraId="6F8A6AF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实例</w:t>
            </w:r>
          </w:p>
        </w:tc>
        <w:tc>
          <w:tcPr>
            <w:tcW w:w="1171" w:type="dxa"/>
            <w:tcBorders>
              <w:top w:val="single" w:color="000000" w:sz="4" w:space="0"/>
              <w:left w:val="single" w:color="000000" w:sz="4" w:space="0"/>
              <w:bottom w:val="single" w:color="000000" w:sz="4" w:space="0"/>
              <w:right w:val="single" w:color="000000" w:sz="4" w:space="0"/>
            </w:tcBorders>
            <w:noWrap/>
            <w:vAlign w:val="center"/>
          </w:tcPr>
          <w:p w14:paraId="3A357CB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r>
      <w:tr w14:paraId="455505AD">
        <w:tblPrEx>
          <w:tblCellMar>
            <w:top w:w="0" w:type="dxa"/>
            <w:left w:w="108" w:type="dxa"/>
            <w:bottom w:w="0" w:type="dxa"/>
            <w:right w:w="108" w:type="dxa"/>
          </w:tblCellMar>
        </w:tblPrEx>
        <w:trPr>
          <w:trHeight w:val="379" w:hRule="atLeast"/>
        </w:trPr>
        <w:tc>
          <w:tcPr>
            <w:tcW w:w="748" w:type="dxa"/>
            <w:tcBorders>
              <w:top w:val="single" w:color="000000" w:sz="4" w:space="0"/>
              <w:left w:val="single" w:color="000000" w:sz="4" w:space="0"/>
              <w:bottom w:val="single" w:color="000000" w:sz="4" w:space="0"/>
              <w:right w:val="single" w:color="000000" w:sz="4" w:space="0"/>
            </w:tcBorders>
            <w:vAlign w:val="center"/>
          </w:tcPr>
          <w:p w14:paraId="54A6D75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969" w:type="dxa"/>
            <w:tcBorders>
              <w:top w:val="single" w:color="000000" w:sz="4" w:space="0"/>
              <w:left w:val="single" w:color="000000" w:sz="4" w:space="0"/>
              <w:bottom w:val="single" w:color="000000" w:sz="4" w:space="0"/>
              <w:right w:val="single" w:color="000000" w:sz="4" w:space="0"/>
            </w:tcBorders>
            <w:vAlign w:val="center"/>
          </w:tcPr>
          <w:p w14:paraId="649F85A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网页防篡改</w:t>
            </w:r>
          </w:p>
        </w:tc>
        <w:tc>
          <w:tcPr>
            <w:tcW w:w="1386" w:type="dxa"/>
            <w:tcBorders>
              <w:top w:val="single" w:color="000000" w:sz="4" w:space="0"/>
              <w:left w:val="single" w:color="000000" w:sz="4" w:space="0"/>
              <w:bottom w:val="single" w:color="000000" w:sz="4" w:space="0"/>
              <w:right w:val="single" w:color="000000" w:sz="4" w:space="0"/>
            </w:tcBorders>
            <w:vAlign w:val="center"/>
          </w:tcPr>
          <w:p w14:paraId="7F34B19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960" w:type="dxa"/>
            <w:tcBorders>
              <w:top w:val="single" w:color="000000" w:sz="4" w:space="0"/>
              <w:left w:val="single" w:color="000000" w:sz="4" w:space="0"/>
              <w:bottom w:val="single" w:color="000000" w:sz="4" w:space="0"/>
              <w:right w:val="single" w:color="000000" w:sz="4" w:space="0"/>
            </w:tcBorders>
            <w:vAlign w:val="center"/>
          </w:tcPr>
          <w:p w14:paraId="29CDEE0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元/月/IP </w:t>
            </w:r>
          </w:p>
        </w:tc>
        <w:tc>
          <w:tcPr>
            <w:tcW w:w="1283" w:type="dxa"/>
            <w:tcBorders>
              <w:top w:val="single" w:color="000000" w:sz="4" w:space="0"/>
              <w:left w:val="single" w:color="000000" w:sz="4" w:space="0"/>
              <w:bottom w:val="single" w:color="000000" w:sz="4" w:space="0"/>
              <w:right w:val="single" w:color="000000" w:sz="4" w:space="0"/>
            </w:tcBorders>
            <w:vAlign w:val="center"/>
          </w:tcPr>
          <w:p w14:paraId="5B61CF0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IP</w:t>
            </w:r>
          </w:p>
        </w:tc>
        <w:tc>
          <w:tcPr>
            <w:tcW w:w="1171" w:type="dxa"/>
            <w:tcBorders>
              <w:top w:val="single" w:color="000000" w:sz="4" w:space="0"/>
              <w:left w:val="single" w:color="000000" w:sz="4" w:space="0"/>
              <w:bottom w:val="single" w:color="000000" w:sz="4" w:space="0"/>
              <w:right w:val="single" w:color="000000" w:sz="4" w:space="0"/>
            </w:tcBorders>
            <w:noWrap/>
            <w:vAlign w:val="center"/>
          </w:tcPr>
          <w:p w14:paraId="5436458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r>
      <w:tr w14:paraId="208CCAB1">
        <w:tblPrEx>
          <w:tblCellMar>
            <w:top w:w="0" w:type="dxa"/>
            <w:left w:w="108" w:type="dxa"/>
            <w:bottom w:w="0" w:type="dxa"/>
            <w:right w:w="108" w:type="dxa"/>
          </w:tblCellMar>
        </w:tblPrEx>
        <w:trPr>
          <w:trHeight w:val="373" w:hRule="atLeast"/>
        </w:trPr>
        <w:tc>
          <w:tcPr>
            <w:tcW w:w="748" w:type="dxa"/>
            <w:tcBorders>
              <w:top w:val="single" w:color="000000" w:sz="4" w:space="0"/>
              <w:left w:val="single" w:color="000000" w:sz="4" w:space="0"/>
              <w:bottom w:val="single" w:color="000000" w:sz="4" w:space="0"/>
              <w:right w:val="single" w:color="000000" w:sz="4" w:space="0"/>
            </w:tcBorders>
            <w:vAlign w:val="center"/>
          </w:tcPr>
          <w:p w14:paraId="6C09027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969" w:type="dxa"/>
            <w:tcBorders>
              <w:top w:val="single" w:color="000000" w:sz="4" w:space="0"/>
              <w:left w:val="single" w:color="000000" w:sz="4" w:space="0"/>
              <w:bottom w:val="single" w:color="000000" w:sz="4" w:space="0"/>
              <w:right w:val="single" w:color="000000" w:sz="4" w:space="0"/>
            </w:tcBorders>
            <w:vAlign w:val="center"/>
          </w:tcPr>
          <w:p w14:paraId="4365B8E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短信服务</w:t>
            </w:r>
          </w:p>
        </w:tc>
        <w:tc>
          <w:tcPr>
            <w:tcW w:w="1386" w:type="dxa"/>
            <w:tcBorders>
              <w:top w:val="single" w:color="000000" w:sz="4" w:space="0"/>
              <w:left w:val="single" w:color="000000" w:sz="4" w:space="0"/>
              <w:bottom w:val="single" w:color="000000" w:sz="4" w:space="0"/>
              <w:right w:val="single" w:color="000000" w:sz="4" w:space="0"/>
            </w:tcBorders>
            <w:vAlign w:val="center"/>
          </w:tcPr>
          <w:p w14:paraId="5279C28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960" w:type="dxa"/>
            <w:tcBorders>
              <w:top w:val="single" w:color="000000" w:sz="4" w:space="0"/>
              <w:left w:val="single" w:color="000000" w:sz="4" w:space="0"/>
              <w:bottom w:val="single" w:color="000000" w:sz="4" w:space="0"/>
              <w:right w:val="single" w:color="000000" w:sz="4" w:space="0"/>
            </w:tcBorders>
            <w:vAlign w:val="center"/>
          </w:tcPr>
          <w:p w14:paraId="006E338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元/月/条 </w:t>
            </w:r>
          </w:p>
        </w:tc>
        <w:tc>
          <w:tcPr>
            <w:tcW w:w="1283" w:type="dxa"/>
            <w:tcBorders>
              <w:top w:val="single" w:color="000000" w:sz="4" w:space="0"/>
              <w:left w:val="single" w:color="000000" w:sz="4" w:space="0"/>
              <w:bottom w:val="single" w:color="000000" w:sz="4" w:space="0"/>
              <w:right w:val="single" w:color="000000" w:sz="4" w:space="0"/>
            </w:tcBorders>
            <w:vAlign w:val="center"/>
          </w:tcPr>
          <w:p w14:paraId="04C1331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条</w:t>
            </w:r>
          </w:p>
        </w:tc>
        <w:tc>
          <w:tcPr>
            <w:tcW w:w="1171" w:type="dxa"/>
            <w:tcBorders>
              <w:top w:val="single" w:color="000000" w:sz="4" w:space="0"/>
              <w:left w:val="single" w:color="000000" w:sz="4" w:space="0"/>
              <w:bottom w:val="single" w:color="000000" w:sz="4" w:space="0"/>
              <w:right w:val="single" w:color="000000" w:sz="4" w:space="0"/>
            </w:tcBorders>
            <w:vAlign w:val="center"/>
          </w:tcPr>
          <w:p w14:paraId="5DFBE69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200</w:t>
            </w:r>
          </w:p>
        </w:tc>
      </w:tr>
    </w:tbl>
    <w:p w14:paraId="360695DE">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2. 项目背景</w:t>
      </w:r>
    </w:p>
    <w:p w14:paraId="44B4609F">
      <w:pPr>
        <w:spacing w:line="360" w:lineRule="auto"/>
        <w:ind w:firstLine="482"/>
        <w:contextualSpacing/>
        <w:rPr>
          <w:rFonts w:hint="eastAsia" w:ascii="宋体" w:hAnsi="宋体" w:cs="宋体"/>
          <w:bCs/>
          <w:color w:val="auto"/>
          <w:sz w:val="24"/>
          <w:highlight w:val="none"/>
        </w:rPr>
      </w:pPr>
      <w:bookmarkStart w:id="0" w:name="OLE_LINK1"/>
      <w:r>
        <w:rPr>
          <w:rFonts w:hint="eastAsia" w:ascii="宋体" w:hAnsi="宋体" w:cs="宋体"/>
          <w:bCs/>
          <w:color w:val="auto"/>
          <w:sz w:val="24"/>
          <w:highlight w:val="none"/>
        </w:rPr>
        <w:t>为实现集约化建设和管理，充分发挥北京市市级政务云的作用，为市属行政业单位提供计算、存储、网络等云服务。按照《北京市市级政务云管理办法》（京经信函［2019］150号）的要求，北京市公共信用信息服务平台（以下简称“信用平台”）和信用中国（北京）网站（以下简称“信用网站”）已基于市级政务云建设和运行，并通过开展信息系统基础运维工作。采购政务云服务项目，用于租赁政务云上的云计算资源，以支撑信用平台和信用网站正常运行。</w:t>
      </w:r>
      <w:bookmarkEnd w:id="0"/>
    </w:p>
    <w:p w14:paraId="1C51F9A5">
      <w:pPr>
        <w:pStyle w:val="8"/>
        <w:spacing w:line="360" w:lineRule="auto"/>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二、商务要求</w:t>
      </w:r>
    </w:p>
    <w:p w14:paraId="0BE4436E">
      <w:pPr>
        <w:spacing w:line="360" w:lineRule="auto"/>
        <w:ind w:firstLine="480" w:firstLineChars="200"/>
        <w:contextualSpacing/>
        <w:rPr>
          <w:rFonts w:hint="eastAsia" w:ascii="宋体" w:hAnsi="宋体" w:cs="宋体"/>
          <w:i/>
          <w:color w:val="auto"/>
          <w:sz w:val="24"/>
          <w:highlight w:val="none"/>
        </w:rPr>
      </w:pPr>
      <w:r>
        <w:rPr>
          <w:rFonts w:hint="eastAsia" w:ascii="宋体" w:hAnsi="宋体" w:cs="宋体"/>
          <w:color w:val="auto"/>
          <w:sz w:val="24"/>
          <w:highlight w:val="none"/>
        </w:rPr>
        <w:t xml:space="preserve">3.1 </w:t>
      </w:r>
      <w:bookmarkStart w:id="1" w:name="OLE_LINK2"/>
      <w:r>
        <w:rPr>
          <w:rFonts w:hint="eastAsia" w:ascii="宋体" w:hAnsi="宋体" w:cs="宋体"/>
          <w:color w:val="auto"/>
          <w:sz w:val="24"/>
          <w:highlight w:val="none"/>
        </w:rPr>
        <w:t>交付</w:t>
      </w:r>
      <w:bookmarkStart w:id="2" w:name="OLE_LINK4"/>
      <w:r>
        <w:rPr>
          <w:rFonts w:hint="eastAsia" w:ascii="宋体" w:hAnsi="宋体" w:cs="宋体"/>
          <w:color w:val="auto"/>
          <w:sz w:val="24"/>
          <w:highlight w:val="none"/>
        </w:rPr>
        <w:t>（实施）</w:t>
      </w:r>
      <w:bookmarkEnd w:id="2"/>
      <w:r>
        <w:rPr>
          <w:rFonts w:hint="eastAsia" w:ascii="宋体" w:hAnsi="宋体" w:cs="宋体"/>
          <w:color w:val="auto"/>
          <w:sz w:val="24"/>
          <w:highlight w:val="none"/>
        </w:rPr>
        <w:t>的时间（期限）</w:t>
      </w:r>
      <w:bookmarkEnd w:id="1"/>
      <w:r>
        <w:rPr>
          <w:rFonts w:hint="eastAsia" w:ascii="宋体" w:hAnsi="宋体" w:cs="宋体"/>
          <w:color w:val="auto"/>
          <w:sz w:val="24"/>
          <w:highlight w:val="none"/>
        </w:rPr>
        <w:t>和</w:t>
      </w:r>
      <w:bookmarkStart w:id="3" w:name="OLE_LINK3"/>
      <w:r>
        <w:rPr>
          <w:rFonts w:hint="eastAsia" w:ascii="宋体" w:hAnsi="宋体" w:cs="宋体"/>
          <w:color w:val="auto"/>
          <w:sz w:val="24"/>
          <w:highlight w:val="none"/>
        </w:rPr>
        <w:t>地点（范围）</w:t>
      </w:r>
      <w:bookmarkEnd w:id="3"/>
    </w:p>
    <w:p w14:paraId="3CCE9D3D">
      <w:pPr>
        <w:pStyle w:val="5"/>
        <w:widowControl w:val="0"/>
        <w:adjustRightInd w:val="0"/>
        <w:snapToGrid w:val="0"/>
        <w:spacing w:before="0" w:beforeAutospacing="0" w:after="0" w:afterAutospacing="0" w:line="360" w:lineRule="auto"/>
        <w:ind w:firstLine="480" w:firstLineChars="200"/>
        <w:jc w:val="both"/>
        <w:textAlignment w:val="baseline"/>
        <w:rPr>
          <w:rFonts w:hint="eastAsia"/>
          <w:color w:val="auto"/>
          <w:highlight w:val="none"/>
        </w:rPr>
      </w:pPr>
      <w:r>
        <w:rPr>
          <w:rFonts w:hint="eastAsia"/>
          <w:color w:val="auto"/>
          <w:highlight w:val="none"/>
        </w:rPr>
        <w:t>交付（实施）的时间（期限）：12个月</w:t>
      </w:r>
    </w:p>
    <w:p w14:paraId="743E502D">
      <w:pPr>
        <w:pStyle w:val="5"/>
        <w:widowControl w:val="0"/>
        <w:adjustRightInd w:val="0"/>
        <w:snapToGrid w:val="0"/>
        <w:spacing w:before="0" w:beforeAutospacing="0" w:after="0" w:afterAutospacing="0" w:line="360" w:lineRule="auto"/>
        <w:ind w:firstLine="480" w:firstLineChars="200"/>
        <w:jc w:val="both"/>
        <w:textAlignment w:val="baseline"/>
        <w:rPr>
          <w:rFonts w:hint="eastAsia"/>
          <w:color w:val="auto"/>
          <w:highlight w:val="none"/>
        </w:rPr>
      </w:pPr>
      <w:r>
        <w:rPr>
          <w:rFonts w:hint="eastAsia"/>
          <w:color w:val="auto"/>
          <w:highlight w:val="none"/>
        </w:rPr>
        <w:t>交付（实施）的地点（范围）：</w:t>
      </w:r>
      <w:r>
        <w:rPr>
          <w:rFonts w:hint="eastAsia"/>
          <w:color w:val="auto"/>
          <w:kern w:val="2"/>
          <w:highlight w:val="none"/>
          <w:lang w:bidi="ar"/>
        </w:rPr>
        <w:t>政务云机房</w:t>
      </w:r>
    </w:p>
    <w:p w14:paraId="697EBC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3.2.付款条件（进度和方式）</w:t>
      </w:r>
    </w:p>
    <w:p w14:paraId="00440111">
      <w:pPr>
        <w:pStyle w:val="5"/>
        <w:widowControl w:val="0"/>
        <w:numPr>
          <w:ilvl w:val="-1"/>
          <w:numId w:val="0"/>
        </w:numPr>
        <w:adjustRightInd w:val="0"/>
        <w:snapToGrid w:val="0"/>
        <w:spacing w:before="0" w:beforeAutospacing="0" w:after="0" w:afterAutospacing="0" w:line="360" w:lineRule="auto"/>
        <w:ind w:left="0" w:firstLine="480" w:firstLineChars="200"/>
        <w:jc w:val="both"/>
        <w:textAlignment w:val="baseline"/>
        <w:rPr>
          <w:bCs/>
          <w:color w:val="auto"/>
          <w:highlight w:val="none"/>
        </w:rPr>
      </w:pPr>
      <w:r>
        <w:rPr>
          <w:rFonts w:hint="eastAsia"/>
          <w:color w:val="auto"/>
          <w:highlight w:val="none"/>
        </w:rPr>
        <w:t xml:space="preserve"> </w:t>
      </w:r>
      <w:r>
        <w:rPr>
          <w:rFonts w:hint="eastAsia"/>
          <w:bCs/>
          <w:color w:val="auto"/>
          <w:kern w:val="2"/>
          <w:highlight w:val="none"/>
          <w:lang w:bidi="ar"/>
        </w:rPr>
        <w:t>采购人和中标人双方在合同</w:t>
      </w:r>
      <w:r>
        <w:rPr>
          <w:rFonts w:hint="eastAsia"/>
          <w:bCs/>
          <w:color w:val="auto"/>
          <w:kern w:val="2"/>
          <w:highlight w:val="none"/>
          <w:lang w:eastAsia="zh-CN" w:bidi="ar"/>
        </w:rPr>
        <w:t>完成签署且采购人账户收到财政批复的项目资金之日起</w:t>
      </w:r>
      <w:r>
        <w:rPr>
          <w:rFonts w:hint="eastAsia"/>
          <w:bCs/>
          <w:color w:val="auto"/>
          <w:kern w:val="2"/>
          <w:highlight w:val="none"/>
          <w:u w:val="single"/>
          <w:lang w:bidi="ar"/>
        </w:rPr>
        <w:t>15</w:t>
      </w:r>
      <w:r>
        <w:rPr>
          <w:rFonts w:hint="eastAsia"/>
          <w:bCs/>
          <w:color w:val="auto"/>
          <w:kern w:val="2"/>
          <w:highlight w:val="none"/>
          <w:lang w:bidi="ar"/>
        </w:rPr>
        <w:t>个工作日内，采购人向中标人支付合同总金额的</w:t>
      </w:r>
      <w:r>
        <w:rPr>
          <w:rFonts w:hint="eastAsia"/>
          <w:bCs/>
          <w:color w:val="auto"/>
          <w:kern w:val="2"/>
          <w:highlight w:val="none"/>
          <w:u w:val="single"/>
          <w:lang w:bidi="ar"/>
        </w:rPr>
        <w:t>60</w:t>
      </w:r>
      <w:r>
        <w:rPr>
          <w:rFonts w:hint="eastAsia"/>
          <w:bCs/>
          <w:color w:val="auto"/>
          <w:kern w:val="2"/>
          <w:highlight w:val="none"/>
          <w:lang w:bidi="ar"/>
        </w:rPr>
        <w:t>%；</w:t>
      </w:r>
      <w:r>
        <w:rPr>
          <w:rFonts w:hint="eastAsia"/>
          <w:bCs/>
          <w:color w:val="auto"/>
          <w:highlight w:val="none"/>
        </w:rPr>
        <w:t>在规定日期前完成阶段性验收后，</w:t>
      </w:r>
      <w:r>
        <w:rPr>
          <w:rFonts w:hint="eastAsia"/>
          <w:bCs/>
          <w:color w:val="auto"/>
          <w:kern w:val="2"/>
          <w:highlight w:val="none"/>
          <w:lang w:bidi="ar"/>
        </w:rPr>
        <w:t>采购人</w:t>
      </w:r>
      <w:r>
        <w:rPr>
          <w:rFonts w:hint="eastAsia"/>
          <w:bCs/>
          <w:color w:val="auto"/>
          <w:highlight w:val="none"/>
        </w:rPr>
        <w:t>确认</w:t>
      </w:r>
      <w:r>
        <w:rPr>
          <w:rFonts w:hint="eastAsia"/>
          <w:bCs/>
          <w:color w:val="auto"/>
          <w:kern w:val="2"/>
          <w:highlight w:val="none"/>
          <w:lang w:bidi="ar"/>
        </w:rPr>
        <w:t>中标人</w:t>
      </w:r>
      <w:r>
        <w:rPr>
          <w:rFonts w:hint="eastAsia"/>
          <w:bCs/>
          <w:color w:val="auto"/>
          <w:highlight w:val="none"/>
        </w:rPr>
        <w:t>提交的项目进展情况报告，且收到</w:t>
      </w:r>
      <w:r>
        <w:rPr>
          <w:rFonts w:hint="eastAsia"/>
          <w:bCs/>
          <w:color w:val="auto"/>
          <w:kern w:val="2"/>
          <w:highlight w:val="none"/>
          <w:lang w:bidi="ar"/>
        </w:rPr>
        <w:t>中标人</w:t>
      </w:r>
      <w:r>
        <w:rPr>
          <w:rFonts w:hint="eastAsia"/>
          <w:bCs/>
          <w:color w:val="auto"/>
          <w:highlight w:val="none"/>
        </w:rPr>
        <w:t>提供的履约保函后15个工作日内，向</w:t>
      </w:r>
      <w:r>
        <w:rPr>
          <w:rFonts w:hint="eastAsia"/>
          <w:bCs/>
          <w:color w:val="auto"/>
          <w:kern w:val="2"/>
          <w:highlight w:val="none"/>
          <w:lang w:bidi="ar"/>
        </w:rPr>
        <w:t>中标人</w:t>
      </w:r>
      <w:r>
        <w:rPr>
          <w:rFonts w:hint="eastAsia"/>
          <w:bCs/>
          <w:color w:val="auto"/>
          <w:highlight w:val="none"/>
        </w:rPr>
        <w:t>支付合同总金额40%的尾款。</w:t>
      </w:r>
    </w:p>
    <w:p w14:paraId="473B214A">
      <w:pPr>
        <w:numPr>
          <w:ilvl w:val="255"/>
          <w:numId w:val="0"/>
        </w:numPr>
        <w:spacing w:beforeAutospacing="0" w:after="0" w:line="360" w:lineRule="auto"/>
        <w:ind w:left="0"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注：</w:t>
      </w:r>
      <w:r>
        <w:rPr>
          <w:rFonts w:hint="eastAsia" w:cs="宋体"/>
          <w:bCs/>
          <w:color w:val="auto"/>
          <w:sz w:val="24"/>
          <w:highlight w:val="none"/>
          <w:lang w:bidi="ar"/>
        </w:rPr>
        <w:t>中标人</w:t>
      </w:r>
      <w:r>
        <w:rPr>
          <w:rFonts w:hint="eastAsia" w:ascii="宋体" w:hAnsi="宋体" w:cs="宋体"/>
          <w:bCs/>
          <w:color w:val="auto"/>
          <w:sz w:val="24"/>
          <w:highlight w:val="none"/>
        </w:rPr>
        <w:t>应在</w:t>
      </w:r>
      <w:r>
        <w:rPr>
          <w:rFonts w:hint="eastAsia" w:cs="宋体"/>
          <w:bCs/>
          <w:color w:val="auto"/>
          <w:sz w:val="24"/>
          <w:highlight w:val="none"/>
          <w:lang w:bidi="ar"/>
        </w:rPr>
        <w:t>采购人</w:t>
      </w:r>
      <w:r>
        <w:rPr>
          <w:rFonts w:hint="eastAsia" w:ascii="宋体" w:hAnsi="宋体" w:cs="宋体"/>
          <w:bCs/>
          <w:color w:val="auto"/>
          <w:sz w:val="24"/>
          <w:highlight w:val="none"/>
        </w:rPr>
        <w:t>付款前向</w:t>
      </w:r>
      <w:r>
        <w:rPr>
          <w:rFonts w:hint="eastAsia" w:cs="宋体"/>
          <w:bCs/>
          <w:color w:val="auto"/>
          <w:sz w:val="24"/>
          <w:highlight w:val="none"/>
          <w:lang w:bidi="ar"/>
        </w:rPr>
        <w:t>采购人</w:t>
      </w:r>
      <w:r>
        <w:rPr>
          <w:rFonts w:hint="eastAsia" w:ascii="宋体" w:hAnsi="宋体" w:cs="宋体"/>
          <w:bCs/>
          <w:color w:val="auto"/>
          <w:sz w:val="24"/>
          <w:highlight w:val="none"/>
        </w:rPr>
        <w:t>开具正规、合法发票，否则</w:t>
      </w:r>
      <w:r>
        <w:rPr>
          <w:rFonts w:hint="eastAsia" w:cs="宋体"/>
          <w:bCs/>
          <w:color w:val="auto"/>
          <w:sz w:val="24"/>
          <w:highlight w:val="none"/>
          <w:lang w:bidi="ar"/>
        </w:rPr>
        <w:t>采购人</w:t>
      </w:r>
      <w:r>
        <w:rPr>
          <w:rFonts w:hint="eastAsia" w:ascii="宋体" w:hAnsi="宋体" w:cs="宋体"/>
          <w:bCs/>
          <w:color w:val="auto"/>
          <w:sz w:val="24"/>
          <w:highlight w:val="none"/>
        </w:rPr>
        <w:t>有权暂不付款且不承担逾期付款的违约责任。因</w:t>
      </w:r>
      <w:r>
        <w:rPr>
          <w:rFonts w:hint="eastAsia" w:cs="宋体"/>
          <w:bCs/>
          <w:color w:val="auto"/>
          <w:sz w:val="24"/>
          <w:highlight w:val="none"/>
          <w:lang w:bidi="ar"/>
        </w:rPr>
        <w:t>中标人</w:t>
      </w:r>
      <w:r>
        <w:rPr>
          <w:rFonts w:hint="eastAsia" w:ascii="宋体" w:hAnsi="宋体" w:cs="宋体"/>
          <w:bCs/>
          <w:color w:val="auto"/>
          <w:sz w:val="24"/>
          <w:highlight w:val="none"/>
        </w:rPr>
        <w:t>原因（包括但不限于未开具发票、开具发票不符合</w:t>
      </w:r>
      <w:r>
        <w:rPr>
          <w:rFonts w:hint="eastAsia" w:cs="宋体"/>
          <w:bCs/>
          <w:color w:val="auto"/>
          <w:sz w:val="24"/>
          <w:highlight w:val="none"/>
          <w:lang w:bidi="ar"/>
        </w:rPr>
        <w:t>采购人</w:t>
      </w:r>
      <w:r>
        <w:rPr>
          <w:rFonts w:hint="eastAsia" w:ascii="宋体" w:hAnsi="宋体" w:cs="宋体"/>
          <w:bCs/>
          <w:color w:val="auto"/>
          <w:sz w:val="24"/>
          <w:highlight w:val="none"/>
        </w:rPr>
        <w:t>要求等）导致</w:t>
      </w:r>
      <w:r>
        <w:rPr>
          <w:rFonts w:hint="eastAsia" w:cs="宋体"/>
          <w:bCs/>
          <w:color w:val="auto"/>
          <w:sz w:val="24"/>
          <w:highlight w:val="none"/>
          <w:lang w:bidi="ar"/>
        </w:rPr>
        <w:t>采购人</w:t>
      </w:r>
      <w:r>
        <w:rPr>
          <w:rFonts w:hint="eastAsia" w:ascii="宋体" w:hAnsi="宋体" w:cs="宋体"/>
          <w:bCs/>
          <w:color w:val="auto"/>
          <w:sz w:val="24"/>
          <w:highlight w:val="none"/>
        </w:rPr>
        <w:t>因财政政策原因未能付款，相应责任由</w:t>
      </w:r>
      <w:r>
        <w:rPr>
          <w:rFonts w:hint="eastAsia" w:cs="宋体"/>
          <w:bCs/>
          <w:color w:val="auto"/>
          <w:sz w:val="24"/>
          <w:highlight w:val="none"/>
          <w:lang w:bidi="ar"/>
        </w:rPr>
        <w:t>中标人</w:t>
      </w:r>
      <w:r>
        <w:rPr>
          <w:rFonts w:hint="eastAsia" w:ascii="宋体" w:hAnsi="宋体" w:cs="宋体"/>
          <w:bCs/>
          <w:color w:val="auto"/>
          <w:sz w:val="24"/>
          <w:highlight w:val="none"/>
        </w:rPr>
        <w:t>承担。</w:t>
      </w:r>
    </w:p>
    <w:p w14:paraId="5A2A50E9">
      <w:pPr>
        <w:pStyle w:val="5"/>
        <w:widowControl w:val="0"/>
        <w:adjustRightInd w:val="0"/>
        <w:snapToGrid w:val="0"/>
        <w:spacing w:before="0" w:beforeAutospacing="0" w:after="0" w:afterAutospacing="0" w:line="360" w:lineRule="auto"/>
        <w:ind w:firstLine="0" w:firstLineChars="0"/>
        <w:jc w:val="both"/>
        <w:textAlignment w:val="baseline"/>
        <w:rPr>
          <w:rFonts w:hint="eastAsia"/>
          <w:color w:val="auto"/>
          <w:highlight w:val="none"/>
        </w:rPr>
      </w:pPr>
    </w:p>
    <w:p w14:paraId="55CC8596">
      <w:pPr>
        <w:pStyle w:val="8"/>
        <w:spacing w:line="360" w:lineRule="auto"/>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三、技术要求</w:t>
      </w:r>
    </w:p>
    <w:p w14:paraId="41B32183">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1. 基本要求</w:t>
      </w:r>
    </w:p>
    <w:p w14:paraId="278CC2B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1.1 采购标的需实现的功能或者目标</w:t>
      </w:r>
    </w:p>
    <w:p w14:paraId="6DE26C86">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本项目的总体目标是通过租用政务云平台基础、扩展和其他服务，对入云业务系统的运行环境进行持续优化，提供可靠、稳定、安全的政务云服务，具体包括：</w:t>
      </w:r>
    </w:p>
    <w:p w14:paraId="6A9ECAA5">
      <w:pPr>
        <w:numPr>
          <w:ilvl w:val="0"/>
          <w:numId w:val="6"/>
        </w:numPr>
        <w:tabs>
          <w:tab w:val="left" w:pos="1060"/>
        </w:tabs>
        <w:snapToGrid w:val="0"/>
        <w:spacing w:line="360" w:lineRule="auto"/>
        <w:ind w:left="0"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提供政务云租赁服务，包括</w:t>
      </w:r>
      <w:r>
        <w:rPr>
          <w:rFonts w:hint="eastAsia" w:ascii="宋体" w:hAnsi="宋体" w:cs="宋体"/>
          <w:color w:val="auto"/>
          <w:sz w:val="24"/>
          <w:highlight w:val="none"/>
        </w:rPr>
        <w:t>计算服务、存储服务、网络服务、云端抗DDOS服务、云端APT防护服务和数据库审计等服务。</w:t>
      </w:r>
    </w:p>
    <w:p w14:paraId="7B577F9F">
      <w:pPr>
        <w:numPr>
          <w:ilvl w:val="0"/>
          <w:numId w:val="6"/>
        </w:numPr>
        <w:tabs>
          <w:tab w:val="left" w:pos="1060"/>
        </w:tabs>
        <w:snapToGrid w:val="0"/>
        <w:spacing w:line="360" w:lineRule="auto"/>
        <w:ind w:left="0"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提供7*24运维保障，做好重大活动和节假日应急值守保障服务，确保各系统在政务云环境中可靠稳定运行。</w:t>
      </w:r>
    </w:p>
    <w:p w14:paraId="37A9EC9D">
      <w:pPr>
        <w:numPr>
          <w:ilvl w:val="0"/>
          <w:numId w:val="6"/>
        </w:numPr>
        <w:tabs>
          <w:tab w:val="left" w:pos="1060"/>
        </w:tabs>
        <w:snapToGrid w:val="0"/>
        <w:spacing w:line="360" w:lineRule="auto"/>
        <w:ind w:left="0"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服务期内，投标人须完成信息系统的日常运维和安全运维服务工作（包括但不限于：云平台服务、日常技术支持、系统日常维护、服务规范、安全及保密要求、响应的及时性），确保入云系统安全、稳定的运行。</w:t>
      </w:r>
    </w:p>
    <w:p w14:paraId="240762E5">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 服务内容及要求/货物技术要求</w:t>
      </w:r>
    </w:p>
    <w:p w14:paraId="64A56BAD">
      <w:pPr>
        <w:widowControl/>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2.1采购标的需满足的服务标准、期限、效率等要求</w:t>
      </w:r>
    </w:p>
    <w:p w14:paraId="626079A5">
      <w:pPr>
        <w:widowControl/>
        <w:spacing w:line="360" w:lineRule="auto"/>
        <w:ind w:firstLine="480" w:firstLineChars="200"/>
        <w:contextualSpacing/>
        <w:rPr>
          <w:rFonts w:hint="eastAsia" w:ascii="宋体" w:hAnsi="宋体" w:cs="宋体"/>
          <w:color w:val="auto"/>
          <w:sz w:val="24"/>
          <w:highlight w:val="none"/>
        </w:rPr>
      </w:pPr>
      <w:bookmarkStart w:id="4" w:name="_Toc14505"/>
      <w:r>
        <w:rPr>
          <w:rFonts w:hint="eastAsia" w:ascii="宋体" w:hAnsi="宋体" w:cs="宋体"/>
          <w:color w:val="auto"/>
          <w:sz w:val="24"/>
          <w:highlight w:val="none"/>
        </w:rPr>
        <w:t>2.1.1云主机服务</w:t>
      </w:r>
      <w:bookmarkEnd w:id="4"/>
    </w:p>
    <w:p w14:paraId="76524351">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（1）服务内容</w:t>
      </w:r>
    </w:p>
    <w:p w14:paraId="3316A366">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按照采购人的具体需求，提供云主机服务，包括：x86平台云主机和物理服务器租赁服务，按需求对CPU及内存进行动态调整，实现合理的计算资源配置。在提供服务过程中做好与采购人和对应项目应用开发厂商的协调沟通工作。</w:t>
      </w:r>
    </w:p>
    <w:p w14:paraId="220E1E84">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（2）服务标准</w:t>
      </w:r>
    </w:p>
    <w:p w14:paraId="23563E57">
      <w:pPr>
        <w:pStyle w:val="4"/>
        <w:numPr>
          <w:ilvl w:val="0"/>
          <w:numId w:val="7"/>
        </w:numPr>
        <w:snapToGrid w:val="0"/>
        <w:ind w:firstLine="480"/>
        <w:rPr>
          <w:rFonts w:hint="eastAsia" w:hAnsi="宋体" w:cs="宋体"/>
          <w:color w:val="auto"/>
          <w:highlight w:val="none"/>
        </w:rPr>
      </w:pPr>
      <w:r>
        <w:rPr>
          <w:rFonts w:hint="eastAsia" w:hAnsi="宋体" w:cs="宋体"/>
          <w:color w:val="auto"/>
          <w:highlight w:val="none"/>
        </w:rPr>
        <w:t>云主机应实现物理机的全部功能，如具有CPU、存储、内存、网卡等资源，可以指定单独的IP地址等；</w:t>
      </w:r>
    </w:p>
    <w:p w14:paraId="3337B30F">
      <w:pPr>
        <w:pStyle w:val="4"/>
        <w:numPr>
          <w:ilvl w:val="0"/>
          <w:numId w:val="7"/>
        </w:numPr>
        <w:snapToGrid w:val="0"/>
        <w:ind w:firstLine="480"/>
        <w:rPr>
          <w:rFonts w:hint="eastAsia" w:hAnsi="宋体" w:cs="宋体"/>
          <w:color w:val="auto"/>
          <w:highlight w:val="none"/>
        </w:rPr>
      </w:pPr>
      <w:r>
        <w:rPr>
          <w:rFonts w:hint="eastAsia" w:hAnsi="宋体" w:cs="宋体"/>
          <w:color w:val="auto"/>
          <w:highlight w:val="none"/>
        </w:rPr>
        <w:t>支持存储裸设备映射（RDM），可以将存储设备上的LUN直接映射给虚拟机使用，并且支持SCSI指令使用透传模式或者非透传模式；</w:t>
      </w:r>
    </w:p>
    <w:p w14:paraId="197BF1CD">
      <w:pPr>
        <w:pStyle w:val="4"/>
        <w:numPr>
          <w:ilvl w:val="0"/>
          <w:numId w:val="7"/>
        </w:numPr>
        <w:snapToGrid w:val="0"/>
        <w:ind w:firstLine="480"/>
        <w:rPr>
          <w:rFonts w:hint="eastAsia" w:hAnsi="宋体" w:cs="宋体"/>
          <w:color w:val="auto"/>
          <w:highlight w:val="none"/>
        </w:rPr>
      </w:pPr>
      <w:r>
        <w:rPr>
          <w:rFonts w:hint="eastAsia" w:hAnsi="宋体" w:cs="宋体"/>
          <w:color w:val="auto"/>
          <w:highlight w:val="none"/>
        </w:rPr>
        <w:t>应满足云主机之间、CPU之间隔离保护要求；</w:t>
      </w:r>
    </w:p>
    <w:p w14:paraId="44E8D5F0">
      <w:pPr>
        <w:pStyle w:val="4"/>
        <w:numPr>
          <w:ilvl w:val="0"/>
          <w:numId w:val="7"/>
        </w:numPr>
        <w:snapToGrid w:val="0"/>
        <w:ind w:firstLine="480"/>
        <w:rPr>
          <w:rFonts w:hint="eastAsia" w:hAnsi="宋体" w:cs="宋体"/>
          <w:color w:val="auto"/>
          <w:highlight w:val="none"/>
        </w:rPr>
      </w:pPr>
      <w:r>
        <w:rPr>
          <w:rFonts w:hint="eastAsia" w:hAnsi="宋体" w:cs="宋体"/>
          <w:color w:val="auto"/>
          <w:highlight w:val="none"/>
        </w:rPr>
        <w:t>支持资源的动态调整，根据业务的负载情况实现业务系统虚拟机的动态扩展和回收；</w:t>
      </w:r>
    </w:p>
    <w:p w14:paraId="1FE093C9">
      <w:pPr>
        <w:pStyle w:val="4"/>
        <w:numPr>
          <w:ilvl w:val="0"/>
          <w:numId w:val="7"/>
        </w:numPr>
        <w:snapToGrid w:val="0"/>
        <w:ind w:firstLine="480"/>
        <w:rPr>
          <w:rFonts w:hint="eastAsia" w:hAnsi="宋体" w:cs="宋体"/>
          <w:color w:val="auto"/>
          <w:highlight w:val="none"/>
        </w:rPr>
      </w:pPr>
      <w:r>
        <w:rPr>
          <w:rFonts w:hint="eastAsia" w:hAnsi="宋体" w:cs="宋体"/>
          <w:color w:val="auto"/>
          <w:highlight w:val="none"/>
        </w:rPr>
        <w:t>支持异构虚拟化能力；</w:t>
      </w:r>
    </w:p>
    <w:p w14:paraId="4F11085D">
      <w:pPr>
        <w:pStyle w:val="4"/>
        <w:numPr>
          <w:ilvl w:val="0"/>
          <w:numId w:val="7"/>
        </w:numPr>
        <w:snapToGrid w:val="0"/>
        <w:ind w:firstLine="480"/>
        <w:rPr>
          <w:rFonts w:hint="eastAsia" w:hAnsi="宋体" w:cs="宋体"/>
          <w:color w:val="auto"/>
          <w:highlight w:val="none"/>
        </w:rPr>
      </w:pPr>
      <w:r>
        <w:rPr>
          <w:rFonts w:hint="eastAsia" w:hAnsi="宋体" w:cs="宋体"/>
          <w:color w:val="auto"/>
          <w:highlight w:val="none"/>
        </w:rPr>
        <w:t>云主机出现故障时，支持自动重启或者迁移，保障业务连续性；</w:t>
      </w:r>
    </w:p>
    <w:p w14:paraId="3B15A474">
      <w:pPr>
        <w:pStyle w:val="4"/>
        <w:numPr>
          <w:ilvl w:val="0"/>
          <w:numId w:val="7"/>
        </w:numPr>
        <w:snapToGrid w:val="0"/>
        <w:ind w:firstLine="480"/>
        <w:rPr>
          <w:rFonts w:hint="eastAsia" w:hAnsi="宋体" w:cs="宋体"/>
          <w:color w:val="auto"/>
          <w:highlight w:val="none"/>
        </w:rPr>
      </w:pPr>
      <w:r>
        <w:rPr>
          <w:rFonts w:hint="eastAsia" w:hAnsi="宋体" w:cs="宋体"/>
          <w:color w:val="auto"/>
          <w:highlight w:val="none"/>
        </w:rPr>
        <w:t>支持虚拟机热迁移，可在不同代CPU资源池中进行虚拟机热迁移；</w:t>
      </w:r>
    </w:p>
    <w:p w14:paraId="4AEDA21B">
      <w:pPr>
        <w:pStyle w:val="4"/>
        <w:numPr>
          <w:ilvl w:val="0"/>
          <w:numId w:val="7"/>
        </w:numPr>
        <w:snapToGrid w:val="0"/>
        <w:ind w:firstLine="480"/>
        <w:rPr>
          <w:rFonts w:hint="eastAsia" w:hAnsi="宋体" w:cs="宋体"/>
          <w:color w:val="auto"/>
          <w:highlight w:val="none"/>
        </w:rPr>
      </w:pPr>
      <w:r>
        <w:rPr>
          <w:rFonts w:hint="eastAsia" w:hAnsi="宋体" w:cs="宋体"/>
          <w:color w:val="auto"/>
          <w:highlight w:val="none"/>
        </w:rPr>
        <w:t>云计算资源性能要求包括但不限于如下：</w:t>
      </w:r>
    </w:p>
    <w:p w14:paraId="716713F4">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物理服务器 CPU 主频应不低于2.40GHz；</w:t>
      </w:r>
    </w:p>
    <w:p w14:paraId="084161E1">
      <w:pPr>
        <w:pStyle w:val="4"/>
        <w:autoSpaceDE/>
        <w:autoSpaceDN/>
        <w:adjustRightInd/>
        <w:snapToGrid w:val="0"/>
        <w:ind w:firstLine="960" w:firstLineChars="400"/>
        <w:rPr>
          <w:rFonts w:hint="eastAsia" w:hAnsi="宋体" w:cs="宋体"/>
          <w:color w:val="auto"/>
          <w:highlight w:val="none"/>
        </w:rPr>
      </w:pPr>
      <w:r>
        <w:rPr>
          <w:rFonts w:hint="eastAsia" w:hAnsi="宋体" w:cs="宋体"/>
          <w:color w:val="auto"/>
          <w:highlight w:val="none"/>
        </w:rPr>
        <w:t>主机内存硬件配置不低于DDR4-2400MHz；</w:t>
      </w:r>
    </w:p>
    <w:p w14:paraId="2D614CA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可用性不低于99.99%。</w:t>
      </w:r>
    </w:p>
    <w:p w14:paraId="20E50C19">
      <w:pPr>
        <w:widowControl/>
        <w:spacing w:line="360" w:lineRule="auto"/>
        <w:ind w:firstLine="480" w:firstLineChars="200"/>
        <w:contextualSpacing/>
        <w:rPr>
          <w:rFonts w:hint="eastAsia" w:ascii="宋体" w:hAnsi="宋体" w:cs="宋体"/>
          <w:color w:val="auto"/>
          <w:sz w:val="24"/>
          <w:highlight w:val="none"/>
        </w:rPr>
      </w:pPr>
      <w:bookmarkStart w:id="5" w:name="OLE_LINK7"/>
      <w:bookmarkStart w:id="6" w:name="_Toc31277"/>
      <w:r>
        <w:rPr>
          <w:rFonts w:hint="eastAsia" w:ascii="宋体" w:hAnsi="宋体" w:cs="宋体"/>
          <w:color w:val="auto"/>
          <w:sz w:val="24"/>
          <w:highlight w:val="none"/>
        </w:rPr>
        <w:t>2.1.2</w:t>
      </w:r>
      <w:bookmarkEnd w:id="5"/>
      <w:r>
        <w:rPr>
          <w:rFonts w:hint="eastAsia" w:ascii="宋体" w:hAnsi="宋体" w:cs="宋体"/>
          <w:color w:val="auto"/>
          <w:sz w:val="24"/>
          <w:highlight w:val="none"/>
        </w:rPr>
        <w:t>存储服务</w:t>
      </w:r>
      <w:bookmarkEnd w:id="6"/>
    </w:p>
    <w:p w14:paraId="104B81B2">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（1）服务内容</w:t>
      </w:r>
    </w:p>
    <w:p w14:paraId="61AF02AC">
      <w:pPr>
        <w:pStyle w:val="4"/>
        <w:snapToGrid w:val="0"/>
        <w:ind w:firstLine="480"/>
        <w:rPr>
          <w:rFonts w:hint="eastAsia" w:hAnsi="宋体" w:cs="宋体"/>
          <w:color w:val="auto"/>
          <w:highlight w:val="none"/>
        </w:rPr>
      </w:pPr>
      <w:r>
        <w:rPr>
          <w:rFonts w:hint="eastAsia" w:hAnsi="宋体" w:cs="宋体"/>
          <w:color w:val="auto"/>
          <w:highlight w:val="none"/>
        </w:rPr>
        <w:t>按照采购人的具体需求，提供存储服务，包括：普通性能存储、高性能存储和本地备份服务，实现合理的存储资源配置。在提供政务云存储的服务过程中需做好采购人和对应项目应用开发厂商的协调沟通工作。</w:t>
      </w:r>
    </w:p>
    <w:p w14:paraId="7C729160">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（2）服务标准</w:t>
      </w:r>
    </w:p>
    <w:p w14:paraId="5EE5D138">
      <w:pPr>
        <w:pStyle w:val="4"/>
        <w:numPr>
          <w:ilvl w:val="0"/>
          <w:numId w:val="8"/>
        </w:numPr>
        <w:snapToGrid w:val="0"/>
        <w:ind w:firstLine="480"/>
        <w:rPr>
          <w:rFonts w:hint="eastAsia" w:hAnsi="宋体" w:cs="宋体"/>
          <w:color w:val="auto"/>
          <w:highlight w:val="none"/>
        </w:rPr>
      </w:pPr>
      <w:r>
        <w:rPr>
          <w:rFonts w:hint="eastAsia" w:hAnsi="宋体" w:cs="宋体"/>
          <w:color w:val="auto"/>
          <w:highlight w:val="none"/>
        </w:rPr>
        <w:t>支持结构化数据、半结构化数据和非结构化数据等多种数据类型存储；</w:t>
      </w:r>
    </w:p>
    <w:p w14:paraId="7D876116">
      <w:pPr>
        <w:pStyle w:val="4"/>
        <w:numPr>
          <w:ilvl w:val="0"/>
          <w:numId w:val="8"/>
        </w:numPr>
        <w:snapToGrid w:val="0"/>
        <w:ind w:firstLine="480"/>
        <w:rPr>
          <w:rFonts w:hint="eastAsia" w:hAnsi="宋体" w:cs="宋体"/>
          <w:color w:val="auto"/>
          <w:highlight w:val="none"/>
        </w:rPr>
      </w:pPr>
      <w:r>
        <w:rPr>
          <w:rFonts w:hint="eastAsia" w:hAnsi="宋体" w:cs="宋体"/>
          <w:color w:val="auto"/>
          <w:highlight w:val="none"/>
        </w:rPr>
        <w:t>支持块存储、对象存储、文件存储等多种存储方法，满足数据备份、视频存储等不同应用场景使用要求；</w:t>
      </w:r>
    </w:p>
    <w:p w14:paraId="4E9D9CB6">
      <w:pPr>
        <w:pStyle w:val="4"/>
        <w:numPr>
          <w:ilvl w:val="0"/>
          <w:numId w:val="8"/>
        </w:numPr>
        <w:snapToGrid w:val="0"/>
        <w:ind w:firstLine="480"/>
        <w:rPr>
          <w:rFonts w:hint="eastAsia" w:hAnsi="宋体" w:cs="宋体"/>
          <w:color w:val="auto"/>
          <w:highlight w:val="none"/>
        </w:rPr>
      </w:pPr>
      <w:r>
        <w:rPr>
          <w:rFonts w:hint="eastAsia" w:hAnsi="宋体" w:cs="宋体"/>
          <w:color w:val="auto"/>
          <w:highlight w:val="none"/>
        </w:rPr>
        <w:t>支持存储资源扩展能力，例如：PB级扩展；</w:t>
      </w:r>
    </w:p>
    <w:p w14:paraId="2A6353E4">
      <w:pPr>
        <w:pStyle w:val="4"/>
        <w:numPr>
          <w:ilvl w:val="0"/>
          <w:numId w:val="8"/>
        </w:numPr>
        <w:snapToGrid w:val="0"/>
        <w:ind w:firstLine="480"/>
        <w:rPr>
          <w:rFonts w:hint="eastAsia" w:hAnsi="宋体" w:cs="宋体"/>
          <w:color w:val="auto"/>
          <w:highlight w:val="none"/>
        </w:rPr>
      </w:pPr>
      <w:r>
        <w:rPr>
          <w:rFonts w:hint="eastAsia" w:hAnsi="宋体" w:cs="宋体"/>
          <w:color w:val="auto"/>
          <w:highlight w:val="none"/>
        </w:rPr>
        <w:t>支持磁盘容错技术，如磁盘故障后节点的自动平衡和重构、硬盘故障检测和处理、集群节点出现单盘故障时不影响业务运行等；</w:t>
      </w:r>
    </w:p>
    <w:p w14:paraId="4A5644DC">
      <w:pPr>
        <w:pStyle w:val="4"/>
        <w:numPr>
          <w:ilvl w:val="0"/>
          <w:numId w:val="8"/>
        </w:numPr>
        <w:snapToGrid w:val="0"/>
        <w:ind w:firstLine="480"/>
        <w:rPr>
          <w:rFonts w:hint="eastAsia" w:hAnsi="宋体" w:cs="宋体"/>
          <w:color w:val="auto"/>
          <w:highlight w:val="none"/>
        </w:rPr>
      </w:pPr>
      <w:r>
        <w:rPr>
          <w:rFonts w:hint="eastAsia" w:hAnsi="宋体" w:cs="宋体"/>
          <w:color w:val="auto"/>
          <w:highlight w:val="none"/>
        </w:rPr>
        <w:t>存储资源性能要求包括但不限于如下：</w:t>
      </w:r>
    </w:p>
    <w:p w14:paraId="7AD31F01">
      <w:pPr>
        <w:pStyle w:val="4"/>
        <w:autoSpaceDE/>
        <w:autoSpaceDN/>
        <w:adjustRightInd/>
        <w:snapToGrid w:val="0"/>
        <w:ind w:firstLine="960" w:firstLineChars="400"/>
        <w:rPr>
          <w:rFonts w:hint="eastAsia" w:hAnsi="宋体" w:cs="宋体"/>
          <w:color w:val="auto"/>
          <w:highlight w:val="none"/>
        </w:rPr>
      </w:pPr>
      <w:r>
        <w:rPr>
          <w:rFonts w:hint="eastAsia" w:hAnsi="宋体" w:cs="宋体"/>
          <w:color w:val="auto"/>
          <w:highlight w:val="none"/>
        </w:rPr>
        <w:t>吞吐量：高性能存储系统的读写带宽应不低于1000MB/s,IOPS不低于20000;普通性能存储系统的读写带宽应不低于200MB/s，IOPS不低于1000。</w:t>
      </w:r>
    </w:p>
    <w:p w14:paraId="334A5797">
      <w:pPr>
        <w:pStyle w:val="4"/>
        <w:autoSpaceDE/>
        <w:autoSpaceDN/>
        <w:adjustRightInd/>
        <w:snapToGrid w:val="0"/>
        <w:ind w:firstLine="960" w:firstLineChars="400"/>
        <w:rPr>
          <w:rFonts w:hint="eastAsia" w:hAnsi="宋体" w:cs="宋体"/>
          <w:color w:val="auto"/>
          <w:highlight w:val="none"/>
        </w:rPr>
      </w:pPr>
      <w:r>
        <w:rPr>
          <w:rFonts w:hint="eastAsia" w:hAnsi="宋体" w:cs="宋体"/>
          <w:color w:val="auto"/>
          <w:highlight w:val="none"/>
        </w:rPr>
        <w:t>支持高可靠性，可靠性不低于99.9999%；</w:t>
      </w:r>
    </w:p>
    <w:p w14:paraId="6F9EB4FA">
      <w:pPr>
        <w:pStyle w:val="4"/>
        <w:snapToGrid w:val="0"/>
        <w:ind w:firstLine="480"/>
        <w:rPr>
          <w:rFonts w:hint="eastAsia" w:hAnsi="宋体" w:cs="宋体"/>
          <w:color w:val="auto"/>
          <w:highlight w:val="none"/>
        </w:rPr>
      </w:pPr>
      <w:bookmarkStart w:id="7" w:name="_Toc23192"/>
      <w:r>
        <w:rPr>
          <w:rFonts w:hint="eastAsia" w:hAnsi="宋体" w:cs="宋体"/>
          <w:color w:val="auto"/>
          <w:highlight w:val="none"/>
        </w:rPr>
        <w:t>2.1.3网络服务</w:t>
      </w:r>
      <w:bookmarkEnd w:id="7"/>
    </w:p>
    <w:p w14:paraId="15A6F287">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（1）服务内容</w:t>
      </w:r>
    </w:p>
    <w:p w14:paraId="676F4A70">
      <w:pPr>
        <w:pStyle w:val="4"/>
        <w:numPr>
          <w:ilvl w:val="0"/>
          <w:numId w:val="9"/>
        </w:numPr>
        <w:snapToGrid w:val="0"/>
        <w:ind w:firstLine="480"/>
        <w:rPr>
          <w:rFonts w:hint="eastAsia" w:hAnsi="宋体" w:cs="宋体"/>
          <w:color w:val="auto"/>
          <w:highlight w:val="none"/>
        </w:rPr>
      </w:pPr>
      <w:r>
        <w:rPr>
          <w:rFonts w:hint="eastAsia" w:hAnsi="宋体" w:cs="宋体"/>
          <w:color w:val="auto"/>
          <w:highlight w:val="none"/>
        </w:rPr>
        <w:t>提供互联网链路带宽服务、互联网IP地址租用服务，并提供相应的网络域名备案服务，配合应用开发厂商提供网络策略配置服务。</w:t>
      </w:r>
    </w:p>
    <w:p w14:paraId="421E04A8">
      <w:pPr>
        <w:pStyle w:val="4"/>
        <w:numPr>
          <w:ilvl w:val="0"/>
          <w:numId w:val="9"/>
        </w:numPr>
        <w:snapToGrid w:val="0"/>
        <w:ind w:firstLine="480"/>
        <w:rPr>
          <w:rFonts w:hint="eastAsia" w:hAnsi="宋体" w:cs="宋体"/>
          <w:color w:val="auto"/>
          <w:highlight w:val="none"/>
        </w:rPr>
      </w:pPr>
      <w:r>
        <w:rPr>
          <w:rFonts w:hint="eastAsia" w:hAnsi="宋体" w:cs="宋体"/>
          <w:color w:val="auto"/>
          <w:highlight w:val="none"/>
        </w:rPr>
        <w:t>远程接入服务，提供互联网远程接入服务，每个账号结合身份验证接入堡垒机维护应用系统。</w:t>
      </w:r>
    </w:p>
    <w:p w14:paraId="274DB02F">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（2）服务标准</w:t>
      </w:r>
    </w:p>
    <w:p w14:paraId="5C99034E">
      <w:pPr>
        <w:pStyle w:val="4"/>
        <w:snapToGrid w:val="0"/>
        <w:ind w:firstLine="480"/>
        <w:rPr>
          <w:rFonts w:hint="eastAsia" w:hAnsi="宋体" w:cs="宋体"/>
          <w:color w:val="auto"/>
          <w:highlight w:val="none"/>
        </w:rPr>
      </w:pPr>
      <w:r>
        <w:rPr>
          <w:rFonts w:hint="eastAsia" w:hAnsi="宋体" w:cs="宋体"/>
          <w:color w:val="auto"/>
          <w:highlight w:val="none"/>
        </w:rPr>
        <w:t>网络系统提供稳定的数据传输能力，一般要求如下：</w:t>
      </w:r>
    </w:p>
    <w:p w14:paraId="509BDAE0">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具备多运营商网络接入服务的能力；</w:t>
      </w:r>
    </w:p>
    <w:p w14:paraId="258158FF">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数据中心组网架构设计可采用大二层网络架构，支持云主机无障碍动态迁移；</w:t>
      </w:r>
    </w:p>
    <w:p w14:paraId="61823B2F">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应采用集群部署网络控制，以保障升级时业务不中断；</w:t>
      </w:r>
    </w:p>
    <w:p w14:paraId="7C21604B">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应实现自动化动态网络资源调配和隔离，支持与互联网、电子政务外网及行业部门专网的连接；</w:t>
      </w:r>
    </w:p>
    <w:p w14:paraId="4451B32A">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可支持IPv6地址分配，满足业务系统IPv6要求；</w:t>
      </w:r>
    </w:p>
    <w:p w14:paraId="1CD9C6BD">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具备边界防火墙和VPC防火墙隔离能力，分别针对不同的流量进行安全策略防护与配置；</w:t>
      </w:r>
    </w:p>
    <w:p w14:paraId="19911519">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具备高可用虚拟IP能力，在集群或主备场景下，云主机可绑定高可用虚拟IP，达到高可用访问效果；</w:t>
      </w:r>
    </w:p>
    <w:p w14:paraId="1686446D">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采用双活网络架构，降低单点故障带来的稳定风险；为入云系统划分安全区域，合理制定访问规则。</w:t>
      </w:r>
    </w:p>
    <w:p w14:paraId="1F9245F0">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网络系统性能要求包括但不限于如下：云内骨干线路带宽不低于10Gb/s；服务器业务带宽不低于1Gb/s；平均可用性不低于99.9%。</w:t>
      </w:r>
    </w:p>
    <w:p w14:paraId="6CB35524">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20A9DEC7">
      <w:pPr>
        <w:pStyle w:val="4"/>
        <w:numPr>
          <w:ilvl w:val="0"/>
          <w:numId w:val="10"/>
        </w:numPr>
        <w:snapToGrid w:val="0"/>
        <w:ind w:firstLine="480"/>
        <w:rPr>
          <w:rFonts w:hint="eastAsia" w:hAnsi="宋体" w:cs="宋体"/>
          <w:color w:val="auto"/>
          <w:highlight w:val="none"/>
        </w:rPr>
      </w:pPr>
      <w:r>
        <w:rPr>
          <w:rFonts w:hint="eastAsia" w:hAnsi="宋体" w:cs="宋体"/>
          <w:color w:val="auto"/>
          <w:highlight w:val="none"/>
        </w:rPr>
        <w:t>投标人应强化远程运维管理，因业务确需通过互联网远程运维的，应当采取安全管控措施，向采购提供安全管控方案。重要保障时期可以做到远程接入账号禁用操作，根据需求随时执行远程接入账号管控操作，并根据需求导出运维录屏操作记录。</w:t>
      </w:r>
    </w:p>
    <w:p w14:paraId="74DD496F">
      <w:pPr>
        <w:pStyle w:val="4"/>
        <w:snapToGrid w:val="0"/>
        <w:ind w:firstLine="720" w:firstLineChars="300"/>
        <w:rPr>
          <w:rFonts w:hint="eastAsia" w:hAnsi="宋体" w:cs="宋体"/>
          <w:color w:val="auto"/>
          <w:highlight w:val="none"/>
        </w:rPr>
      </w:pPr>
      <w:bookmarkStart w:id="8" w:name="_Toc24264"/>
      <w:r>
        <w:rPr>
          <w:rFonts w:hint="eastAsia" w:hAnsi="宋体" w:cs="宋体"/>
          <w:color w:val="auto"/>
          <w:highlight w:val="none"/>
        </w:rPr>
        <w:t>2.1.4安全服务</w:t>
      </w:r>
      <w:bookmarkEnd w:id="8"/>
    </w:p>
    <w:p w14:paraId="5EE824C3">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（1）服务内容</w:t>
      </w:r>
    </w:p>
    <w:p w14:paraId="7884A971">
      <w:pPr>
        <w:pStyle w:val="4"/>
        <w:snapToGrid w:val="0"/>
        <w:ind w:firstLine="480"/>
        <w:rPr>
          <w:rFonts w:hint="eastAsia" w:hAnsi="宋体" w:cs="宋体"/>
          <w:color w:val="auto"/>
          <w:highlight w:val="none"/>
        </w:rPr>
      </w:pPr>
      <w:r>
        <w:rPr>
          <w:rFonts w:hint="eastAsia" w:hAnsi="宋体" w:cs="宋体"/>
          <w:color w:val="auto"/>
          <w:highlight w:val="none"/>
        </w:rPr>
        <w:t>安全是政务云的红线，应按照网络安全等级保护要求建设安全技术防护体系和安全管理体系，加强数据的安全管理，防止重要或敏感数据泄露或被滥用，并建立应急处置体系。安全服务主要内容包含：</w:t>
      </w:r>
    </w:p>
    <w:p w14:paraId="3DF811FA">
      <w:pPr>
        <w:pStyle w:val="4"/>
        <w:numPr>
          <w:ilvl w:val="0"/>
          <w:numId w:val="11"/>
        </w:numPr>
        <w:snapToGrid w:val="0"/>
        <w:ind w:firstLine="480"/>
        <w:rPr>
          <w:rFonts w:hint="eastAsia" w:hAnsi="宋体" w:cs="宋体"/>
          <w:color w:val="auto"/>
          <w:highlight w:val="none"/>
        </w:rPr>
      </w:pPr>
      <w:r>
        <w:rPr>
          <w:rFonts w:hint="eastAsia" w:hAnsi="宋体" w:cs="宋体"/>
          <w:color w:val="auto"/>
          <w:highlight w:val="none"/>
        </w:rPr>
        <w:t>WAF防护服务</w:t>
      </w:r>
    </w:p>
    <w:p w14:paraId="1E4EBA15">
      <w:pPr>
        <w:pStyle w:val="4"/>
        <w:snapToGrid w:val="0"/>
        <w:ind w:firstLine="480"/>
        <w:rPr>
          <w:rFonts w:hint="eastAsia" w:hAnsi="宋体" w:cs="宋体"/>
          <w:color w:val="auto"/>
          <w:highlight w:val="none"/>
        </w:rPr>
      </w:pPr>
      <w:r>
        <w:rPr>
          <w:rFonts w:hint="eastAsia" w:hAnsi="宋体" w:cs="宋体"/>
          <w:color w:val="auto"/>
          <w:highlight w:val="none"/>
        </w:rPr>
        <w:t>按照采购人的具体需求，提供互联网WAF防护服务，保证用户对已知安全隐患进行防护，实时升级漏洞补丁，配置防护策略，起到前端防护作用。</w:t>
      </w:r>
    </w:p>
    <w:p w14:paraId="6CF745F5">
      <w:pPr>
        <w:pStyle w:val="4"/>
        <w:numPr>
          <w:ilvl w:val="0"/>
          <w:numId w:val="11"/>
        </w:numPr>
        <w:snapToGrid w:val="0"/>
        <w:ind w:firstLine="480"/>
        <w:rPr>
          <w:rFonts w:hint="eastAsia" w:hAnsi="宋体" w:cs="宋体"/>
          <w:color w:val="auto"/>
          <w:highlight w:val="none"/>
        </w:rPr>
      </w:pPr>
      <w:r>
        <w:rPr>
          <w:rFonts w:hint="eastAsia" w:hAnsi="宋体" w:cs="宋体"/>
          <w:color w:val="auto"/>
          <w:highlight w:val="none"/>
        </w:rPr>
        <w:t>云端抗DDOS服务</w:t>
      </w:r>
    </w:p>
    <w:p w14:paraId="6DCEA231">
      <w:pPr>
        <w:pStyle w:val="4"/>
        <w:snapToGrid w:val="0"/>
        <w:ind w:firstLine="480"/>
        <w:rPr>
          <w:rFonts w:hint="eastAsia" w:hAnsi="宋体" w:cs="宋体"/>
          <w:color w:val="auto"/>
          <w:highlight w:val="none"/>
        </w:rPr>
      </w:pPr>
      <w:r>
        <w:rPr>
          <w:rFonts w:hint="eastAsia" w:hAnsi="宋体" w:cs="宋体"/>
          <w:color w:val="auto"/>
          <w:highlight w:val="none"/>
        </w:rPr>
        <w:t>按照采购人的具体需求，提供云端抗DDOS服务。</w:t>
      </w:r>
    </w:p>
    <w:p w14:paraId="793E74F1">
      <w:pPr>
        <w:pStyle w:val="4"/>
        <w:numPr>
          <w:ilvl w:val="0"/>
          <w:numId w:val="11"/>
        </w:numPr>
        <w:snapToGrid w:val="0"/>
        <w:ind w:firstLine="480"/>
        <w:rPr>
          <w:rFonts w:hint="eastAsia" w:hAnsi="宋体" w:cs="宋体"/>
          <w:color w:val="auto"/>
          <w:highlight w:val="none"/>
        </w:rPr>
      </w:pPr>
      <w:r>
        <w:rPr>
          <w:rFonts w:hint="eastAsia" w:hAnsi="宋体" w:cs="宋体"/>
          <w:color w:val="auto"/>
          <w:highlight w:val="none"/>
        </w:rPr>
        <w:t>云端APT防护服务</w:t>
      </w:r>
    </w:p>
    <w:p w14:paraId="478A5B76">
      <w:pPr>
        <w:pStyle w:val="4"/>
        <w:snapToGrid w:val="0"/>
        <w:ind w:firstLine="480"/>
        <w:rPr>
          <w:rFonts w:hint="eastAsia" w:hAnsi="宋体" w:cs="宋体"/>
          <w:color w:val="auto"/>
          <w:highlight w:val="none"/>
        </w:rPr>
      </w:pPr>
      <w:r>
        <w:rPr>
          <w:rFonts w:hint="eastAsia" w:hAnsi="宋体" w:cs="宋体"/>
          <w:color w:val="auto"/>
          <w:highlight w:val="none"/>
        </w:rPr>
        <w:t>按照采购人的具体需求，提供云端APT防护服务。</w:t>
      </w:r>
    </w:p>
    <w:p w14:paraId="122A82F9">
      <w:pPr>
        <w:pStyle w:val="4"/>
        <w:numPr>
          <w:ilvl w:val="0"/>
          <w:numId w:val="11"/>
        </w:numPr>
        <w:snapToGrid w:val="0"/>
        <w:ind w:firstLine="480"/>
        <w:rPr>
          <w:rFonts w:hint="eastAsia" w:hAnsi="宋体" w:cs="宋体"/>
          <w:color w:val="auto"/>
          <w:highlight w:val="none"/>
        </w:rPr>
      </w:pPr>
      <w:r>
        <w:rPr>
          <w:rFonts w:hint="eastAsia" w:hAnsi="宋体" w:cs="宋体"/>
          <w:color w:val="auto"/>
          <w:highlight w:val="none"/>
        </w:rPr>
        <w:t>数据库审计服务</w:t>
      </w:r>
    </w:p>
    <w:p w14:paraId="2134E9E1">
      <w:pPr>
        <w:pStyle w:val="4"/>
        <w:snapToGrid w:val="0"/>
        <w:ind w:firstLine="480"/>
        <w:rPr>
          <w:rFonts w:hint="eastAsia" w:hAnsi="宋体" w:cs="宋体"/>
          <w:color w:val="auto"/>
          <w:highlight w:val="none"/>
        </w:rPr>
      </w:pPr>
      <w:r>
        <w:rPr>
          <w:rFonts w:hint="eastAsia" w:hAnsi="宋体" w:cs="宋体"/>
          <w:color w:val="auto"/>
          <w:highlight w:val="none"/>
        </w:rPr>
        <w:t>按照采购人的具体需求，提供数据库审计服务。</w:t>
      </w:r>
    </w:p>
    <w:p w14:paraId="469B0FD4">
      <w:pPr>
        <w:pStyle w:val="4"/>
        <w:numPr>
          <w:ilvl w:val="0"/>
          <w:numId w:val="11"/>
        </w:numPr>
        <w:snapToGrid w:val="0"/>
        <w:ind w:firstLine="480"/>
        <w:rPr>
          <w:rFonts w:hint="eastAsia" w:hAnsi="宋体" w:cs="宋体"/>
          <w:color w:val="auto"/>
          <w:highlight w:val="none"/>
        </w:rPr>
      </w:pPr>
      <w:r>
        <w:rPr>
          <w:rFonts w:hint="eastAsia" w:hAnsi="宋体" w:cs="宋体"/>
          <w:color w:val="auto"/>
          <w:highlight w:val="none"/>
        </w:rPr>
        <w:t>网页防篡改</w:t>
      </w:r>
    </w:p>
    <w:p w14:paraId="375F4E11">
      <w:pPr>
        <w:pStyle w:val="4"/>
        <w:snapToGrid w:val="0"/>
        <w:ind w:firstLine="480"/>
        <w:rPr>
          <w:rFonts w:hint="eastAsia" w:hAnsi="宋体" w:cs="宋体"/>
          <w:color w:val="auto"/>
          <w:highlight w:val="none"/>
        </w:rPr>
      </w:pPr>
      <w:r>
        <w:rPr>
          <w:rFonts w:hint="eastAsia" w:hAnsi="宋体" w:cs="宋体"/>
          <w:color w:val="auto"/>
          <w:highlight w:val="none"/>
        </w:rPr>
        <w:t>按照采购人的具体需求，提供网页防篡改服务。</w:t>
      </w:r>
    </w:p>
    <w:p w14:paraId="7F5CF7D1">
      <w:pPr>
        <w:pStyle w:val="4"/>
        <w:numPr>
          <w:ilvl w:val="0"/>
          <w:numId w:val="11"/>
        </w:numPr>
        <w:snapToGrid w:val="0"/>
        <w:ind w:firstLine="480"/>
        <w:rPr>
          <w:rFonts w:hint="eastAsia" w:hAnsi="宋体" w:cs="宋体"/>
          <w:color w:val="auto"/>
          <w:highlight w:val="none"/>
        </w:rPr>
      </w:pPr>
      <w:r>
        <w:rPr>
          <w:rFonts w:hint="eastAsia" w:hAnsi="宋体" w:cs="宋体"/>
          <w:color w:val="auto"/>
          <w:highlight w:val="none"/>
        </w:rPr>
        <w:t>短信服务</w:t>
      </w:r>
    </w:p>
    <w:p w14:paraId="401824A8">
      <w:pPr>
        <w:pStyle w:val="4"/>
        <w:snapToGrid w:val="0"/>
        <w:ind w:firstLine="480"/>
        <w:rPr>
          <w:rFonts w:hint="eastAsia" w:hAnsi="宋体" w:cs="宋体"/>
          <w:color w:val="auto"/>
          <w:highlight w:val="none"/>
        </w:rPr>
      </w:pPr>
      <w:r>
        <w:rPr>
          <w:rFonts w:hint="eastAsia" w:hAnsi="宋体" w:cs="宋体"/>
          <w:color w:val="auto"/>
          <w:highlight w:val="none"/>
        </w:rPr>
        <w:t>按照采购人的具体需求，提供短信服务。</w:t>
      </w:r>
    </w:p>
    <w:p w14:paraId="0D88BD85">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（2）服务标准</w:t>
      </w:r>
    </w:p>
    <w:p w14:paraId="7B0767FC">
      <w:pPr>
        <w:pStyle w:val="4"/>
        <w:numPr>
          <w:ilvl w:val="0"/>
          <w:numId w:val="12"/>
        </w:numPr>
        <w:snapToGrid w:val="0"/>
        <w:ind w:firstLine="480"/>
        <w:rPr>
          <w:rFonts w:hint="eastAsia" w:hAnsi="宋体" w:cs="宋体"/>
          <w:color w:val="auto"/>
          <w:highlight w:val="none"/>
        </w:rPr>
      </w:pPr>
      <w:r>
        <w:rPr>
          <w:rFonts w:hint="eastAsia" w:hAnsi="宋体" w:cs="宋体"/>
          <w:color w:val="auto"/>
          <w:highlight w:val="none"/>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75A28EB1">
      <w:pPr>
        <w:pStyle w:val="4"/>
        <w:numPr>
          <w:ilvl w:val="0"/>
          <w:numId w:val="12"/>
        </w:numPr>
        <w:snapToGrid w:val="0"/>
        <w:ind w:firstLine="480"/>
        <w:rPr>
          <w:rFonts w:hint="eastAsia" w:hAnsi="宋体" w:cs="宋体"/>
          <w:color w:val="auto"/>
          <w:highlight w:val="none"/>
        </w:rPr>
      </w:pPr>
      <w:r>
        <w:rPr>
          <w:rFonts w:hint="eastAsia" w:hAnsi="宋体" w:cs="宋体"/>
          <w:color w:val="auto"/>
          <w:highlight w:val="none"/>
        </w:rPr>
        <w:t>投标人需利用监控系统或人工对机房环境、硬件设备及应用系统的运行情况进行7*24小时的不间断巡检监控，及时发现安全隐患，通知相关人员及时处理，并形成监控报告。</w:t>
      </w:r>
    </w:p>
    <w:p w14:paraId="720BEEE6">
      <w:pPr>
        <w:pStyle w:val="4"/>
        <w:numPr>
          <w:ilvl w:val="0"/>
          <w:numId w:val="12"/>
        </w:numPr>
        <w:snapToGrid w:val="0"/>
        <w:ind w:firstLine="480"/>
        <w:rPr>
          <w:rFonts w:hint="eastAsia" w:hAnsi="宋体" w:cs="宋体"/>
          <w:color w:val="auto"/>
          <w:highlight w:val="none"/>
        </w:rPr>
      </w:pPr>
      <w:r>
        <w:rPr>
          <w:rFonts w:hint="eastAsia" w:hAnsi="宋体" w:cs="宋体"/>
          <w:color w:val="auto"/>
          <w:highlight w:val="none"/>
        </w:rPr>
        <w:t>投标人需纳入行业监管部门网络安全保障整体工作体系，在涉及重保、安全事件、威胁情报等方面，配合安全服务商开展研判、处置、分析等工作。</w:t>
      </w:r>
    </w:p>
    <w:p w14:paraId="7E293AF0">
      <w:pPr>
        <w:pStyle w:val="4"/>
        <w:numPr>
          <w:ilvl w:val="0"/>
          <w:numId w:val="12"/>
        </w:numPr>
        <w:snapToGrid w:val="0"/>
        <w:ind w:firstLine="480"/>
        <w:rPr>
          <w:rFonts w:hint="eastAsia" w:hAnsi="宋体" w:cs="宋体"/>
          <w:color w:val="auto"/>
          <w:highlight w:val="none"/>
        </w:rPr>
      </w:pPr>
      <w:r>
        <w:rPr>
          <w:rFonts w:hint="eastAsia" w:hAnsi="宋体" w:cs="宋体"/>
          <w:color w:val="auto"/>
          <w:highlight w:val="none"/>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7CF9019F">
      <w:pPr>
        <w:pStyle w:val="4"/>
        <w:numPr>
          <w:ilvl w:val="0"/>
          <w:numId w:val="12"/>
        </w:numPr>
        <w:snapToGrid w:val="0"/>
        <w:ind w:firstLine="480"/>
        <w:rPr>
          <w:rFonts w:hint="eastAsia" w:hAnsi="宋体" w:cs="宋体"/>
          <w:color w:val="auto"/>
          <w:highlight w:val="none"/>
        </w:rPr>
      </w:pPr>
      <w:r>
        <w:rPr>
          <w:rFonts w:hint="eastAsia" w:hAnsi="宋体" w:cs="宋体"/>
          <w:color w:val="auto"/>
          <w:highlight w:val="none"/>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w:t>
      </w:r>
    </w:p>
    <w:p w14:paraId="4311D6BB">
      <w:pPr>
        <w:pStyle w:val="4"/>
        <w:numPr>
          <w:ilvl w:val="0"/>
          <w:numId w:val="12"/>
        </w:numPr>
        <w:snapToGrid w:val="0"/>
        <w:ind w:firstLine="480"/>
        <w:rPr>
          <w:rFonts w:hint="eastAsia" w:hAnsi="宋体" w:cs="宋体"/>
          <w:color w:val="auto"/>
          <w:highlight w:val="none"/>
        </w:rPr>
      </w:pPr>
      <w:r>
        <w:rPr>
          <w:rFonts w:hint="eastAsia" w:hAnsi="宋体" w:cs="宋体"/>
          <w:color w:val="auto"/>
          <w:highlight w:val="none"/>
        </w:rPr>
        <w:t>投标人应坚持制度和技术并重，建立健全网络和数据安全管理制度，落实网络和数据安全管理要求。采取相应技术措施，保障网络免受干扰、破坏或者未经授权的访问。</w:t>
      </w:r>
    </w:p>
    <w:p w14:paraId="3DD3D6B6">
      <w:pPr>
        <w:pStyle w:val="4"/>
        <w:snapToGrid w:val="0"/>
        <w:ind w:firstLine="720" w:firstLineChars="300"/>
        <w:rPr>
          <w:rFonts w:hint="eastAsia" w:hAnsi="宋体" w:cs="宋体"/>
          <w:color w:val="auto"/>
          <w:highlight w:val="none"/>
        </w:rPr>
      </w:pPr>
      <w:bookmarkStart w:id="9" w:name="_Toc19279"/>
      <w:r>
        <w:rPr>
          <w:rFonts w:hint="eastAsia" w:hAnsi="宋体" w:cs="宋体"/>
          <w:color w:val="auto"/>
          <w:highlight w:val="none"/>
        </w:rPr>
        <w:t>2.1.5运维服务</w:t>
      </w:r>
      <w:bookmarkEnd w:id="9"/>
    </w:p>
    <w:p w14:paraId="513FB46A">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（1）服务内容</w:t>
      </w:r>
    </w:p>
    <w:p w14:paraId="5DE1E217">
      <w:pPr>
        <w:pStyle w:val="4"/>
        <w:numPr>
          <w:ilvl w:val="0"/>
          <w:numId w:val="13"/>
        </w:numPr>
        <w:snapToGrid w:val="0"/>
        <w:ind w:firstLine="480"/>
        <w:rPr>
          <w:rFonts w:hint="eastAsia" w:hAnsi="宋体" w:cs="宋体"/>
          <w:color w:val="auto"/>
          <w:highlight w:val="none"/>
        </w:rPr>
      </w:pPr>
      <w:r>
        <w:rPr>
          <w:rFonts w:hint="eastAsia" w:hAnsi="宋体" w:cs="宋体"/>
          <w:color w:val="auto"/>
          <w:highlight w:val="none"/>
        </w:rPr>
        <w:t>负责机房环境资源、云平台硬件资产、虚拟化资产的管理工作；</w:t>
      </w:r>
    </w:p>
    <w:p w14:paraId="4BAD0D90">
      <w:pPr>
        <w:pStyle w:val="4"/>
        <w:numPr>
          <w:ilvl w:val="0"/>
          <w:numId w:val="13"/>
        </w:numPr>
        <w:snapToGrid w:val="0"/>
        <w:ind w:firstLine="480"/>
        <w:rPr>
          <w:rFonts w:hint="eastAsia" w:hAnsi="宋体" w:cs="宋体"/>
          <w:color w:val="auto"/>
          <w:highlight w:val="none"/>
        </w:rPr>
      </w:pPr>
      <w:r>
        <w:rPr>
          <w:rFonts w:hint="eastAsia" w:hAnsi="宋体" w:cs="宋体"/>
          <w:color w:val="auto"/>
          <w:highlight w:val="none"/>
        </w:rPr>
        <w:t>信息系统入云、上线、变更、退出等各阶段的备案与信息变更等工作；</w:t>
      </w:r>
    </w:p>
    <w:p w14:paraId="3D9EEACC">
      <w:pPr>
        <w:pStyle w:val="4"/>
        <w:numPr>
          <w:ilvl w:val="0"/>
          <w:numId w:val="13"/>
        </w:numPr>
        <w:snapToGrid w:val="0"/>
        <w:ind w:firstLine="480"/>
        <w:rPr>
          <w:rFonts w:hint="eastAsia" w:hAnsi="宋体" w:cs="宋体"/>
          <w:color w:val="auto"/>
          <w:highlight w:val="none"/>
        </w:rPr>
      </w:pPr>
      <w:r>
        <w:rPr>
          <w:rFonts w:hint="eastAsia" w:hAnsi="宋体" w:cs="宋体"/>
          <w:color w:val="auto"/>
          <w:highlight w:val="none"/>
        </w:rPr>
        <w:t>执行云平台变更申请、审批流程；</w:t>
      </w:r>
    </w:p>
    <w:p w14:paraId="475449AF">
      <w:pPr>
        <w:pStyle w:val="4"/>
        <w:numPr>
          <w:ilvl w:val="0"/>
          <w:numId w:val="13"/>
        </w:numPr>
        <w:snapToGrid w:val="0"/>
        <w:ind w:firstLine="480"/>
        <w:rPr>
          <w:rFonts w:hint="eastAsia" w:hAnsi="宋体" w:cs="宋体"/>
          <w:color w:val="auto"/>
          <w:highlight w:val="none"/>
        </w:rPr>
      </w:pPr>
      <w:r>
        <w:rPr>
          <w:rFonts w:hint="eastAsia" w:hAnsi="宋体" w:cs="宋体"/>
          <w:color w:val="auto"/>
          <w:highlight w:val="none"/>
        </w:rPr>
        <w:t>云平台网络资源管理，针对内部地址使用情况、云平台专线接入情况、政务外网资源使用情况等做好统计工作；</w:t>
      </w:r>
    </w:p>
    <w:p w14:paraId="62F16D8E">
      <w:pPr>
        <w:pStyle w:val="4"/>
        <w:numPr>
          <w:ilvl w:val="0"/>
          <w:numId w:val="13"/>
        </w:numPr>
        <w:snapToGrid w:val="0"/>
        <w:ind w:firstLine="480"/>
        <w:rPr>
          <w:rFonts w:hint="eastAsia" w:hAnsi="宋体" w:cs="宋体"/>
          <w:color w:val="auto"/>
          <w:highlight w:val="none"/>
        </w:rPr>
      </w:pPr>
      <w:r>
        <w:rPr>
          <w:rFonts w:hint="eastAsia" w:hAnsi="宋体" w:cs="宋体"/>
          <w:color w:val="auto"/>
          <w:highlight w:val="none"/>
        </w:rPr>
        <w:t>服务期内，投标人须配备运维团队，提供可靠的售后服务保障。投标人针对采购人要求的云平台运维服务相关内容，需指定专业技术能力较强的工程师，根据采购人要求配合开展相关维护服务。</w:t>
      </w:r>
    </w:p>
    <w:p w14:paraId="79846D41">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（2）服务标准</w:t>
      </w:r>
    </w:p>
    <w:p w14:paraId="42B38983">
      <w:pPr>
        <w:pStyle w:val="4"/>
        <w:numPr>
          <w:ilvl w:val="0"/>
          <w:numId w:val="14"/>
        </w:numPr>
        <w:snapToGrid w:val="0"/>
        <w:ind w:firstLine="480"/>
        <w:rPr>
          <w:rFonts w:hint="eastAsia" w:hAnsi="宋体" w:cs="宋体"/>
          <w:color w:val="auto"/>
          <w:highlight w:val="none"/>
        </w:rPr>
      </w:pPr>
      <w:r>
        <w:rPr>
          <w:rFonts w:hint="eastAsia" w:hAnsi="宋体" w:cs="宋体"/>
          <w:color w:val="auto"/>
          <w:highlight w:val="none"/>
        </w:rPr>
        <w:t>依据《北京市市级政务云管理办法》，投标人应当提供高效的系统维护服务，有效防范系统风险，系统对应负责人7*24小时电话畅通，能够在系统发生除宕机外的其他故障问题时，协调人力资源到达政务云机房现场提供服务。</w:t>
      </w:r>
    </w:p>
    <w:p w14:paraId="2634D38A">
      <w:pPr>
        <w:pStyle w:val="4"/>
        <w:numPr>
          <w:ilvl w:val="0"/>
          <w:numId w:val="14"/>
        </w:numPr>
        <w:snapToGrid w:val="0"/>
        <w:ind w:firstLine="480"/>
        <w:rPr>
          <w:rFonts w:hint="eastAsia" w:hAnsi="宋体" w:cs="宋体"/>
          <w:color w:val="auto"/>
          <w:highlight w:val="none"/>
        </w:rPr>
      </w:pPr>
      <w:r>
        <w:rPr>
          <w:rFonts w:hint="eastAsia" w:hAnsi="宋体" w:cs="宋体"/>
          <w:color w:val="auto"/>
          <w:highlight w:val="none"/>
        </w:rPr>
        <w:t>为保障业务高峰期内系统平稳运行，缓解系统高峰期内因业务发生量增大而带来系统压力风险，要求投标人根据业务周期性特点，加大运维保障力度，保证在业务高峰期内系统平稳运行。</w:t>
      </w:r>
    </w:p>
    <w:p w14:paraId="660AA650">
      <w:pPr>
        <w:pStyle w:val="4"/>
        <w:numPr>
          <w:ilvl w:val="0"/>
          <w:numId w:val="14"/>
        </w:numPr>
        <w:snapToGrid w:val="0"/>
        <w:ind w:firstLine="480"/>
        <w:rPr>
          <w:rFonts w:hint="eastAsia" w:hAnsi="宋体" w:cs="宋体"/>
          <w:color w:val="auto"/>
          <w:highlight w:val="none"/>
        </w:rPr>
      </w:pPr>
      <w:r>
        <w:rPr>
          <w:rFonts w:hint="eastAsia" w:hAnsi="宋体" w:cs="宋体"/>
          <w:color w:val="auto"/>
          <w:highlight w:val="none"/>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14:paraId="73742599">
      <w:pPr>
        <w:pStyle w:val="4"/>
        <w:numPr>
          <w:ilvl w:val="0"/>
          <w:numId w:val="14"/>
        </w:numPr>
        <w:snapToGrid w:val="0"/>
        <w:ind w:firstLine="480"/>
        <w:rPr>
          <w:rFonts w:hint="eastAsia" w:hAnsi="宋体" w:cs="宋体"/>
          <w:color w:val="auto"/>
          <w:highlight w:val="none"/>
        </w:rPr>
      </w:pPr>
      <w:r>
        <w:rPr>
          <w:rFonts w:hint="eastAsia" w:hAnsi="宋体" w:cs="宋体"/>
          <w:color w:val="auto"/>
          <w:highlight w:val="none"/>
        </w:rPr>
        <w:t>按照国家、北京市相关规定和信息安全技术标准及规范要求, 落实安全保障措施, 通过信息安全测评机构的测评和政务云安全审查 。</w:t>
      </w:r>
    </w:p>
    <w:p w14:paraId="234D9D24">
      <w:pPr>
        <w:pStyle w:val="4"/>
        <w:numPr>
          <w:ilvl w:val="0"/>
          <w:numId w:val="14"/>
        </w:numPr>
        <w:snapToGrid w:val="0"/>
        <w:ind w:firstLine="480"/>
        <w:rPr>
          <w:rFonts w:hint="eastAsia" w:hAnsi="宋体" w:cs="宋体"/>
          <w:color w:val="auto"/>
          <w:highlight w:val="none"/>
        </w:rPr>
      </w:pPr>
      <w:r>
        <w:rPr>
          <w:rFonts w:hint="eastAsia" w:hAnsi="宋体" w:cs="宋体"/>
          <w:color w:val="auto"/>
          <w:highlight w:val="none"/>
        </w:rPr>
        <w:t>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17982869">
      <w:pPr>
        <w:pStyle w:val="4"/>
        <w:numPr>
          <w:ilvl w:val="0"/>
          <w:numId w:val="14"/>
        </w:numPr>
        <w:snapToGrid w:val="0"/>
        <w:ind w:firstLine="480"/>
        <w:rPr>
          <w:rFonts w:hint="eastAsia" w:hAnsi="宋体" w:cs="宋体"/>
          <w:color w:val="auto"/>
          <w:highlight w:val="none"/>
        </w:rPr>
      </w:pPr>
      <w:r>
        <w:rPr>
          <w:rFonts w:hint="eastAsia" w:hAnsi="宋体" w:cs="宋体"/>
          <w:color w:val="auto"/>
          <w:highlight w:val="none"/>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076574D4">
      <w:pPr>
        <w:pStyle w:val="4"/>
        <w:numPr>
          <w:ilvl w:val="0"/>
          <w:numId w:val="14"/>
        </w:numPr>
        <w:snapToGrid w:val="0"/>
        <w:ind w:firstLine="480"/>
        <w:rPr>
          <w:rFonts w:hint="eastAsia" w:hAnsi="宋体" w:cs="宋体"/>
          <w:color w:val="auto"/>
          <w:highlight w:val="none"/>
        </w:rPr>
      </w:pPr>
      <w:r>
        <w:rPr>
          <w:rFonts w:hint="eastAsia" w:hAnsi="宋体" w:cs="宋体"/>
          <w:color w:val="auto"/>
          <w:highlight w:val="none"/>
        </w:rPr>
        <w:t>投标人应保障政务云规范运行。入云系统应开展网络安全测评及备案。应对数据进行分类分级管理，根据数据分级保护要求采取相应级别的安全防护措施。</w:t>
      </w:r>
    </w:p>
    <w:p w14:paraId="4825F853">
      <w:pPr>
        <w:pStyle w:val="4"/>
        <w:numPr>
          <w:ilvl w:val="0"/>
          <w:numId w:val="14"/>
        </w:numPr>
        <w:snapToGrid w:val="0"/>
        <w:ind w:firstLine="480"/>
        <w:rPr>
          <w:rFonts w:hint="eastAsia" w:hAnsi="宋体" w:cs="宋体"/>
          <w:color w:val="auto"/>
          <w:highlight w:val="none"/>
        </w:rPr>
      </w:pPr>
      <w:r>
        <w:rPr>
          <w:rFonts w:hint="eastAsia" w:hAnsi="宋体" w:cs="宋体"/>
          <w:color w:val="auto"/>
          <w:highlight w:val="none"/>
        </w:rPr>
        <w:t>除不可抗力或计划内维护作业造成的政务云服务中断外,政务云实行24小时不间断运行。</w:t>
      </w:r>
    </w:p>
    <w:p w14:paraId="7ED08C1D">
      <w:pPr>
        <w:pStyle w:val="4"/>
        <w:snapToGrid w:val="0"/>
        <w:ind w:firstLine="720" w:firstLineChars="300"/>
        <w:rPr>
          <w:rFonts w:hint="eastAsia" w:hAnsi="宋体" w:cs="宋体"/>
          <w:color w:val="auto"/>
          <w:highlight w:val="none"/>
        </w:rPr>
      </w:pPr>
      <w:bookmarkStart w:id="10" w:name="_Toc28361"/>
      <w:r>
        <w:rPr>
          <w:rFonts w:hint="eastAsia" w:hAnsi="宋体" w:cs="宋体"/>
          <w:color w:val="auto"/>
          <w:highlight w:val="none"/>
        </w:rPr>
        <w:t>2.1.6备份服务</w:t>
      </w:r>
      <w:bookmarkEnd w:id="10"/>
    </w:p>
    <w:p w14:paraId="3C3E3643">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（1）服务内容</w:t>
      </w:r>
    </w:p>
    <w:p w14:paraId="5508C415">
      <w:pPr>
        <w:pStyle w:val="4"/>
        <w:snapToGrid w:val="0"/>
        <w:ind w:firstLine="480"/>
        <w:rPr>
          <w:rFonts w:hint="eastAsia" w:hAnsi="宋体" w:cs="宋体"/>
          <w:color w:val="auto"/>
          <w:highlight w:val="none"/>
        </w:rPr>
      </w:pPr>
      <w:r>
        <w:rPr>
          <w:rFonts w:hint="eastAsia" w:hAnsi="宋体" w:cs="宋体"/>
          <w:color w:val="auto"/>
          <w:highlight w:val="none"/>
        </w:rPr>
        <w:t>投标人需具有本地数据备份能力，并配合采购人完成数据级容灾演练及恢复等工作。</w:t>
      </w:r>
    </w:p>
    <w:p w14:paraId="4A4A51A4">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（2）服务标准</w:t>
      </w:r>
    </w:p>
    <w:p w14:paraId="48DBB3AA">
      <w:pPr>
        <w:pStyle w:val="4"/>
        <w:snapToGrid w:val="0"/>
        <w:ind w:firstLine="480"/>
        <w:rPr>
          <w:rFonts w:hint="eastAsia" w:hAnsi="宋体" w:cs="宋体"/>
          <w:color w:val="auto"/>
          <w:highlight w:val="none"/>
        </w:rPr>
      </w:pPr>
      <w:r>
        <w:rPr>
          <w:rFonts w:hint="eastAsia" w:hAnsi="宋体" w:cs="宋体"/>
          <w:color w:val="auto"/>
          <w:highlight w:val="none"/>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6A74C3BA">
      <w:pPr>
        <w:pStyle w:val="4"/>
        <w:numPr>
          <w:ilvl w:val="0"/>
          <w:numId w:val="15"/>
        </w:numPr>
        <w:autoSpaceDE/>
        <w:autoSpaceDN/>
        <w:adjustRightInd/>
        <w:snapToGrid w:val="0"/>
        <w:ind w:left="363" w:firstLine="480" w:firstLineChars="200"/>
        <w:rPr>
          <w:rFonts w:hint="eastAsia" w:hAnsi="宋体" w:cs="宋体"/>
          <w:color w:val="auto"/>
          <w:highlight w:val="none"/>
        </w:rPr>
      </w:pPr>
      <w:r>
        <w:rPr>
          <w:rFonts w:hint="eastAsia" w:hAnsi="宋体" w:cs="宋体"/>
          <w:color w:val="auto"/>
          <w:highlight w:val="none"/>
        </w:rPr>
        <w:t>备份介质本身具备高可用性和冗余性。</w:t>
      </w:r>
    </w:p>
    <w:p w14:paraId="171C4B1B">
      <w:pPr>
        <w:pStyle w:val="4"/>
        <w:numPr>
          <w:ilvl w:val="0"/>
          <w:numId w:val="15"/>
        </w:numPr>
        <w:autoSpaceDE/>
        <w:autoSpaceDN/>
        <w:adjustRightInd/>
        <w:snapToGrid w:val="0"/>
        <w:ind w:left="363" w:firstLine="480" w:firstLineChars="200"/>
        <w:rPr>
          <w:rFonts w:hint="eastAsia" w:hAnsi="宋体" w:cs="宋体"/>
          <w:color w:val="auto"/>
          <w:highlight w:val="none"/>
        </w:rPr>
      </w:pPr>
      <w:r>
        <w:rPr>
          <w:rFonts w:hint="eastAsia" w:hAnsi="宋体" w:cs="宋体"/>
          <w:color w:val="auto"/>
          <w:highlight w:val="none"/>
        </w:rPr>
        <w:t>备份方式包括完整备份、差异备份和增量备份。</w:t>
      </w:r>
    </w:p>
    <w:p w14:paraId="7A66D65C">
      <w:pPr>
        <w:pStyle w:val="4"/>
        <w:numPr>
          <w:ilvl w:val="0"/>
          <w:numId w:val="15"/>
        </w:numPr>
        <w:autoSpaceDE/>
        <w:autoSpaceDN/>
        <w:adjustRightInd/>
        <w:snapToGrid w:val="0"/>
        <w:ind w:left="363" w:firstLine="480" w:firstLineChars="200"/>
        <w:rPr>
          <w:rFonts w:hint="eastAsia" w:hAnsi="宋体" w:cs="宋体"/>
          <w:color w:val="auto"/>
          <w:highlight w:val="none"/>
        </w:rPr>
      </w:pPr>
      <w:r>
        <w:rPr>
          <w:rFonts w:hint="eastAsia" w:hAnsi="宋体" w:cs="宋体"/>
          <w:color w:val="auto"/>
          <w:highlight w:val="none"/>
        </w:rPr>
        <w:t>支持Windows系列操作系统、Linux主流系统操作系统、主流数据库软件、主流中间件软件、结构化数据以及非结构化数据等备份对象。</w:t>
      </w:r>
    </w:p>
    <w:p w14:paraId="56F435F4">
      <w:pPr>
        <w:pStyle w:val="4"/>
        <w:numPr>
          <w:ilvl w:val="0"/>
          <w:numId w:val="15"/>
        </w:numPr>
        <w:autoSpaceDE/>
        <w:autoSpaceDN/>
        <w:adjustRightInd/>
        <w:snapToGrid w:val="0"/>
        <w:ind w:left="363" w:firstLine="480" w:firstLineChars="200"/>
        <w:rPr>
          <w:rFonts w:hint="eastAsia" w:hAnsi="宋体" w:cs="宋体"/>
          <w:color w:val="auto"/>
          <w:highlight w:val="none"/>
        </w:rPr>
      </w:pPr>
      <w:r>
        <w:rPr>
          <w:rFonts w:hint="eastAsia" w:hAnsi="宋体" w:cs="宋体"/>
          <w:color w:val="auto"/>
          <w:highlight w:val="none"/>
        </w:rPr>
        <w:t>支持建立统一的备份管理系统，用来管理本地备份。</w:t>
      </w:r>
    </w:p>
    <w:p w14:paraId="2E0D86A9">
      <w:pPr>
        <w:pStyle w:val="4"/>
        <w:numPr>
          <w:ilvl w:val="0"/>
          <w:numId w:val="15"/>
        </w:numPr>
        <w:autoSpaceDE/>
        <w:autoSpaceDN/>
        <w:adjustRightInd/>
        <w:snapToGrid w:val="0"/>
        <w:ind w:left="363" w:firstLine="480" w:firstLineChars="200"/>
        <w:rPr>
          <w:rFonts w:hint="eastAsia" w:hAnsi="宋体" w:cs="宋体"/>
          <w:color w:val="auto"/>
          <w:highlight w:val="none"/>
        </w:rPr>
      </w:pPr>
      <w:r>
        <w:rPr>
          <w:rFonts w:hint="eastAsia" w:hAnsi="宋体" w:cs="宋体"/>
          <w:color w:val="auto"/>
          <w:highlight w:val="none"/>
        </w:rPr>
        <w:t>投标人应提供对备份过程状态、备份结果提供运维监控保障服务，确保备份任务执行成功以及备份的数据完整性。</w:t>
      </w:r>
    </w:p>
    <w:p w14:paraId="59A8B193">
      <w:pPr>
        <w:pStyle w:val="4"/>
        <w:snapToGrid w:val="0"/>
        <w:ind w:firstLine="720" w:firstLineChars="300"/>
        <w:rPr>
          <w:rFonts w:hint="eastAsia" w:hAnsi="宋体" w:cs="宋体"/>
          <w:color w:val="auto"/>
          <w:highlight w:val="none"/>
        </w:rPr>
      </w:pPr>
      <w:bookmarkStart w:id="11" w:name="_Toc28153"/>
      <w:bookmarkStart w:id="12" w:name="OLE_LINK8"/>
      <w:r>
        <w:rPr>
          <w:rFonts w:hint="eastAsia" w:hAnsi="宋体" w:cs="宋体"/>
          <w:color w:val="auto"/>
          <w:highlight w:val="none"/>
        </w:rPr>
        <w:t>2.1.7迁移服务</w:t>
      </w:r>
      <w:bookmarkEnd w:id="11"/>
    </w:p>
    <w:bookmarkEnd w:id="12"/>
    <w:p w14:paraId="08B6FE40">
      <w:pPr>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（1）服务内容</w:t>
      </w:r>
    </w:p>
    <w:p w14:paraId="1349672D">
      <w:pPr>
        <w:pStyle w:val="4"/>
        <w:snapToGrid w:val="0"/>
        <w:ind w:firstLine="480"/>
        <w:rPr>
          <w:rFonts w:hint="eastAsia" w:hAnsi="宋体" w:cs="宋体"/>
          <w:color w:val="auto"/>
          <w:highlight w:val="none"/>
        </w:rPr>
      </w:pPr>
      <w:r>
        <w:rPr>
          <w:rFonts w:hint="eastAsia" w:hAnsi="宋体" w:cs="宋体"/>
          <w:color w:val="auto"/>
          <w:highlight w:val="none"/>
        </w:rPr>
        <w:t>投标人需提供整体的业务上云迁移服务，应支持X86云主机迁移、X86物理主机迁移、单机数据库迁移、高可用数据库迁移等迁移场景。负责需求调研、架构规划设计、应用迁移部署等工作。</w:t>
      </w:r>
    </w:p>
    <w:p w14:paraId="78492F5D">
      <w:pPr>
        <w:ind w:firstLine="482" w:firstLineChars="200"/>
        <w:rPr>
          <w:rFonts w:hint="eastAsia" w:ascii="宋体" w:hAnsi="宋体" w:cs="宋体"/>
          <w:bCs/>
          <w:color w:val="auto"/>
          <w:sz w:val="24"/>
          <w:highlight w:val="none"/>
          <w:lang w:bidi="ar"/>
        </w:rPr>
      </w:pPr>
      <w:r>
        <w:rPr>
          <w:rFonts w:hint="eastAsia" w:ascii="宋体" w:hAnsi="宋体" w:cs="宋体"/>
          <w:b/>
          <w:bCs/>
          <w:color w:val="auto"/>
          <w:sz w:val="24"/>
          <w:highlight w:val="none"/>
        </w:rPr>
        <w:t>（2）服务标准</w:t>
      </w:r>
    </w:p>
    <w:p w14:paraId="1052BDB0">
      <w:pPr>
        <w:pStyle w:val="4"/>
        <w:snapToGrid w:val="0"/>
        <w:ind w:firstLine="480"/>
        <w:rPr>
          <w:rFonts w:hint="eastAsia" w:hAnsi="宋体" w:cs="宋体"/>
          <w:color w:val="auto"/>
          <w:highlight w:val="none"/>
        </w:rPr>
      </w:pPr>
      <w:r>
        <w:rPr>
          <w:rFonts w:hint="eastAsia" w:hAnsi="宋体" w:cs="宋体"/>
          <w:color w:val="auto"/>
          <w:highlight w:val="none"/>
        </w:rPr>
        <w:t>本项目涉及的业务系统为采购人在用的生产系统，目前在政务云上平稳运行，因此保障业务连续性是重要的保障需求。迁移服务具体要求如下：</w:t>
      </w:r>
    </w:p>
    <w:p w14:paraId="072B88BF">
      <w:pPr>
        <w:pStyle w:val="4"/>
        <w:numPr>
          <w:ilvl w:val="0"/>
          <w:numId w:val="16"/>
        </w:numPr>
        <w:snapToGrid w:val="0"/>
        <w:ind w:firstLine="480"/>
        <w:rPr>
          <w:rFonts w:hint="eastAsia" w:hAnsi="宋体" w:cs="宋体"/>
          <w:color w:val="auto"/>
          <w:highlight w:val="none"/>
        </w:rPr>
      </w:pPr>
      <w:r>
        <w:rPr>
          <w:rFonts w:hint="eastAsia" w:hAnsi="宋体" w:cs="宋体"/>
          <w:color w:val="auto"/>
          <w:highlight w:val="none"/>
        </w:rPr>
        <w:t>投标人需编制业务连续性服务方案。</w:t>
      </w:r>
    </w:p>
    <w:p w14:paraId="73A1AAD5">
      <w:pPr>
        <w:pStyle w:val="4"/>
        <w:numPr>
          <w:ilvl w:val="0"/>
          <w:numId w:val="16"/>
        </w:numPr>
        <w:snapToGrid w:val="0"/>
        <w:ind w:firstLine="480"/>
        <w:rPr>
          <w:rFonts w:hint="eastAsia" w:hAnsi="宋体" w:cs="宋体"/>
          <w:color w:val="auto"/>
          <w:highlight w:val="none"/>
        </w:rPr>
      </w:pPr>
      <w:r>
        <w:rPr>
          <w:rFonts w:hint="eastAsia" w:hAnsi="宋体" w:cs="宋体"/>
          <w:color w:val="auto"/>
          <w:highlight w:val="none"/>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5DE6CA4B">
      <w:pPr>
        <w:pStyle w:val="4"/>
        <w:numPr>
          <w:ilvl w:val="0"/>
          <w:numId w:val="16"/>
        </w:numPr>
        <w:snapToGrid w:val="0"/>
        <w:ind w:firstLine="480"/>
        <w:rPr>
          <w:rFonts w:hint="eastAsia" w:hAnsi="宋体" w:cs="宋体"/>
          <w:color w:val="auto"/>
          <w:highlight w:val="none"/>
        </w:rPr>
      </w:pPr>
      <w:r>
        <w:rPr>
          <w:rFonts w:hint="eastAsia" w:hAnsi="宋体" w:cs="宋体"/>
          <w:color w:val="auto"/>
          <w:highlight w:val="none"/>
        </w:rPr>
        <w:t>本项目如涉及系统迁移，为保障业务系统的连续性，投标人应承诺自中标之日起，积极与原服务商对接，在1个工作日内，完成系统迁移平滑过渡，且因此产生的各项费用（包括但不限于测试阶段的云资源费用，系统开发商对业务系统的部署、调试费用等），应包含在投标人的报价中，提供“承诺函”并加盖投标人公章。</w:t>
      </w:r>
    </w:p>
    <w:p w14:paraId="3AAB8D01">
      <w:pPr>
        <w:widowControl/>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2.2采购标的的其他技术、服务等要求</w:t>
      </w:r>
    </w:p>
    <w:p w14:paraId="16A59E22">
      <w:pPr>
        <w:pStyle w:val="4"/>
        <w:snapToGrid w:val="0"/>
        <w:ind w:firstLine="480"/>
        <w:rPr>
          <w:rFonts w:hint="eastAsia" w:hAnsi="宋体" w:cs="宋体"/>
          <w:color w:val="auto"/>
          <w:highlight w:val="none"/>
        </w:rPr>
      </w:pPr>
      <w:r>
        <w:rPr>
          <w:rFonts w:hint="eastAsia" w:hAnsi="宋体" w:cs="宋体"/>
          <w:color w:val="auto"/>
          <w:highlight w:val="none"/>
        </w:rPr>
        <w:t>2.2.1服务规范</w:t>
      </w:r>
    </w:p>
    <w:p w14:paraId="04960056">
      <w:pPr>
        <w:pStyle w:val="5"/>
        <w:widowControl w:val="0"/>
        <w:snapToGrid w:val="0"/>
        <w:spacing w:before="0" w:beforeAutospacing="0" w:after="0" w:afterAutospacing="0" w:line="360" w:lineRule="auto"/>
        <w:ind w:firstLine="480" w:firstLineChars="200"/>
        <w:jc w:val="both"/>
        <w:rPr>
          <w:rFonts w:hint="eastAsia"/>
          <w:color w:val="auto"/>
          <w:highlight w:val="none"/>
        </w:rPr>
      </w:pPr>
      <w:r>
        <w:rPr>
          <w:rFonts w:hint="eastAsia"/>
          <w:color w:val="auto"/>
          <w:kern w:val="2"/>
          <w:highlight w:val="none"/>
          <w:lang w:bidi="ar"/>
        </w:rPr>
        <w:t>投标人须严格按照采购人制定的管理办法、流程及其他汇报制度、应急制度、文档管理、资产管理、基线管理、人员管理、培训与考试、知识库管理、安全管理等相关制度，开展标准化运维工作。</w:t>
      </w:r>
    </w:p>
    <w:p w14:paraId="57400110">
      <w:pPr>
        <w:pStyle w:val="5"/>
        <w:widowControl w:val="0"/>
        <w:snapToGrid w:val="0"/>
        <w:spacing w:before="0" w:beforeAutospacing="0" w:after="0" w:afterAutospacing="0" w:line="360" w:lineRule="auto"/>
        <w:ind w:firstLine="480" w:firstLineChars="200"/>
        <w:jc w:val="both"/>
        <w:rPr>
          <w:rFonts w:hint="eastAsia"/>
          <w:color w:val="auto"/>
          <w:highlight w:val="none"/>
        </w:rPr>
      </w:pPr>
      <w:r>
        <w:rPr>
          <w:rFonts w:hint="eastAsia"/>
          <w:color w:val="auto"/>
          <w:kern w:val="2"/>
          <w:highlight w:val="none"/>
          <w:lang w:bidi="ar"/>
        </w:rPr>
        <w:t>投标人应遵从政务云管理单位的日常管理要求，包括但不限于使用政务云管理单位指定的安全通信工具，确保通信和协调信息处于可控范围。</w:t>
      </w:r>
    </w:p>
    <w:p w14:paraId="6A619D4E">
      <w:pPr>
        <w:pStyle w:val="4"/>
        <w:snapToGrid w:val="0"/>
        <w:ind w:firstLine="480"/>
        <w:rPr>
          <w:rFonts w:hint="eastAsia" w:hAnsi="宋体" w:cs="宋体"/>
          <w:color w:val="auto"/>
          <w:highlight w:val="none"/>
        </w:rPr>
      </w:pPr>
      <w:r>
        <w:rPr>
          <w:rFonts w:hint="eastAsia" w:hAnsi="宋体" w:cs="宋体"/>
          <w:color w:val="auto"/>
          <w:highlight w:val="none"/>
        </w:rPr>
        <w:t xml:space="preserve"> </w:t>
      </w:r>
      <w:bookmarkStart w:id="13" w:name="_Toc15656"/>
      <w:r>
        <w:rPr>
          <w:rFonts w:hint="eastAsia" w:hAnsi="宋体" w:cs="宋体"/>
          <w:color w:val="auto"/>
          <w:highlight w:val="none"/>
        </w:rPr>
        <w:t>2.2.2保密要求</w:t>
      </w:r>
      <w:bookmarkEnd w:id="13"/>
    </w:p>
    <w:p w14:paraId="5EC1DDBF">
      <w:pPr>
        <w:pStyle w:val="4"/>
        <w:numPr>
          <w:ilvl w:val="0"/>
          <w:numId w:val="17"/>
        </w:numPr>
        <w:snapToGrid w:val="0"/>
        <w:ind w:firstLine="480"/>
        <w:rPr>
          <w:rFonts w:hint="eastAsia" w:hAnsi="宋体" w:cs="宋体"/>
          <w:color w:val="auto"/>
          <w:highlight w:val="none"/>
        </w:rPr>
      </w:pPr>
      <w:r>
        <w:rPr>
          <w:rFonts w:hint="eastAsia" w:hAnsi="宋体" w:cs="宋体"/>
          <w:color w:val="auto"/>
          <w:highlight w:val="none"/>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39A167F9">
      <w:pPr>
        <w:pStyle w:val="4"/>
        <w:numPr>
          <w:ilvl w:val="0"/>
          <w:numId w:val="17"/>
        </w:numPr>
        <w:snapToGrid w:val="0"/>
        <w:ind w:firstLine="480"/>
        <w:rPr>
          <w:rFonts w:hint="eastAsia" w:hAnsi="宋体" w:cs="宋体"/>
          <w:color w:val="auto"/>
          <w:highlight w:val="none"/>
        </w:rPr>
      </w:pPr>
      <w:r>
        <w:rPr>
          <w:rFonts w:hint="eastAsia" w:hAnsi="宋体" w:cs="宋体"/>
          <w:color w:val="auto"/>
          <w:highlight w:val="none"/>
        </w:rPr>
        <w:t>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74CC05DD">
      <w:pPr>
        <w:pStyle w:val="4"/>
        <w:numPr>
          <w:ilvl w:val="0"/>
          <w:numId w:val="17"/>
        </w:numPr>
        <w:snapToGrid w:val="0"/>
        <w:ind w:firstLine="480"/>
        <w:rPr>
          <w:rFonts w:hint="eastAsia" w:hAnsi="宋体" w:cs="宋体"/>
          <w:color w:val="auto"/>
          <w:highlight w:val="none"/>
        </w:rPr>
      </w:pPr>
      <w:r>
        <w:rPr>
          <w:rFonts w:hint="eastAsia" w:hAnsi="宋体" w:cs="宋体"/>
          <w:color w:val="auto"/>
          <w:highlight w:val="none"/>
        </w:rPr>
        <w:t>投标人保证将保密信息的披露范围严格控制在直接从事该项目工作且因工作需要有必要知悉保密信息的工作人员范围内,对投标人非从事该项目的人员一律严格保密。</w:t>
      </w:r>
    </w:p>
    <w:p w14:paraId="233CFC7F">
      <w:pPr>
        <w:pStyle w:val="4"/>
        <w:numPr>
          <w:ilvl w:val="0"/>
          <w:numId w:val="17"/>
        </w:numPr>
        <w:snapToGrid w:val="0"/>
        <w:ind w:firstLine="480"/>
        <w:rPr>
          <w:rFonts w:hint="eastAsia" w:hAnsi="宋体" w:cs="宋体"/>
          <w:color w:val="auto"/>
          <w:highlight w:val="none"/>
        </w:rPr>
      </w:pPr>
      <w:r>
        <w:rPr>
          <w:rFonts w:hint="eastAsia" w:hAnsi="宋体" w:cs="宋体"/>
          <w:color w:val="auto"/>
          <w:highlight w:val="none"/>
        </w:rPr>
        <w:t>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60561035">
      <w:pPr>
        <w:pStyle w:val="4"/>
        <w:numPr>
          <w:ilvl w:val="0"/>
          <w:numId w:val="17"/>
        </w:numPr>
        <w:snapToGrid w:val="0"/>
        <w:ind w:firstLine="480"/>
        <w:rPr>
          <w:rFonts w:hint="eastAsia" w:hAnsi="宋体" w:cs="宋体"/>
          <w:color w:val="auto"/>
          <w:highlight w:val="none"/>
        </w:rPr>
      </w:pPr>
      <w:r>
        <w:rPr>
          <w:rFonts w:hint="eastAsia" w:hAnsi="宋体" w:cs="宋体"/>
          <w:color w:val="auto"/>
          <w:highlight w:val="none"/>
        </w:rPr>
        <w:t>任何时间内，一经采购人提出要求，投标人应按照采购人指示在收到采购人书面通知后 5 日内将含有保密信息的所有文件或其他资料归还采购人，且不得擅自复制留存。</w:t>
      </w:r>
    </w:p>
    <w:p w14:paraId="66834FC9">
      <w:pPr>
        <w:pStyle w:val="4"/>
        <w:numPr>
          <w:ilvl w:val="0"/>
          <w:numId w:val="17"/>
        </w:numPr>
        <w:snapToGrid w:val="0"/>
        <w:ind w:firstLine="480"/>
        <w:rPr>
          <w:rFonts w:hint="eastAsia" w:hAnsi="宋体" w:cs="宋体"/>
          <w:color w:val="auto"/>
          <w:highlight w:val="none"/>
        </w:rPr>
      </w:pPr>
      <w:r>
        <w:rPr>
          <w:rFonts w:hint="eastAsia" w:hAnsi="宋体" w:cs="宋体"/>
          <w:color w:val="auto"/>
          <w:highlight w:val="none"/>
        </w:rPr>
        <w:t>非经采购人特别授权，采购人向投标人提供的任何保密信息并不包括授予投标人该保密信息包含的任何专利权、商标权、著作权、商业秘密或其它类型的知识产权。</w:t>
      </w:r>
    </w:p>
    <w:p w14:paraId="0F4B87F5">
      <w:pPr>
        <w:pStyle w:val="4"/>
        <w:numPr>
          <w:ilvl w:val="0"/>
          <w:numId w:val="17"/>
        </w:numPr>
        <w:snapToGrid w:val="0"/>
        <w:ind w:firstLine="480"/>
        <w:rPr>
          <w:rFonts w:hint="eastAsia" w:hAnsi="宋体" w:cs="宋体"/>
          <w:color w:val="auto"/>
          <w:highlight w:val="none"/>
        </w:rPr>
      </w:pPr>
      <w:r>
        <w:rPr>
          <w:rFonts w:hint="eastAsia" w:hAnsi="宋体" w:cs="宋体"/>
          <w:color w:val="auto"/>
          <w:highlight w:val="none"/>
        </w:rPr>
        <w:t>投标人承担上述保密义务的期限为合同有效期间及合同终止后2年，承担上述保密义务的责任主体为投标人（含投标人服务人员）。</w:t>
      </w:r>
    </w:p>
    <w:p w14:paraId="7E735E36">
      <w:pPr>
        <w:pStyle w:val="4"/>
        <w:numPr>
          <w:ilvl w:val="0"/>
          <w:numId w:val="17"/>
        </w:numPr>
        <w:snapToGrid w:val="0"/>
        <w:ind w:firstLine="480"/>
        <w:rPr>
          <w:rFonts w:hint="eastAsia" w:hAnsi="宋体" w:cs="宋体"/>
          <w:color w:val="auto"/>
          <w:highlight w:val="none"/>
        </w:rPr>
      </w:pPr>
      <w:r>
        <w:rPr>
          <w:rFonts w:hint="eastAsia" w:hAnsi="宋体" w:cs="宋体"/>
          <w:color w:val="auto"/>
          <w:highlight w:val="none"/>
        </w:rPr>
        <w:t>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0CC31BD7">
      <w:pPr>
        <w:pStyle w:val="4"/>
        <w:numPr>
          <w:ilvl w:val="0"/>
          <w:numId w:val="17"/>
        </w:numPr>
        <w:snapToGrid w:val="0"/>
        <w:ind w:firstLine="480"/>
        <w:rPr>
          <w:rFonts w:hint="eastAsia" w:hAnsi="宋体" w:cs="宋体"/>
          <w:color w:val="auto"/>
          <w:highlight w:val="none"/>
        </w:rPr>
      </w:pPr>
      <w:r>
        <w:rPr>
          <w:rFonts w:hint="eastAsia" w:hAnsi="宋体" w:cs="宋体"/>
          <w:color w:val="auto"/>
          <w:highlight w:val="none"/>
        </w:rPr>
        <w:t>投标人应当对获悉的政务数据、个人信息等予以保密，不得用于其他用途，不得泄露、出售或者非法向他人提供。</w:t>
      </w:r>
    </w:p>
    <w:p w14:paraId="53C6DA0F">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3.验收标准</w:t>
      </w:r>
    </w:p>
    <w:p w14:paraId="50A25EA5">
      <w:pPr>
        <w:snapToGrid w:val="0"/>
        <w:spacing w:line="360" w:lineRule="auto"/>
        <w:ind w:firstLine="480" w:firstLineChars="200"/>
        <w:rPr>
          <w:rFonts w:hint="eastAsia" w:ascii="宋体" w:hAnsi="宋体" w:cs="宋体"/>
          <w:bCs/>
          <w:color w:val="auto"/>
          <w:sz w:val="24"/>
          <w:highlight w:val="none"/>
        </w:rPr>
      </w:pPr>
      <w:bookmarkStart w:id="14" w:name="_Toc172656540"/>
      <w:r>
        <w:rPr>
          <w:rFonts w:hint="eastAsia" w:ascii="宋体" w:hAnsi="宋体" w:cs="宋体"/>
          <w:bCs/>
          <w:color w:val="auto"/>
          <w:sz w:val="24"/>
          <w:highlight w:val="none"/>
        </w:rPr>
        <w:t>3.1服务绩效指标</w:t>
      </w:r>
      <w:bookmarkEnd w:id="14"/>
    </w:p>
    <w:p w14:paraId="116FF738">
      <w:pPr>
        <w:pStyle w:val="2"/>
        <w:snapToGrid w:val="0"/>
        <w:ind w:left="840"/>
        <w:rPr>
          <w:rFonts w:hint="eastAsia" w:cs="宋体"/>
          <w:color w:val="auto"/>
          <w:highlight w:val="none"/>
        </w:rPr>
      </w:pPr>
      <w:r>
        <w:rPr>
          <w:rFonts w:hint="eastAsia" w:cs="宋体"/>
          <w:color w:val="auto"/>
          <w:highlight w:val="none"/>
        </w:rPr>
        <w:t>3.1.1云服务全年整体可用性≥99.9%；</w:t>
      </w:r>
    </w:p>
    <w:p w14:paraId="1FFBCACB">
      <w:pPr>
        <w:pStyle w:val="2"/>
        <w:snapToGrid w:val="0"/>
        <w:ind w:left="840"/>
        <w:rPr>
          <w:rFonts w:hint="eastAsia" w:cs="宋体"/>
          <w:color w:val="auto"/>
          <w:highlight w:val="none"/>
        </w:rPr>
      </w:pPr>
      <w:r>
        <w:rPr>
          <w:rFonts w:hint="eastAsia" w:cs="宋体"/>
          <w:color w:val="auto"/>
          <w:highlight w:val="none"/>
        </w:rPr>
        <w:t>3.1.2故障响应率100%；</w:t>
      </w:r>
    </w:p>
    <w:p w14:paraId="487D9FEC">
      <w:pPr>
        <w:pStyle w:val="2"/>
        <w:snapToGrid w:val="0"/>
        <w:ind w:left="840"/>
        <w:rPr>
          <w:rFonts w:hint="eastAsia" w:cs="宋体"/>
          <w:color w:val="auto"/>
          <w:highlight w:val="none"/>
        </w:rPr>
      </w:pPr>
      <w:r>
        <w:rPr>
          <w:rFonts w:hint="eastAsia" w:cs="宋体"/>
          <w:color w:val="auto"/>
          <w:highlight w:val="none"/>
        </w:rPr>
        <w:t>3.1.3应急响应时间≤15分钟；</w:t>
      </w:r>
    </w:p>
    <w:p w14:paraId="26F1FA50">
      <w:pPr>
        <w:snapToGrid w:val="0"/>
        <w:spacing w:line="360" w:lineRule="auto"/>
        <w:ind w:firstLine="480" w:firstLineChars="200"/>
        <w:rPr>
          <w:rFonts w:hint="eastAsia" w:ascii="宋体" w:hAnsi="宋体" w:cs="宋体"/>
          <w:bCs/>
          <w:color w:val="auto"/>
          <w:sz w:val="24"/>
          <w:highlight w:val="none"/>
        </w:rPr>
      </w:pPr>
      <w:bookmarkStart w:id="15" w:name="_Toc172656541"/>
      <w:r>
        <w:rPr>
          <w:rFonts w:hint="eastAsia" w:ascii="宋体" w:hAnsi="宋体" w:cs="宋体"/>
          <w:bCs/>
          <w:color w:val="auto"/>
          <w:sz w:val="24"/>
          <w:highlight w:val="none"/>
        </w:rPr>
        <w:t>3.2项目验收要求</w:t>
      </w:r>
      <w:bookmarkEnd w:id="15"/>
    </w:p>
    <w:p w14:paraId="5C151B28">
      <w:pPr>
        <w:pStyle w:val="4"/>
        <w:snapToGrid w:val="0"/>
        <w:spacing w:line="360" w:lineRule="auto"/>
        <w:ind w:firstLine="480" w:firstLineChars="200"/>
        <w:rPr>
          <w:rFonts w:hint="eastAsia" w:hAnsi="宋体" w:cs="宋体"/>
          <w:color w:val="auto"/>
          <w:highlight w:val="none"/>
        </w:rPr>
      </w:pPr>
      <w:bookmarkStart w:id="16" w:name="OLE_LINK12"/>
      <w:r>
        <w:rPr>
          <w:rFonts w:hint="eastAsia" w:hAnsi="宋体" w:cs="宋体"/>
          <w:color w:val="auto"/>
          <w:highlight w:val="none"/>
        </w:rPr>
        <w:t>采购人</w:t>
      </w:r>
      <w:bookmarkEnd w:id="16"/>
      <w:r>
        <w:rPr>
          <w:rFonts w:hint="eastAsia" w:hAnsi="宋体" w:cs="宋体"/>
          <w:color w:val="auto"/>
          <w:highlight w:val="none"/>
        </w:rPr>
        <w:t>在服务期满后 15 个工作日内对</w:t>
      </w:r>
      <w:bookmarkStart w:id="17" w:name="OLE_LINK11"/>
      <w:r>
        <w:rPr>
          <w:rFonts w:hint="eastAsia" w:hAnsi="宋体" w:cs="宋体"/>
          <w:color w:val="auto"/>
          <w:highlight w:val="none"/>
        </w:rPr>
        <w:t>投标人</w:t>
      </w:r>
      <w:bookmarkEnd w:id="17"/>
      <w:r>
        <w:rPr>
          <w:rFonts w:hint="eastAsia" w:hAnsi="宋体" w:cs="宋体"/>
          <w:color w:val="auto"/>
          <w:highlight w:val="none"/>
        </w:rPr>
        <w:t>服务情况进行验收。投标人应当在验收前向采购人提交验收材料。验收合格的，采购人在验收材料上盖章或签字；验收不合格的，投标人应当在【5】日内进行返工或调整，并重新提交采购人验收。</w:t>
      </w:r>
    </w:p>
    <w:p w14:paraId="521A3C28">
      <w:pPr>
        <w:spacing w:line="360" w:lineRule="auto"/>
        <w:ind w:firstLine="482" w:firstLineChars="200"/>
        <w:contextualSpacing/>
        <w:rPr>
          <w:rFonts w:hint="eastAsia" w:ascii="宋体" w:hAnsi="宋体" w:cs="宋体"/>
          <w:b/>
          <w:color w:val="auto"/>
          <w:sz w:val="24"/>
          <w:highlight w:val="none"/>
        </w:rPr>
      </w:pPr>
      <w:r>
        <w:rPr>
          <w:rFonts w:hint="eastAsia" w:ascii="宋体" w:hAnsi="宋体" w:cs="宋体"/>
          <w:b/>
          <w:color w:val="auto"/>
          <w:sz w:val="24"/>
          <w:highlight w:val="none"/>
        </w:rPr>
        <w:t>4.其他要求</w:t>
      </w:r>
    </w:p>
    <w:p w14:paraId="020C1FF0">
      <w:pPr>
        <w:pStyle w:val="4"/>
        <w:snapToGrid w:val="0"/>
        <w:ind w:firstLine="480"/>
        <w:rPr>
          <w:rFonts w:hint="eastAsia" w:hAnsi="宋体" w:cs="宋体"/>
          <w:color w:val="auto"/>
          <w:highlight w:val="none"/>
        </w:rPr>
      </w:pPr>
      <w:r>
        <w:rPr>
          <w:rFonts w:hint="eastAsia" w:hAnsi="宋体" w:cs="宋体"/>
          <w:color w:val="auto"/>
          <w:highlight w:val="none"/>
        </w:rPr>
        <w:t>4.1服务期内，投标人须设有7×24小时电话响应服务、具备运维团队，提供售后服务保障。团队成员应明确职责，架构清晰，岗位设置合理，且具备与本项目相关的项目经验。</w:t>
      </w:r>
    </w:p>
    <w:p w14:paraId="47AFB99D">
      <w:pPr>
        <w:pStyle w:val="4"/>
        <w:snapToGrid w:val="0"/>
        <w:ind w:firstLine="480"/>
        <w:rPr>
          <w:rFonts w:hint="eastAsia" w:hAnsi="宋体" w:cs="宋体"/>
          <w:color w:val="auto"/>
          <w:highlight w:val="none"/>
        </w:rPr>
      </w:pPr>
      <w:r>
        <w:rPr>
          <w:rFonts w:hint="eastAsia" w:hAnsi="宋体" w:cs="宋体"/>
          <w:color w:val="auto"/>
          <w:highlight w:val="none"/>
        </w:rPr>
        <w:t>4.2投标人须提供1名项目经理及7名项目团队专职人员，为本项目提供服务。项目经理需按照采购人要求，承担云资源服务保障具体工作，技术支持人员要求如下：</w:t>
      </w:r>
    </w:p>
    <w:p w14:paraId="7812E98A">
      <w:pPr>
        <w:pStyle w:val="4"/>
        <w:snapToGrid w:val="0"/>
        <w:ind w:firstLine="3132" w:firstLineChars="1300"/>
        <w:rPr>
          <w:rFonts w:hint="eastAsia" w:hAnsi="宋体" w:cs="宋体"/>
          <w:b/>
          <w:color w:val="auto"/>
          <w:highlight w:val="none"/>
        </w:rPr>
      </w:pPr>
      <w:r>
        <w:rPr>
          <w:rFonts w:hint="eastAsia" w:hAnsi="宋体" w:cs="宋体"/>
          <w:b/>
          <w:color w:val="auto"/>
          <w:highlight w:val="none"/>
        </w:rPr>
        <w:t>服务团队人员要求</w:t>
      </w:r>
    </w:p>
    <w:tbl>
      <w:tblPr>
        <w:tblStyle w:val="6"/>
        <w:tblW w:w="8519" w:type="dxa"/>
        <w:tblInd w:w="0" w:type="dxa"/>
        <w:tblLayout w:type="fixed"/>
        <w:tblCellMar>
          <w:top w:w="0" w:type="dxa"/>
          <w:left w:w="108" w:type="dxa"/>
          <w:bottom w:w="0" w:type="dxa"/>
          <w:right w:w="108" w:type="dxa"/>
        </w:tblCellMar>
      </w:tblPr>
      <w:tblGrid>
        <w:gridCol w:w="958"/>
        <w:gridCol w:w="714"/>
        <w:gridCol w:w="1352"/>
        <w:gridCol w:w="1962"/>
        <w:gridCol w:w="3533"/>
      </w:tblGrid>
      <w:tr w14:paraId="3C522C71">
        <w:tblPrEx>
          <w:tblCellMar>
            <w:top w:w="0" w:type="dxa"/>
            <w:left w:w="108" w:type="dxa"/>
            <w:bottom w:w="0" w:type="dxa"/>
            <w:right w:w="108" w:type="dxa"/>
          </w:tblCellMar>
        </w:tblPrEx>
        <w:trPr>
          <w:trHeight w:val="700" w:hRule="atLeast"/>
        </w:trPr>
        <w:tc>
          <w:tcPr>
            <w:tcW w:w="958" w:type="dxa"/>
            <w:tcBorders>
              <w:top w:val="single" w:color="auto" w:sz="4" w:space="0"/>
              <w:left w:val="single" w:color="auto" w:sz="4" w:space="0"/>
              <w:bottom w:val="single" w:color="auto" w:sz="4" w:space="0"/>
              <w:right w:val="single" w:color="auto" w:sz="4" w:space="0"/>
            </w:tcBorders>
            <w:vAlign w:val="center"/>
          </w:tcPr>
          <w:p w14:paraId="78B3D352">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岗位</w:t>
            </w:r>
          </w:p>
        </w:tc>
        <w:tc>
          <w:tcPr>
            <w:tcW w:w="714" w:type="dxa"/>
            <w:tcBorders>
              <w:top w:val="single" w:color="auto" w:sz="4" w:space="0"/>
              <w:left w:val="single" w:color="auto" w:sz="4" w:space="0"/>
              <w:bottom w:val="single" w:color="auto" w:sz="4" w:space="0"/>
              <w:right w:val="single" w:color="auto" w:sz="4" w:space="0"/>
            </w:tcBorders>
            <w:vAlign w:val="center"/>
          </w:tcPr>
          <w:p w14:paraId="30DDBB47">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数量</w:t>
            </w:r>
          </w:p>
        </w:tc>
        <w:tc>
          <w:tcPr>
            <w:tcW w:w="1352" w:type="dxa"/>
            <w:tcBorders>
              <w:top w:val="single" w:color="auto" w:sz="4" w:space="0"/>
              <w:left w:val="single" w:color="auto" w:sz="4" w:space="0"/>
              <w:bottom w:val="single" w:color="auto" w:sz="4" w:space="0"/>
              <w:right w:val="single" w:color="auto" w:sz="4" w:space="0"/>
            </w:tcBorders>
            <w:vAlign w:val="center"/>
          </w:tcPr>
          <w:p w14:paraId="36F7BA01">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学历</w:t>
            </w:r>
          </w:p>
        </w:tc>
        <w:tc>
          <w:tcPr>
            <w:tcW w:w="1962" w:type="dxa"/>
            <w:tcBorders>
              <w:top w:val="single" w:color="auto" w:sz="6" w:space="0"/>
              <w:left w:val="single" w:color="auto" w:sz="4" w:space="0"/>
              <w:bottom w:val="single" w:color="auto" w:sz="6" w:space="0"/>
              <w:right w:val="single" w:color="auto" w:sz="6" w:space="0"/>
            </w:tcBorders>
            <w:vAlign w:val="center"/>
          </w:tcPr>
          <w:p w14:paraId="1DF33180">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工作经验</w:t>
            </w:r>
          </w:p>
        </w:tc>
        <w:tc>
          <w:tcPr>
            <w:tcW w:w="3533" w:type="dxa"/>
            <w:tcBorders>
              <w:top w:val="single" w:color="auto" w:sz="6" w:space="0"/>
              <w:left w:val="single" w:color="auto" w:sz="6" w:space="0"/>
              <w:bottom w:val="single" w:color="auto" w:sz="6" w:space="0"/>
              <w:right w:val="single" w:color="auto" w:sz="6" w:space="0"/>
            </w:tcBorders>
            <w:vAlign w:val="center"/>
          </w:tcPr>
          <w:p w14:paraId="0F9394B1">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color w:val="auto"/>
                <w:sz w:val="24"/>
                <w:highlight w:val="none"/>
              </w:rPr>
              <w:t>岗位需具备的上岗资格证等要求</w:t>
            </w:r>
          </w:p>
        </w:tc>
      </w:tr>
      <w:tr w14:paraId="3EE9077F">
        <w:tblPrEx>
          <w:tblCellMar>
            <w:top w:w="0" w:type="dxa"/>
            <w:left w:w="108" w:type="dxa"/>
            <w:bottom w:w="0" w:type="dxa"/>
            <w:right w:w="108" w:type="dxa"/>
          </w:tblCellMar>
        </w:tblPrEx>
        <w:trPr>
          <w:trHeight w:val="1270" w:hRule="atLeast"/>
        </w:trPr>
        <w:tc>
          <w:tcPr>
            <w:tcW w:w="958" w:type="dxa"/>
            <w:tcBorders>
              <w:top w:val="single" w:color="auto" w:sz="4" w:space="0"/>
              <w:left w:val="single" w:color="auto" w:sz="4" w:space="0"/>
              <w:bottom w:val="single" w:color="auto" w:sz="4" w:space="0"/>
              <w:right w:val="single" w:color="auto" w:sz="4" w:space="0"/>
            </w:tcBorders>
            <w:vAlign w:val="center"/>
          </w:tcPr>
          <w:p w14:paraId="29857D61">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项目</w:t>
            </w:r>
          </w:p>
          <w:p w14:paraId="58353EF8">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经理</w:t>
            </w:r>
          </w:p>
        </w:tc>
        <w:tc>
          <w:tcPr>
            <w:tcW w:w="714" w:type="dxa"/>
            <w:tcBorders>
              <w:top w:val="single" w:color="auto" w:sz="4" w:space="0"/>
              <w:left w:val="single" w:color="auto" w:sz="4" w:space="0"/>
              <w:bottom w:val="single" w:color="auto" w:sz="4" w:space="0"/>
              <w:right w:val="single" w:color="auto" w:sz="4" w:space="0"/>
            </w:tcBorders>
            <w:vAlign w:val="center"/>
          </w:tcPr>
          <w:p w14:paraId="39C71C2A">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352" w:type="dxa"/>
            <w:tcBorders>
              <w:top w:val="single" w:color="auto" w:sz="4" w:space="0"/>
              <w:left w:val="single" w:color="auto" w:sz="4" w:space="0"/>
              <w:bottom w:val="single" w:color="auto" w:sz="4" w:space="0"/>
              <w:right w:val="single" w:color="auto" w:sz="4" w:space="0"/>
            </w:tcBorders>
            <w:vAlign w:val="center"/>
          </w:tcPr>
          <w:p w14:paraId="1F51EE37">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本科及以上</w:t>
            </w:r>
          </w:p>
        </w:tc>
        <w:tc>
          <w:tcPr>
            <w:tcW w:w="1962" w:type="dxa"/>
            <w:tcBorders>
              <w:top w:val="single" w:color="auto" w:sz="6" w:space="0"/>
              <w:left w:val="single" w:color="auto" w:sz="4" w:space="0"/>
              <w:bottom w:val="single" w:color="auto" w:sz="6" w:space="0"/>
              <w:right w:val="single" w:color="auto" w:sz="6" w:space="0"/>
            </w:tcBorders>
            <w:vAlign w:val="center"/>
          </w:tcPr>
          <w:p w14:paraId="182D9870">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有10年及以上</w:t>
            </w:r>
            <w:r>
              <w:rPr>
                <w:rFonts w:hint="eastAsia" w:ascii="宋体" w:hAnsi="宋体" w:cs="宋体"/>
                <w:color w:val="auto"/>
                <w:sz w:val="24"/>
                <w:highlight w:val="none"/>
              </w:rPr>
              <w:t>从事云技术服务</w:t>
            </w:r>
            <w:r>
              <w:rPr>
                <w:rFonts w:hint="eastAsia" w:ascii="宋体" w:hAnsi="宋体" w:cs="宋体"/>
                <w:bCs/>
                <w:color w:val="auto"/>
                <w:sz w:val="24"/>
                <w:highlight w:val="none"/>
              </w:rPr>
              <w:t>工作经验</w:t>
            </w:r>
          </w:p>
        </w:tc>
        <w:tc>
          <w:tcPr>
            <w:tcW w:w="3533" w:type="dxa"/>
            <w:vMerge w:val="restart"/>
            <w:tcBorders>
              <w:top w:val="single" w:color="auto" w:sz="6" w:space="0"/>
              <w:left w:val="single" w:color="auto" w:sz="6" w:space="0"/>
              <w:right w:val="single" w:color="auto" w:sz="6" w:space="0"/>
            </w:tcBorders>
            <w:vAlign w:val="center"/>
          </w:tcPr>
          <w:p w14:paraId="79CE61AA">
            <w:pPr>
              <w:rPr>
                <w:rFonts w:hint="eastAsia" w:ascii="宋体" w:hAnsi="宋体" w:cs="宋体"/>
                <w:color w:val="auto"/>
                <w:sz w:val="24"/>
                <w:highlight w:val="none"/>
              </w:rPr>
            </w:pPr>
            <w:r>
              <w:rPr>
                <w:rFonts w:hint="eastAsia" w:ascii="宋体" w:hAnsi="宋体" w:cs="宋体"/>
                <w:b/>
                <w:color w:val="auto"/>
                <w:sz w:val="24"/>
                <w:highlight w:val="none"/>
              </w:rPr>
              <w:t>项目经理应具有</w:t>
            </w:r>
            <w:r>
              <w:rPr>
                <w:rFonts w:hint="eastAsia" w:ascii="宋体" w:hAnsi="宋体" w:cs="宋体"/>
                <w:color w:val="auto"/>
                <w:sz w:val="24"/>
                <w:highlight w:val="none"/>
                <w:lang w:bidi="ar"/>
              </w:rPr>
              <w:t>信息系统项目管理师（高级）证书；</w:t>
            </w:r>
          </w:p>
          <w:p w14:paraId="1C870A22">
            <w:pPr>
              <w:rPr>
                <w:rFonts w:hint="eastAsia" w:ascii="宋体" w:hAnsi="宋体" w:cs="宋体"/>
                <w:color w:val="auto"/>
                <w:sz w:val="24"/>
                <w:highlight w:val="none"/>
              </w:rPr>
            </w:pPr>
            <w:r>
              <w:rPr>
                <w:rFonts w:hint="eastAsia" w:ascii="宋体" w:hAnsi="宋体" w:cs="宋体"/>
                <w:color w:val="auto"/>
                <w:sz w:val="24"/>
                <w:highlight w:val="none"/>
                <w:lang w:bidi="ar"/>
              </w:rPr>
              <w:t>技术负责人应具有</w:t>
            </w:r>
            <w:r>
              <w:rPr>
                <w:rFonts w:hint="eastAsia" w:ascii="宋体" w:hAnsi="宋体" w:cs="宋体"/>
                <w:color w:val="auto"/>
                <w:sz w:val="24"/>
                <w:highlight w:val="none"/>
              </w:rPr>
              <w:t>信息安全保障人员认证证书（CISAW）；</w:t>
            </w:r>
          </w:p>
          <w:p w14:paraId="29D42D8C">
            <w:pPr>
              <w:rPr>
                <w:rFonts w:hint="eastAsia" w:ascii="宋体" w:hAnsi="宋体" w:cs="宋体"/>
                <w:color w:val="auto"/>
                <w:sz w:val="24"/>
                <w:highlight w:val="none"/>
              </w:rPr>
            </w:pPr>
            <w:r>
              <w:rPr>
                <w:rFonts w:hint="eastAsia" w:ascii="宋体" w:hAnsi="宋体" w:cs="宋体"/>
                <w:color w:val="auto"/>
                <w:sz w:val="24"/>
                <w:highlight w:val="none"/>
              </w:rPr>
              <w:t>项目组其他成员应具有注册信息安全工程师证书（CISP）</w:t>
            </w:r>
          </w:p>
          <w:p w14:paraId="3DCF1199">
            <w:pPr>
              <w:rPr>
                <w:rFonts w:hint="eastAsia" w:ascii="宋体" w:hAnsi="宋体" w:cs="宋体"/>
                <w:color w:val="auto"/>
                <w:sz w:val="24"/>
                <w:highlight w:val="none"/>
              </w:rPr>
            </w:pPr>
          </w:p>
        </w:tc>
      </w:tr>
      <w:tr w14:paraId="77D95EBB">
        <w:tblPrEx>
          <w:tblCellMar>
            <w:top w:w="0" w:type="dxa"/>
            <w:left w:w="108" w:type="dxa"/>
            <w:bottom w:w="0" w:type="dxa"/>
            <w:right w:w="108" w:type="dxa"/>
          </w:tblCellMar>
        </w:tblPrEx>
        <w:trPr>
          <w:trHeight w:val="1405" w:hRule="atLeast"/>
        </w:trPr>
        <w:tc>
          <w:tcPr>
            <w:tcW w:w="958" w:type="dxa"/>
            <w:tcBorders>
              <w:top w:val="single" w:color="auto" w:sz="4" w:space="0"/>
              <w:left w:val="single" w:color="auto" w:sz="4" w:space="0"/>
              <w:bottom w:val="single" w:color="auto" w:sz="4" w:space="0"/>
              <w:right w:val="single" w:color="auto" w:sz="4" w:space="0"/>
            </w:tcBorders>
            <w:vAlign w:val="center"/>
          </w:tcPr>
          <w:p w14:paraId="6EFAFDB1">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技术负责人</w:t>
            </w:r>
          </w:p>
        </w:tc>
        <w:tc>
          <w:tcPr>
            <w:tcW w:w="714" w:type="dxa"/>
            <w:tcBorders>
              <w:top w:val="single" w:color="auto" w:sz="4" w:space="0"/>
              <w:left w:val="single" w:color="auto" w:sz="4" w:space="0"/>
              <w:bottom w:val="single" w:color="auto" w:sz="4" w:space="0"/>
              <w:right w:val="single" w:color="auto" w:sz="4" w:space="0"/>
            </w:tcBorders>
            <w:vAlign w:val="center"/>
          </w:tcPr>
          <w:p w14:paraId="74E4F297">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352" w:type="dxa"/>
            <w:tcBorders>
              <w:top w:val="single" w:color="auto" w:sz="4" w:space="0"/>
              <w:left w:val="single" w:color="auto" w:sz="4" w:space="0"/>
              <w:bottom w:val="single" w:color="auto" w:sz="4" w:space="0"/>
              <w:right w:val="single" w:color="auto" w:sz="4" w:space="0"/>
            </w:tcBorders>
            <w:vAlign w:val="center"/>
          </w:tcPr>
          <w:p w14:paraId="53B347D1">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本科及以上</w:t>
            </w:r>
          </w:p>
        </w:tc>
        <w:tc>
          <w:tcPr>
            <w:tcW w:w="1962" w:type="dxa"/>
            <w:tcBorders>
              <w:top w:val="single" w:color="auto" w:sz="6" w:space="0"/>
              <w:left w:val="single" w:color="auto" w:sz="4" w:space="0"/>
              <w:bottom w:val="single" w:color="auto" w:sz="6" w:space="0"/>
              <w:right w:val="single" w:color="auto" w:sz="6" w:space="0"/>
            </w:tcBorders>
            <w:vAlign w:val="center"/>
          </w:tcPr>
          <w:p w14:paraId="3BB9246E">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有5年及以上</w:t>
            </w:r>
            <w:r>
              <w:rPr>
                <w:rFonts w:hint="eastAsia" w:ascii="宋体" w:hAnsi="宋体" w:cs="宋体"/>
                <w:color w:val="auto"/>
                <w:sz w:val="24"/>
                <w:highlight w:val="none"/>
              </w:rPr>
              <w:t>从事云技术服务</w:t>
            </w:r>
            <w:r>
              <w:rPr>
                <w:rFonts w:hint="eastAsia" w:ascii="宋体" w:hAnsi="宋体" w:cs="宋体"/>
                <w:bCs/>
                <w:color w:val="auto"/>
                <w:sz w:val="24"/>
                <w:highlight w:val="none"/>
              </w:rPr>
              <w:t>工作经验</w:t>
            </w:r>
          </w:p>
        </w:tc>
        <w:tc>
          <w:tcPr>
            <w:tcW w:w="3533" w:type="dxa"/>
            <w:vMerge w:val="continue"/>
            <w:tcBorders>
              <w:left w:val="single" w:color="auto" w:sz="6" w:space="0"/>
              <w:right w:val="single" w:color="auto" w:sz="6" w:space="0"/>
            </w:tcBorders>
            <w:vAlign w:val="center"/>
          </w:tcPr>
          <w:p w14:paraId="66D0497E">
            <w:pPr>
              <w:adjustRightInd w:val="0"/>
              <w:spacing w:line="440" w:lineRule="exact"/>
              <w:jc w:val="left"/>
              <w:textAlignment w:val="baseline"/>
              <w:rPr>
                <w:rFonts w:hint="eastAsia" w:ascii="宋体" w:hAnsi="宋体" w:cs="宋体"/>
                <w:bCs/>
                <w:color w:val="auto"/>
                <w:sz w:val="24"/>
                <w:highlight w:val="none"/>
              </w:rPr>
            </w:pPr>
          </w:p>
        </w:tc>
      </w:tr>
      <w:tr w14:paraId="37F0ABDC">
        <w:tblPrEx>
          <w:tblCellMar>
            <w:top w:w="0" w:type="dxa"/>
            <w:left w:w="108" w:type="dxa"/>
            <w:bottom w:w="0" w:type="dxa"/>
            <w:right w:w="108" w:type="dxa"/>
          </w:tblCellMar>
        </w:tblPrEx>
        <w:trPr>
          <w:trHeight w:val="1405" w:hRule="atLeast"/>
        </w:trPr>
        <w:tc>
          <w:tcPr>
            <w:tcW w:w="958" w:type="dxa"/>
            <w:tcBorders>
              <w:top w:val="single" w:color="auto" w:sz="4" w:space="0"/>
              <w:left w:val="single" w:color="auto" w:sz="4" w:space="0"/>
              <w:bottom w:val="single" w:color="auto" w:sz="4" w:space="0"/>
              <w:right w:val="single" w:color="auto" w:sz="4" w:space="0"/>
            </w:tcBorders>
            <w:vAlign w:val="center"/>
          </w:tcPr>
          <w:p w14:paraId="54584752">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项目</w:t>
            </w:r>
          </w:p>
          <w:p w14:paraId="5F5193F4">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人员</w:t>
            </w:r>
          </w:p>
        </w:tc>
        <w:tc>
          <w:tcPr>
            <w:tcW w:w="714" w:type="dxa"/>
            <w:tcBorders>
              <w:top w:val="single" w:color="auto" w:sz="4" w:space="0"/>
              <w:left w:val="single" w:color="auto" w:sz="4" w:space="0"/>
              <w:bottom w:val="single" w:color="auto" w:sz="4" w:space="0"/>
              <w:right w:val="single" w:color="auto" w:sz="4" w:space="0"/>
            </w:tcBorders>
            <w:vAlign w:val="center"/>
          </w:tcPr>
          <w:p w14:paraId="56222AFD">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6</w:t>
            </w:r>
          </w:p>
        </w:tc>
        <w:tc>
          <w:tcPr>
            <w:tcW w:w="1352" w:type="dxa"/>
            <w:tcBorders>
              <w:top w:val="single" w:color="auto" w:sz="4" w:space="0"/>
              <w:left w:val="single" w:color="auto" w:sz="4" w:space="0"/>
              <w:bottom w:val="single" w:color="auto" w:sz="4" w:space="0"/>
              <w:right w:val="single" w:color="auto" w:sz="4" w:space="0"/>
            </w:tcBorders>
            <w:vAlign w:val="center"/>
          </w:tcPr>
          <w:p w14:paraId="3D964E91">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本科及以上</w:t>
            </w:r>
          </w:p>
        </w:tc>
        <w:tc>
          <w:tcPr>
            <w:tcW w:w="1962" w:type="dxa"/>
            <w:tcBorders>
              <w:top w:val="single" w:color="auto" w:sz="6" w:space="0"/>
              <w:left w:val="single" w:color="auto" w:sz="4" w:space="0"/>
              <w:bottom w:val="single" w:color="auto" w:sz="6" w:space="0"/>
              <w:right w:val="single" w:color="auto" w:sz="6" w:space="0"/>
            </w:tcBorders>
            <w:vAlign w:val="center"/>
          </w:tcPr>
          <w:p w14:paraId="383F6372">
            <w:pPr>
              <w:adjustRightInd w:val="0"/>
              <w:spacing w:line="440" w:lineRule="exact"/>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有5年及以上</w:t>
            </w:r>
            <w:r>
              <w:rPr>
                <w:rFonts w:hint="eastAsia" w:ascii="宋体" w:hAnsi="宋体" w:cs="宋体"/>
                <w:color w:val="auto"/>
                <w:sz w:val="24"/>
                <w:highlight w:val="none"/>
              </w:rPr>
              <w:t>从事云技术服务</w:t>
            </w:r>
            <w:r>
              <w:rPr>
                <w:rFonts w:hint="eastAsia" w:ascii="宋体" w:hAnsi="宋体" w:cs="宋体"/>
                <w:bCs/>
                <w:color w:val="auto"/>
                <w:sz w:val="24"/>
                <w:highlight w:val="none"/>
              </w:rPr>
              <w:t>工作经验</w:t>
            </w:r>
          </w:p>
        </w:tc>
        <w:tc>
          <w:tcPr>
            <w:tcW w:w="3533" w:type="dxa"/>
            <w:vMerge w:val="continue"/>
            <w:tcBorders>
              <w:left w:val="single" w:color="auto" w:sz="6" w:space="0"/>
              <w:bottom w:val="single" w:color="auto" w:sz="6" w:space="0"/>
              <w:right w:val="single" w:color="auto" w:sz="6" w:space="0"/>
            </w:tcBorders>
            <w:vAlign w:val="center"/>
          </w:tcPr>
          <w:p w14:paraId="1BE7EA21">
            <w:pPr>
              <w:adjustRightInd w:val="0"/>
              <w:spacing w:line="440" w:lineRule="exact"/>
              <w:jc w:val="left"/>
              <w:textAlignment w:val="baseline"/>
              <w:rPr>
                <w:rFonts w:hint="eastAsia" w:ascii="宋体" w:hAnsi="宋体" w:cs="宋体"/>
                <w:bCs/>
                <w:color w:val="auto"/>
                <w:sz w:val="24"/>
                <w:highlight w:val="none"/>
              </w:rPr>
            </w:pPr>
          </w:p>
        </w:tc>
      </w:tr>
    </w:tbl>
    <w:p w14:paraId="6C29BECB">
      <w:pPr>
        <w:pStyle w:val="8"/>
        <w:spacing w:line="360" w:lineRule="auto"/>
        <w:ind w:firstLine="0" w:firstLineChars="0"/>
        <w:contextualSpacing/>
        <w:rPr>
          <w:rFonts w:hint="eastAsia" w:ascii="宋体" w:hAnsi="宋体" w:cs="宋体"/>
          <w:b/>
          <w:color w:val="auto"/>
          <w:sz w:val="24"/>
          <w:szCs w:val="24"/>
          <w:highlight w:val="none"/>
        </w:rPr>
      </w:pPr>
      <w:bookmarkStart w:id="18" w:name="_Toc22993"/>
    </w:p>
    <w:bookmarkEnd w:id="18"/>
    <w:p w14:paraId="2590E158">
      <w:pPr>
        <w:spacing w:line="440" w:lineRule="exact"/>
        <w:ind w:firstLine="482" w:firstLineChars="200"/>
        <w:contextualSpacing/>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lang w:bidi="ar"/>
        </w:rPr>
        <w:t>5. 技术承诺（本部分为★条款，</w:t>
      </w:r>
      <w:r>
        <w:rPr>
          <w:rFonts w:hint="eastAsia" w:ascii="宋体" w:hAnsi="宋体" w:cs="宋体"/>
          <w:b/>
          <w:bCs/>
          <w:color w:val="auto"/>
          <w:sz w:val="24"/>
          <w:highlight w:val="none"/>
          <w:lang w:eastAsia="zh" w:bidi="ar"/>
        </w:rPr>
        <w:t>投标人</w:t>
      </w:r>
      <w:r>
        <w:rPr>
          <w:rFonts w:hint="eastAsia" w:ascii="宋体" w:hAnsi="宋体" w:cs="宋体"/>
          <w:b/>
          <w:bCs/>
          <w:color w:val="auto"/>
          <w:sz w:val="24"/>
          <w:highlight w:val="none"/>
          <w:lang w:bidi="ar"/>
        </w:rPr>
        <w:t>未提供以下书面承诺，将被视为无效投标）</w:t>
      </w:r>
    </w:p>
    <w:p w14:paraId="233A6054">
      <w:pPr>
        <w:pStyle w:val="5"/>
        <w:widowControl w:val="0"/>
        <w:tabs>
          <w:tab w:val="left" w:pos="1162"/>
        </w:tabs>
        <w:spacing w:before="0" w:beforeAutospacing="0" w:after="0" w:afterAutospacing="0" w:line="560" w:lineRule="exact"/>
        <w:ind w:firstLine="480" w:firstLineChars="200"/>
        <w:jc w:val="both"/>
        <w:rPr>
          <w:rFonts w:hint="eastAsia"/>
          <w:color w:val="auto"/>
          <w:kern w:val="2"/>
          <w:highlight w:val="none"/>
        </w:rPr>
      </w:pPr>
      <w:r>
        <w:rPr>
          <w:rFonts w:hint="eastAsia"/>
          <w:color w:val="auto"/>
          <w:kern w:val="2"/>
          <w:highlight w:val="none"/>
          <w:lang w:bidi="ar"/>
        </w:rPr>
        <w:t>1.采购人的业务系统大量依托于北京市政务外网环境建设，为确保相关业务正常运行，</w:t>
      </w:r>
      <w:r>
        <w:rPr>
          <w:rFonts w:hint="eastAsia"/>
          <w:color w:val="auto"/>
          <w:kern w:val="2"/>
          <w:highlight w:val="none"/>
          <w:lang w:eastAsia="zh" w:bidi="ar"/>
        </w:rPr>
        <w:t>投标人</w:t>
      </w:r>
      <w:r>
        <w:rPr>
          <w:rFonts w:hint="eastAsia"/>
          <w:color w:val="auto"/>
          <w:kern w:val="2"/>
          <w:highlight w:val="none"/>
          <w:lang w:bidi="ar"/>
        </w:rPr>
        <w:t>须承诺在合同签订后5个工作日内具备北京市政务外网环境。</w:t>
      </w:r>
    </w:p>
    <w:p w14:paraId="1AA38E84">
      <w:pPr>
        <w:pStyle w:val="5"/>
        <w:widowControl w:val="0"/>
        <w:tabs>
          <w:tab w:val="left" w:pos="1162"/>
        </w:tabs>
        <w:spacing w:before="0" w:beforeAutospacing="0" w:after="0" w:afterAutospacing="0" w:line="560" w:lineRule="exact"/>
        <w:ind w:firstLine="480" w:firstLineChars="200"/>
        <w:jc w:val="both"/>
        <w:rPr>
          <w:rFonts w:hint="eastAsia"/>
          <w:color w:val="auto"/>
          <w:kern w:val="2"/>
          <w:highlight w:val="none"/>
        </w:rPr>
      </w:pPr>
      <w:r>
        <w:rPr>
          <w:rFonts w:hint="eastAsia"/>
          <w:color w:val="auto"/>
          <w:kern w:val="2"/>
          <w:highlight w:val="none"/>
          <w:lang w:bidi="ar"/>
        </w:rPr>
        <w:t>2.</w:t>
      </w:r>
      <w:r>
        <w:rPr>
          <w:rFonts w:hint="eastAsia"/>
          <w:color w:val="auto"/>
          <w:kern w:val="2"/>
          <w:highlight w:val="none"/>
          <w:lang w:eastAsia="zh" w:bidi="ar"/>
        </w:rPr>
        <w:t>投标人</w:t>
      </w:r>
      <w:r>
        <w:rPr>
          <w:rFonts w:hint="eastAsia"/>
          <w:color w:val="auto"/>
          <w:kern w:val="2"/>
          <w:highlight w:val="none"/>
          <w:lang w:bidi="ar"/>
        </w:rPr>
        <w:t>中标后进行系统迁移所产生的系统迁移费包含在投标报价中。</w:t>
      </w:r>
    </w:p>
    <w:p w14:paraId="55568987">
      <w:pPr>
        <w:snapToGrid w:val="0"/>
        <w:spacing w:line="360" w:lineRule="auto"/>
        <w:ind w:firstLine="480" w:firstLineChars="200"/>
        <w:rPr>
          <w:rFonts w:hint="eastAsia" w:ascii="宋体" w:hAnsi="宋体" w:cs="宋体"/>
          <w:color w:val="auto"/>
          <w:sz w:val="24"/>
          <w:highlight w:val="none"/>
        </w:rPr>
      </w:pPr>
    </w:p>
    <w:p w14:paraId="47E611A4">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140AE"/>
    <w:multiLevelType w:val="singleLevel"/>
    <w:tmpl w:val="A2A140AE"/>
    <w:lvl w:ilvl="0" w:tentative="0">
      <w:start w:val="1"/>
      <w:numFmt w:val="decimal"/>
      <w:lvlText w:val="(%1)"/>
      <w:lvlJc w:val="left"/>
      <w:pPr>
        <w:ind w:left="425" w:hanging="425"/>
      </w:pPr>
      <w:rPr>
        <w:rFonts w:hint="default"/>
      </w:rPr>
    </w:lvl>
  </w:abstractNum>
  <w:abstractNum w:abstractNumId="1">
    <w:nsid w:val="A498BEC8"/>
    <w:multiLevelType w:val="singleLevel"/>
    <w:tmpl w:val="A498BEC8"/>
    <w:lvl w:ilvl="0" w:tentative="0">
      <w:start w:val="2"/>
      <w:numFmt w:val="decimal"/>
      <w:suff w:val="nothing"/>
      <w:lvlText w:val="（%1）"/>
      <w:lvlJc w:val="left"/>
    </w:lvl>
  </w:abstractNum>
  <w:abstractNum w:abstractNumId="2">
    <w:nsid w:val="A4F00A72"/>
    <w:multiLevelType w:val="singleLevel"/>
    <w:tmpl w:val="A4F00A72"/>
    <w:lvl w:ilvl="0" w:tentative="0">
      <w:start w:val="1"/>
      <w:numFmt w:val="decimalEnclosedCircleChinese"/>
      <w:suff w:val="nothing"/>
      <w:lvlText w:val="%1　"/>
      <w:lvlJc w:val="left"/>
      <w:pPr>
        <w:ind w:left="360" w:firstLine="400"/>
      </w:pPr>
      <w:rPr>
        <w:rFonts w:hint="eastAsia"/>
      </w:rPr>
    </w:lvl>
  </w:abstractNum>
  <w:abstractNum w:abstractNumId="3">
    <w:nsid w:val="ACEFB849"/>
    <w:multiLevelType w:val="singleLevel"/>
    <w:tmpl w:val="ACEFB849"/>
    <w:lvl w:ilvl="0" w:tentative="0">
      <w:start w:val="1"/>
      <w:numFmt w:val="decimalEnclosedCircleChinese"/>
      <w:suff w:val="nothing"/>
      <w:lvlText w:val="%1　"/>
      <w:lvlJc w:val="left"/>
      <w:pPr>
        <w:ind w:left="360" w:firstLine="400"/>
      </w:pPr>
      <w:rPr>
        <w:rFonts w:hint="eastAsia"/>
      </w:rPr>
    </w:lvl>
  </w:abstractNum>
  <w:abstractNum w:abstractNumId="4">
    <w:nsid w:val="BF58483C"/>
    <w:multiLevelType w:val="singleLevel"/>
    <w:tmpl w:val="BF58483C"/>
    <w:lvl w:ilvl="0" w:tentative="0">
      <w:start w:val="1"/>
      <w:numFmt w:val="decimalEnclosedCircleChinese"/>
      <w:suff w:val="nothing"/>
      <w:lvlText w:val="%1　"/>
      <w:lvlJc w:val="left"/>
      <w:pPr>
        <w:ind w:left="360" w:firstLine="400"/>
      </w:pPr>
      <w:rPr>
        <w:rFonts w:hint="eastAsia"/>
      </w:rPr>
    </w:lvl>
  </w:abstractNum>
  <w:abstractNum w:abstractNumId="5">
    <w:nsid w:val="CB04B886"/>
    <w:multiLevelType w:val="singleLevel"/>
    <w:tmpl w:val="CB04B886"/>
    <w:lvl w:ilvl="0" w:tentative="0">
      <w:start w:val="1"/>
      <w:numFmt w:val="decimal"/>
      <w:lvlText w:val="%1."/>
      <w:lvlJc w:val="left"/>
      <w:pPr>
        <w:ind w:left="425" w:hanging="425"/>
      </w:pPr>
      <w:rPr>
        <w:rFonts w:hint="default"/>
      </w:rPr>
    </w:lvl>
  </w:abstractNum>
  <w:abstractNum w:abstractNumId="6">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917BB51"/>
    <w:multiLevelType w:val="singleLevel"/>
    <w:tmpl w:val="1917BB51"/>
    <w:lvl w:ilvl="0" w:tentative="0">
      <w:start w:val="1"/>
      <w:numFmt w:val="decimalEnclosedCircleChinese"/>
      <w:suff w:val="nothing"/>
      <w:lvlText w:val="%1　"/>
      <w:lvlJc w:val="left"/>
      <w:pPr>
        <w:ind w:left="360" w:firstLine="400"/>
      </w:pPr>
      <w:rPr>
        <w:rFonts w:hint="eastAsia"/>
      </w:rPr>
    </w:lvl>
  </w:abstractNum>
  <w:abstractNum w:abstractNumId="8">
    <w:nsid w:val="1B9B5636"/>
    <w:multiLevelType w:val="singleLevel"/>
    <w:tmpl w:val="1B9B5636"/>
    <w:lvl w:ilvl="0" w:tentative="0">
      <w:start w:val="1"/>
      <w:numFmt w:val="decimal"/>
      <w:lvlText w:val="%1."/>
      <w:lvlJc w:val="left"/>
      <w:pPr>
        <w:ind w:left="425" w:hanging="425"/>
      </w:pPr>
      <w:rPr>
        <w:rFonts w:hint="default"/>
      </w:rPr>
    </w:lvl>
  </w:abstractNum>
  <w:abstractNum w:abstractNumId="9">
    <w:nsid w:val="39F49BD9"/>
    <w:multiLevelType w:val="singleLevel"/>
    <w:tmpl w:val="39F49BD9"/>
    <w:lvl w:ilvl="0" w:tentative="0">
      <w:start w:val="1"/>
      <w:numFmt w:val="decimal"/>
      <w:lvlText w:val="%1."/>
      <w:lvlJc w:val="left"/>
      <w:pPr>
        <w:ind w:left="425" w:hanging="425"/>
      </w:pPr>
      <w:rPr>
        <w:rFonts w:hint="default"/>
      </w:rPr>
    </w:lvl>
  </w:abstractNum>
  <w:abstractNum w:abstractNumId="10">
    <w:nsid w:val="4248BA76"/>
    <w:multiLevelType w:val="singleLevel"/>
    <w:tmpl w:val="4248BA76"/>
    <w:lvl w:ilvl="0" w:tentative="0">
      <w:start w:val="1"/>
      <w:numFmt w:val="decimalEnclosedCircleChinese"/>
      <w:suff w:val="nothing"/>
      <w:lvlText w:val="%1　"/>
      <w:lvlJc w:val="left"/>
      <w:pPr>
        <w:ind w:left="360" w:firstLine="400"/>
      </w:pPr>
      <w:rPr>
        <w:rFonts w:hint="eastAsia"/>
      </w:rPr>
    </w:lvl>
  </w:abstractNum>
  <w:abstractNum w:abstractNumId="11">
    <w:nsid w:val="49F03AA4"/>
    <w:multiLevelType w:val="singleLevel"/>
    <w:tmpl w:val="49F03AA4"/>
    <w:lvl w:ilvl="0" w:tentative="0">
      <w:start w:val="1"/>
      <w:numFmt w:val="decimalEnclosedCircleChinese"/>
      <w:suff w:val="nothing"/>
      <w:lvlText w:val="%1　"/>
      <w:lvlJc w:val="left"/>
      <w:pPr>
        <w:ind w:left="360" w:firstLine="400"/>
      </w:pPr>
      <w:rPr>
        <w:rFonts w:hint="eastAsia"/>
      </w:rPr>
    </w:lvl>
  </w:abstractNum>
  <w:abstractNum w:abstractNumId="12">
    <w:nsid w:val="4FF16CE4"/>
    <w:multiLevelType w:val="singleLevel"/>
    <w:tmpl w:val="4FF16CE4"/>
    <w:lvl w:ilvl="0" w:tentative="0">
      <w:start w:val="1"/>
      <w:numFmt w:val="decimalEnclosedCircleChinese"/>
      <w:suff w:val="nothing"/>
      <w:lvlText w:val="%1　"/>
      <w:lvlJc w:val="left"/>
      <w:pPr>
        <w:ind w:left="360" w:firstLine="400"/>
      </w:pPr>
      <w:rPr>
        <w:rFonts w:hint="eastAsia"/>
      </w:rPr>
    </w:lvl>
  </w:abstractNum>
  <w:abstractNum w:abstractNumId="13">
    <w:nsid w:val="5705CD35"/>
    <w:multiLevelType w:val="singleLevel"/>
    <w:tmpl w:val="5705CD35"/>
    <w:lvl w:ilvl="0" w:tentative="0">
      <w:start w:val="1"/>
      <w:numFmt w:val="decimalEnclosedCircleChinese"/>
      <w:suff w:val="nothing"/>
      <w:lvlText w:val="%1　"/>
      <w:lvlJc w:val="left"/>
      <w:pPr>
        <w:ind w:left="360" w:firstLine="400"/>
      </w:pPr>
      <w:rPr>
        <w:rFonts w:hint="eastAsia"/>
      </w:rPr>
    </w:lvl>
  </w:abstractNum>
  <w:abstractNum w:abstractNumId="14">
    <w:nsid w:val="638DED93"/>
    <w:multiLevelType w:val="singleLevel"/>
    <w:tmpl w:val="638DED93"/>
    <w:lvl w:ilvl="0" w:tentative="0">
      <w:start w:val="1"/>
      <w:numFmt w:val="decimalEnclosedCircleChinese"/>
      <w:suff w:val="nothing"/>
      <w:lvlText w:val="%1　"/>
      <w:lvlJc w:val="left"/>
      <w:pPr>
        <w:ind w:left="360" w:firstLine="400"/>
      </w:pPr>
      <w:rPr>
        <w:rFonts w:hint="eastAsia"/>
      </w:rPr>
    </w:lvl>
  </w:abstractNum>
  <w:abstractNum w:abstractNumId="15">
    <w:nsid w:val="7D2A856E"/>
    <w:multiLevelType w:val="singleLevel"/>
    <w:tmpl w:val="7D2A856E"/>
    <w:lvl w:ilvl="0" w:tentative="0">
      <w:start w:val="1"/>
      <w:numFmt w:val="decimalEnclosedCircleChinese"/>
      <w:suff w:val="nothing"/>
      <w:lvlText w:val="%1　"/>
      <w:lvlJc w:val="left"/>
      <w:pPr>
        <w:ind w:left="360" w:firstLine="400"/>
      </w:pPr>
      <w:rPr>
        <w:rFonts w:hint="eastAsia"/>
      </w:rPr>
    </w:lvl>
  </w:abstractNum>
  <w:abstractNum w:abstractNumId="16">
    <w:nsid w:val="7E721ACC"/>
    <w:multiLevelType w:val="singleLevel"/>
    <w:tmpl w:val="7E721ACC"/>
    <w:lvl w:ilvl="0" w:tentative="0">
      <w:start w:val="1"/>
      <w:numFmt w:val="decimalEnclosedCircleChinese"/>
      <w:suff w:val="nothing"/>
      <w:lvlText w:val="%1　"/>
      <w:lvlJc w:val="left"/>
      <w:pPr>
        <w:ind w:left="360" w:firstLine="400"/>
      </w:pPr>
      <w:rPr>
        <w:rFonts w:hint="eastAsia"/>
      </w:rPr>
    </w:lvl>
  </w:abstractNum>
  <w:num w:numId="1">
    <w:abstractNumId w:val="6"/>
  </w:num>
  <w:num w:numId="2">
    <w:abstractNumId w:val="8"/>
  </w:num>
  <w:num w:numId="3">
    <w:abstractNumId w:val="5"/>
  </w:num>
  <w:num w:numId="4">
    <w:abstractNumId w:val="9"/>
  </w:num>
  <w:num w:numId="5">
    <w:abstractNumId w:val="1"/>
  </w:num>
  <w:num w:numId="6">
    <w:abstractNumId w:val="0"/>
  </w:num>
  <w:num w:numId="7">
    <w:abstractNumId w:val="10"/>
  </w:num>
  <w:num w:numId="8">
    <w:abstractNumId w:val="16"/>
  </w:num>
  <w:num w:numId="9">
    <w:abstractNumId w:val="15"/>
  </w:num>
  <w:num w:numId="10">
    <w:abstractNumId w:val="3"/>
  </w:num>
  <w:num w:numId="11">
    <w:abstractNumId w:val="11"/>
  </w:num>
  <w:num w:numId="12">
    <w:abstractNumId w:val="2"/>
  </w:num>
  <w:num w:numId="13">
    <w:abstractNumId w:val="12"/>
  </w:num>
  <w:num w:numId="14">
    <w:abstractNumId w:val="7"/>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0639"/>
    <w:rsid w:val="338F443C"/>
    <w:rsid w:val="36185F34"/>
    <w:rsid w:val="51BF11D1"/>
    <w:rsid w:val="52C76D2C"/>
    <w:rsid w:val="621B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7441</Words>
  <Characters>7934</Characters>
  <Lines>0</Lines>
  <Paragraphs>0</Paragraphs>
  <TotalTime>0</TotalTime>
  <ScaleCrop>false</ScaleCrop>
  <LinksUpToDate>false</LinksUpToDate>
  <CharactersWithSpaces>7985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2025-12-29T02:45:00Z</dcterms:created>
  <dc:creator>john</dc:creator>
  <cp:lastModifiedBy>高</cp:lastModifiedBy>
  <dcterms:modified xsi:type="dcterms:W3CDTF">2025-12-31T07:28:47Z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47116A4DC1C7434C8FF4485C7562BE7D_12</vt:lpwstr>
  </property>
</Properties>
</file>