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DD446">
      <w:pPr>
        <w:pStyle w:val="2"/>
      </w:pPr>
      <w:r>
        <w:rPr>
          <w:rFonts w:hint="eastAsia"/>
        </w:rPr>
        <w:t>技术服务需求</w:t>
      </w:r>
    </w:p>
    <w:p w14:paraId="3B31FA0F">
      <w:pPr>
        <w:pStyle w:val="6"/>
        <w:ind w:firstLine="480"/>
        <w:rPr>
          <w:rFonts w:hint="eastAsia"/>
        </w:rPr>
      </w:pPr>
    </w:p>
    <w:p w14:paraId="49B0F342">
      <w:pPr>
        <w:pStyle w:val="7"/>
        <w:numPr>
          <w:ilvl w:val="0"/>
          <w:numId w:val="0"/>
        </w:numPr>
        <w:ind w:leftChars="0"/>
        <w:jc w:val="center"/>
        <w:rPr>
          <w:rFonts w:hint="eastAsia"/>
        </w:rPr>
      </w:pPr>
      <w:bookmarkStart w:id="0" w:name="_Toc126334094"/>
      <w:r>
        <w:rPr>
          <w:rFonts w:hint="eastAsia"/>
        </w:rPr>
        <w:t>采购需求一览表</w:t>
      </w:r>
      <w:bookmarkEnd w:id="0"/>
    </w:p>
    <w:tbl>
      <w:tblPr>
        <w:tblStyle w:val="4"/>
        <w:tblW w:w="9506" w:type="dxa"/>
        <w:jc w:val="center"/>
        <w:shd w:val="clear" w:color="auto" w:fill="FFFFFF"/>
        <w:tblLayout w:type="fixed"/>
        <w:tblCellMar>
          <w:top w:w="0" w:type="dxa"/>
          <w:left w:w="0" w:type="dxa"/>
          <w:bottom w:w="0" w:type="dxa"/>
          <w:right w:w="0" w:type="dxa"/>
        </w:tblCellMar>
      </w:tblPr>
      <w:tblGrid>
        <w:gridCol w:w="894"/>
        <w:gridCol w:w="1125"/>
        <w:gridCol w:w="891"/>
        <w:gridCol w:w="653"/>
        <w:gridCol w:w="1022"/>
        <w:gridCol w:w="1292"/>
        <w:gridCol w:w="1092"/>
        <w:gridCol w:w="2537"/>
      </w:tblGrid>
      <w:tr w14:paraId="3E131FAA">
        <w:tblPrEx>
          <w:shd w:val="clear" w:color="auto" w:fill="FFFFFF"/>
          <w:tblCellMar>
            <w:top w:w="0" w:type="dxa"/>
            <w:left w:w="0" w:type="dxa"/>
            <w:bottom w:w="0" w:type="dxa"/>
            <w:right w:w="0" w:type="dxa"/>
          </w:tblCellMar>
        </w:tblPrEx>
        <w:trPr>
          <w:trHeight w:val="54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3A645E6">
            <w:pPr>
              <w:spacing w:line="240" w:lineRule="auto"/>
              <w:jc w:val="center"/>
              <w:rPr>
                <w:sz w:val="21"/>
              </w:rPr>
            </w:pPr>
            <w:r>
              <w:rPr>
                <w:rFonts w:hint="eastAsia"/>
                <w:sz w:val="21"/>
              </w:rPr>
              <w:t>包件号</w:t>
            </w:r>
          </w:p>
        </w:tc>
        <w:tc>
          <w:tcPr>
            <w:tcW w:w="11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139EFA51">
            <w:pPr>
              <w:spacing w:line="240" w:lineRule="auto"/>
              <w:jc w:val="center"/>
              <w:rPr>
                <w:sz w:val="21"/>
              </w:rPr>
            </w:pPr>
            <w:r>
              <w:rPr>
                <w:rFonts w:hint="eastAsia"/>
                <w:sz w:val="21"/>
              </w:rPr>
              <w:t>包件名称</w:t>
            </w:r>
          </w:p>
        </w:tc>
        <w:tc>
          <w:tcPr>
            <w:tcW w:w="891" w:type="dxa"/>
            <w:tcBorders>
              <w:top w:val="single" w:color="auto" w:sz="4" w:space="0"/>
              <w:left w:val="single" w:color="auto" w:sz="4" w:space="0"/>
              <w:bottom w:val="single" w:color="auto" w:sz="4" w:space="0"/>
              <w:right w:val="single" w:color="auto" w:sz="4" w:space="0"/>
            </w:tcBorders>
            <w:shd w:val="clear" w:color="auto" w:fill="FFFFFF"/>
            <w:vAlign w:val="center"/>
          </w:tcPr>
          <w:p w14:paraId="51A318CD">
            <w:pPr>
              <w:spacing w:line="240" w:lineRule="auto"/>
              <w:jc w:val="center"/>
              <w:rPr>
                <w:sz w:val="21"/>
              </w:rPr>
            </w:pPr>
            <w:r>
              <w:rPr>
                <w:rFonts w:hint="eastAsia"/>
                <w:sz w:val="21"/>
              </w:rPr>
              <w:t>标的名称</w:t>
            </w:r>
          </w:p>
        </w:tc>
        <w:tc>
          <w:tcPr>
            <w:tcW w:w="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29FCF5F">
            <w:pPr>
              <w:spacing w:line="240" w:lineRule="auto"/>
              <w:jc w:val="center"/>
              <w:rPr>
                <w:sz w:val="21"/>
              </w:rPr>
            </w:pPr>
            <w:r>
              <w:rPr>
                <w:rFonts w:hint="eastAsia"/>
                <w:sz w:val="21"/>
              </w:rPr>
              <w:t>数量</w:t>
            </w:r>
          </w:p>
        </w:tc>
        <w:tc>
          <w:tcPr>
            <w:tcW w:w="10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91A58C3">
            <w:pPr>
              <w:spacing w:line="240" w:lineRule="auto"/>
              <w:jc w:val="center"/>
              <w:rPr>
                <w:sz w:val="21"/>
              </w:rPr>
            </w:pPr>
            <w:r>
              <w:rPr>
                <w:rFonts w:hint="eastAsia"/>
                <w:sz w:val="21"/>
              </w:rPr>
              <w:t>预算</w:t>
            </w:r>
          </w:p>
          <w:p w14:paraId="005CB6E8">
            <w:pPr>
              <w:spacing w:line="240" w:lineRule="auto"/>
              <w:jc w:val="center"/>
              <w:rPr>
                <w:sz w:val="21"/>
              </w:rPr>
            </w:pPr>
            <w:r>
              <w:rPr>
                <w:rFonts w:hint="eastAsia"/>
                <w:sz w:val="21"/>
              </w:rPr>
              <w:t>（万元）</w:t>
            </w:r>
          </w:p>
        </w:tc>
        <w:tc>
          <w:tcPr>
            <w:tcW w:w="12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2B32C9FE">
            <w:pPr>
              <w:spacing w:line="240" w:lineRule="auto"/>
              <w:jc w:val="center"/>
              <w:rPr>
                <w:sz w:val="21"/>
              </w:rPr>
            </w:pPr>
            <w:r>
              <w:rPr>
                <w:rFonts w:hint="eastAsia"/>
                <w:sz w:val="21"/>
              </w:rPr>
              <w:t>服务期限</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0654BD5A">
            <w:pPr>
              <w:spacing w:line="240" w:lineRule="auto"/>
              <w:jc w:val="center"/>
              <w:rPr>
                <w:sz w:val="21"/>
              </w:rPr>
            </w:pPr>
            <w:r>
              <w:rPr>
                <w:rFonts w:hint="eastAsia"/>
                <w:sz w:val="21"/>
              </w:rPr>
              <w:t>服务地点</w:t>
            </w:r>
          </w:p>
        </w:tc>
        <w:tc>
          <w:tcPr>
            <w:tcW w:w="25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35802D5D">
            <w:pPr>
              <w:spacing w:line="240" w:lineRule="auto"/>
              <w:jc w:val="center"/>
              <w:rPr>
                <w:sz w:val="21"/>
              </w:rPr>
            </w:pPr>
            <w:r>
              <w:rPr>
                <w:rFonts w:hint="eastAsia"/>
                <w:sz w:val="21"/>
              </w:rPr>
              <w:t>项目基本概况</w:t>
            </w:r>
          </w:p>
        </w:tc>
      </w:tr>
      <w:tr w14:paraId="0955CFD3">
        <w:tblPrEx>
          <w:shd w:val="clear" w:color="auto" w:fill="FFFFFF"/>
          <w:tblCellMar>
            <w:top w:w="0" w:type="dxa"/>
            <w:left w:w="0" w:type="dxa"/>
            <w:bottom w:w="0" w:type="dxa"/>
            <w:right w:w="0" w:type="dxa"/>
          </w:tblCellMar>
        </w:tblPrEx>
        <w:trPr>
          <w:trHeight w:val="759"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27F59DF">
            <w:pPr>
              <w:spacing w:line="240" w:lineRule="auto"/>
              <w:jc w:val="center"/>
              <w:rPr>
                <w:sz w:val="21"/>
              </w:rPr>
            </w:pPr>
            <w:r>
              <w:rPr>
                <w:sz w:val="21"/>
              </w:rPr>
              <w:t>1</w:t>
            </w:r>
          </w:p>
        </w:tc>
        <w:tc>
          <w:tcPr>
            <w:tcW w:w="112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50EBAF9">
            <w:pPr>
              <w:spacing w:line="240" w:lineRule="auto"/>
              <w:jc w:val="center"/>
              <w:rPr>
                <w:rFonts w:hint="eastAsia" w:eastAsiaTheme="minorEastAsia"/>
                <w:sz w:val="21"/>
                <w:lang w:eastAsia="zh-CN"/>
              </w:rPr>
            </w:pPr>
            <w:r>
              <w:rPr>
                <w:rFonts w:hint="eastAsia"/>
                <w:sz w:val="21"/>
                <w:lang w:eastAsia="zh-CN"/>
              </w:rPr>
              <w:t>网络及视频会议运维服务</w:t>
            </w:r>
          </w:p>
        </w:tc>
        <w:tc>
          <w:tcPr>
            <w:tcW w:w="891" w:type="dxa"/>
            <w:tcBorders>
              <w:top w:val="single" w:color="auto" w:sz="4" w:space="0"/>
              <w:left w:val="single" w:color="auto" w:sz="4" w:space="0"/>
              <w:bottom w:val="single" w:color="auto" w:sz="4" w:space="0"/>
              <w:right w:val="single" w:color="auto" w:sz="4" w:space="0"/>
            </w:tcBorders>
            <w:shd w:val="clear" w:color="auto" w:fill="FFFFFF"/>
            <w:vAlign w:val="center"/>
          </w:tcPr>
          <w:p w14:paraId="066C26B2">
            <w:pPr>
              <w:spacing w:line="240" w:lineRule="auto"/>
              <w:jc w:val="center"/>
              <w:rPr>
                <w:sz w:val="21"/>
              </w:rPr>
            </w:pPr>
            <w:r>
              <w:rPr>
                <w:rFonts w:hint="eastAsia"/>
                <w:sz w:val="21"/>
                <w:lang w:eastAsia="zh-CN"/>
              </w:rPr>
              <w:t>网络及视频会议运维服务</w:t>
            </w:r>
          </w:p>
        </w:tc>
        <w:tc>
          <w:tcPr>
            <w:tcW w:w="653"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A5958B4">
            <w:pPr>
              <w:spacing w:line="240" w:lineRule="auto"/>
              <w:jc w:val="center"/>
              <w:rPr>
                <w:rFonts w:hint="default" w:eastAsiaTheme="minorEastAsia"/>
                <w:sz w:val="21"/>
                <w:lang w:val="en-US" w:eastAsia="zh-CN"/>
              </w:rPr>
            </w:pPr>
            <w:r>
              <w:rPr>
                <w:rFonts w:hint="eastAsia"/>
                <w:sz w:val="21"/>
                <w:lang w:val="en-US" w:eastAsia="zh-CN"/>
              </w:rPr>
              <w:t>1项</w:t>
            </w:r>
          </w:p>
        </w:tc>
        <w:tc>
          <w:tcPr>
            <w:tcW w:w="102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9B1A148">
            <w:pPr>
              <w:spacing w:line="240" w:lineRule="auto"/>
              <w:jc w:val="center"/>
              <w:rPr>
                <w:rFonts w:hint="eastAsia" w:eastAsiaTheme="minorEastAsia"/>
                <w:sz w:val="21"/>
                <w:lang w:eastAsia="zh-CN"/>
              </w:rPr>
            </w:pPr>
            <w:r>
              <w:rPr>
                <w:rFonts w:hint="eastAsia"/>
                <w:sz w:val="21"/>
                <w:lang w:eastAsia="zh-CN"/>
              </w:rPr>
              <w:t>139.075582</w:t>
            </w:r>
          </w:p>
        </w:tc>
        <w:tc>
          <w:tcPr>
            <w:tcW w:w="12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48413473">
            <w:pPr>
              <w:spacing w:line="240" w:lineRule="auto"/>
              <w:jc w:val="center"/>
              <w:rPr>
                <w:rFonts w:hint="eastAsia" w:eastAsiaTheme="minorEastAsia"/>
                <w:sz w:val="21"/>
                <w:lang w:eastAsia="zh-CN"/>
              </w:rPr>
            </w:pPr>
            <w:r>
              <w:rPr>
                <w:rFonts w:hint="eastAsia"/>
                <w:sz w:val="21"/>
                <w:lang w:eastAsia="zh-CN"/>
              </w:rPr>
              <w:t>2026年1月1日至2026年12月31日。</w:t>
            </w:r>
          </w:p>
        </w:tc>
        <w:tc>
          <w:tcPr>
            <w:tcW w:w="109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68284C6D">
            <w:pPr>
              <w:spacing w:line="240" w:lineRule="auto"/>
              <w:jc w:val="center"/>
              <w:rPr>
                <w:rFonts w:hint="eastAsia" w:eastAsiaTheme="minorEastAsia"/>
                <w:sz w:val="21"/>
                <w:lang w:eastAsia="zh-CN"/>
              </w:rPr>
            </w:pPr>
            <w:r>
              <w:rPr>
                <w:rFonts w:hint="eastAsia"/>
                <w:sz w:val="21"/>
              </w:rPr>
              <w:t>采购人指定地点</w:t>
            </w:r>
            <w:r>
              <w:rPr>
                <w:rFonts w:hint="eastAsia"/>
                <w:sz w:val="21"/>
                <w:lang w:eastAsia="zh-CN"/>
              </w:rPr>
              <w:t>。</w:t>
            </w:r>
          </w:p>
        </w:tc>
        <w:tc>
          <w:tcPr>
            <w:tcW w:w="253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14:paraId="7B596A40">
            <w:pPr>
              <w:spacing w:line="240" w:lineRule="auto"/>
              <w:jc w:val="center"/>
              <w:rPr>
                <w:sz w:val="21"/>
              </w:rPr>
            </w:pPr>
            <w:r>
              <w:rPr>
                <w:sz w:val="21"/>
              </w:rPr>
              <w:t>保证</w:t>
            </w:r>
            <w:r>
              <w:rPr>
                <w:rFonts w:hint="eastAsia"/>
                <w:sz w:val="21"/>
                <w:lang w:val="en-US" w:eastAsia="zh-CN"/>
              </w:rPr>
              <w:t>采购人</w:t>
            </w:r>
            <w:r>
              <w:rPr>
                <w:sz w:val="21"/>
              </w:rPr>
              <w:t>局域网的安全、稳定运行,保障视频会议、软件正版化及终端办公软件正常运行。</w:t>
            </w:r>
          </w:p>
        </w:tc>
      </w:tr>
    </w:tbl>
    <w:p w14:paraId="59E80771"/>
    <w:p w14:paraId="25963CA4">
      <w:pPr>
        <w:pStyle w:val="7"/>
        <w:numPr>
          <w:ilvl w:val="0"/>
          <w:numId w:val="0"/>
        </w:numPr>
        <w:ind w:leftChars="0"/>
        <w:jc w:val="center"/>
        <w:rPr>
          <w:rFonts w:hint="eastAsia"/>
        </w:rPr>
      </w:pPr>
      <w:bookmarkStart w:id="1" w:name="_Toc126334095"/>
      <w:r>
        <w:rPr>
          <w:rFonts w:hint="eastAsia"/>
        </w:rPr>
        <w:t>技术需求</w:t>
      </w:r>
      <w:bookmarkEnd w:id="1"/>
    </w:p>
    <w:p w14:paraId="47976AB4">
      <w:pPr>
        <w:keepNext/>
        <w:keepLines/>
        <w:numPr>
          <w:ilvl w:val="0"/>
          <w:numId w:val="2"/>
        </w:numPr>
        <w:adjustRightInd/>
        <w:snapToGrid/>
        <w:spacing w:line="360" w:lineRule="auto"/>
        <w:outlineLvl w:val="0"/>
        <w:rPr>
          <w:rFonts w:hint="eastAsia" w:ascii="宋体" w:hAnsi="宋体" w:eastAsia="宋体" w:cs="宋体"/>
          <w:b/>
          <w:bCs/>
          <w:color w:val="auto"/>
          <w:kern w:val="44"/>
          <w:sz w:val="24"/>
          <w:szCs w:val="24"/>
          <w:highlight w:val="none"/>
        </w:rPr>
      </w:pPr>
      <w:bookmarkStart w:id="2" w:name="_Toc89454998"/>
      <w:r>
        <w:rPr>
          <w:rFonts w:hint="eastAsia" w:ascii="宋体" w:hAnsi="宋体" w:eastAsia="宋体" w:cs="宋体"/>
          <w:b/>
          <w:bCs/>
          <w:color w:val="auto"/>
          <w:kern w:val="44"/>
          <w:sz w:val="24"/>
          <w:szCs w:val="24"/>
          <w:highlight w:val="none"/>
        </w:rPr>
        <w:t>项目背景</w:t>
      </w:r>
      <w:bookmarkEnd w:id="2"/>
    </w:p>
    <w:p w14:paraId="2AE05B00">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审计局是北京市依法独立行使审计监督权的审计机关。北京市审计局是北京市人民政府职能部门，在市政府和审计署的双重领导下，负责北京市的审计工作。经过多年信息化实践，逐步提升信息技术对审计业务支撑力度，审计信息管理系统在基础设施建设、应用系统建设及信息安全建设方面取得了阶段性成绩，为审计业务提供了强有力的信息化支撑。</w:t>
      </w:r>
    </w:p>
    <w:p w14:paraId="2E21CA11">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北京市审计局信息化运维</w:t>
      </w:r>
      <w:r>
        <w:rPr>
          <w:rFonts w:hint="eastAsia" w:ascii="宋体" w:hAnsi="宋体" w:eastAsia="宋体" w:cs="宋体"/>
          <w:color w:val="auto"/>
          <w:sz w:val="24"/>
          <w:szCs w:val="24"/>
          <w:highlight w:val="none"/>
          <w:lang w:val="en-US" w:eastAsia="zh-CN"/>
        </w:rPr>
        <w:t>环境</w:t>
      </w:r>
      <w:r>
        <w:rPr>
          <w:rFonts w:hint="eastAsia" w:ascii="宋体" w:hAnsi="宋体" w:eastAsia="宋体" w:cs="宋体"/>
          <w:color w:val="auto"/>
          <w:sz w:val="24"/>
          <w:szCs w:val="24"/>
          <w:highlight w:val="none"/>
        </w:rPr>
        <w:t>分为通州办公区、通州数据中心和方庄办公区三处。包含终端1000余台、网络硬件设备30余台。为保障</w:t>
      </w:r>
      <w:r>
        <w:rPr>
          <w:rFonts w:hint="eastAsia" w:ascii="宋体" w:hAnsi="宋体" w:eastAsia="宋体" w:cs="宋体"/>
          <w:color w:val="auto"/>
          <w:sz w:val="24"/>
          <w:szCs w:val="24"/>
          <w:highlight w:val="none"/>
          <w:lang w:val="en-US" w:eastAsia="zh-CN"/>
        </w:rPr>
        <w:t>审计局</w:t>
      </w:r>
      <w:r>
        <w:rPr>
          <w:rFonts w:hint="eastAsia" w:ascii="宋体" w:hAnsi="宋体" w:eastAsia="宋体" w:cs="宋体"/>
          <w:color w:val="auto"/>
          <w:sz w:val="24"/>
          <w:szCs w:val="24"/>
          <w:highlight w:val="none"/>
        </w:rPr>
        <w:t>基础设施和网络的安全稳定运行，提升视频会议的精细化管理，择优选择一家具有丰富运维实施经验及管理经验且具备相关专业资质的专业化服务商，协助北京市审计局开展信息化运维工作。</w:t>
      </w:r>
    </w:p>
    <w:p w14:paraId="09B73EA4">
      <w:pPr>
        <w:adjustRightInd/>
        <w:snapToGrid/>
        <w:spacing w:line="360" w:lineRule="auto"/>
        <w:ind w:firstLine="480" w:firstLineChars="200"/>
        <w:rPr>
          <w:rFonts w:hint="eastAsia" w:ascii="宋体" w:hAnsi="宋体" w:eastAsia="宋体" w:cs="宋体"/>
          <w:color w:val="auto"/>
          <w:sz w:val="24"/>
          <w:szCs w:val="24"/>
          <w:highlight w:val="none"/>
        </w:rPr>
      </w:pPr>
    </w:p>
    <w:p w14:paraId="3B9B0278">
      <w:pPr>
        <w:keepNext/>
        <w:keepLines/>
        <w:numPr>
          <w:ilvl w:val="0"/>
          <w:numId w:val="2"/>
        </w:numPr>
        <w:adjustRightInd/>
        <w:snapToGrid/>
        <w:spacing w:line="360" w:lineRule="auto"/>
        <w:outlineLvl w:val="0"/>
        <w:rPr>
          <w:rFonts w:hint="eastAsia" w:ascii="宋体" w:hAnsi="宋体" w:eastAsia="宋体" w:cs="宋体"/>
          <w:b/>
          <w:bCs/>
          <w:color w:val="auto"/>
          <w:kern w:val="44"/>
          <w:sz w:val="24"/>
          <w:szCs w:val="24"/>
          <w:highlight w:val="none"/>
        </w:rPr>
      </w:pPr>
      <w:bookmarkStart w:id="3" w:name="_Toc89454999"/>
      <w:r>
        <w:rPr>
          <w:rFonts w:hint="eastAsia" w:ascii="宋体" w:hAnsi="宋体" w:eastAsia="宋体" w:cs="宋体"/>
          <w:b/>
          <w:bCs/>
          <w:color w:val="auto"/>
          <w:kern w:val="44"/>
          <w:sz w:val="24"/>
          <w:szCs w:val="24"/>
          <w:highlight w:val="none"/>
        </w:rPr>
        <w:t>运维目标</w:t>
      </w:r>
      <w:bookmarkEnd w:id="3"/>
    </w:p>
    <w:p w14:paraId="5A9D477E">
      <w:pPr>
        <w:keepNext/>
        <w:keepLines/>
        <w:numPr>
          <w:ilvl w:val="1"/>
          <w:numId w:val="2"/>
        </w:numPr>
        <w:adjustRightInd/>
        <w:snapToGrid/>
        <w:spacing w:line="360" w:lineRule="auto"/>
        <w:outlineLvl w:val="1"/>
        <w:rPr>
          <w:rFonts w:hint="eastAsia" w:ascii="宋体" w:hAnsi="宋体" w:eastAsia="宋体" w:cs="宋体"/>
          <w:b/>
          <w:bCs/>
          <w:color w:val="auto"/>
          <w:kern w:val="44"/>
          <w:sz w:val="24"/>
          <w:szCs w:val="24"/>
          <w:highlight w:val="none"/>
        </w:rPr>
      </w:pPr>
      <w:bookmarkStart w:id="4" w:name="_Toc89455000"/>
      <w:r>
        <w:rPr>
          <w:rFonts w:hint="eastAsia" w:ascii="宋体" w:hAnsi="宋体" w:eastAsia="宋体" w:cs="宋体"/>
          <w:b/>
          <w:bCs/>
          <w:color w:val="auto"/>
          <w:kern w:val="44"/>
          <w:sz w:val="24"/>
          <w:szCs w:val="24"/>
          <w:highlight w:val="none"/>
        </w:rPr>
        <w:t>业务目标</w:t>
      </w:r>
      <w:bookmarkEnd w:id="4"/>
    </w:p>
    <w:p w14:paraId="2B94658C">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经验丰富的运维团队，提供持续的高质量运维管理、技术服务，确保市审计局关键业务“7×24”小时连续稳定运行，提升市审计局整体运维服务水平，为审计业务提供高效、安全、可靠的信息技术支持，保障网络及信息系统长期稳定、安全、高效的运行。</w:t>
      </w:r>
    </w:p>
    <w:p w14:paraId="50251F97">
      <w:pPr>
        <w:keepNext/>
        <w:keepLines/>
        <w:numPr>
          <w:ilvl w:val="1"/>
          <w:numId w:val="2"/>
        </w:numPr>
        <w:adjustRightInd/>
        <w:snapToGrid/>
        <w:spacing w:line="360" w:lineRule="auto"/>
        <w:outlineLvl w:val="1"/>
        <w:rPr>
          <w:rFonts w:hint="eastAsia" w:ascii="宋体" w:hAnsi="宋体" w:eastAsia="宋体" w:cs="宋体"/>
          <w:b/>
          <w:bCs/>
          <w:color w:val="auto"/>
          <w:kern w:val="44"/>
          <w:sz w:val="24"/>
          <w:szCs w:val="24"/>
          <w:highlight w:val="none"/>
        </w:rPr>
      </w:pPr>
      <w:bookmarkStart w:id="5" w:name="_Toc89455001"/>
      <w:r>
        <w:rPr>
          <w:rFonts w:hint="eastAsia" w:ascii="宋体" w:hAnsi="宋体" w:eastAsia="宋体" w:cs="宋体"/>
          <w:b/>
          <w:bCs/>
          <w:color w:val="auto"/>
          <w:kern w:val="44"/>
          <w:sz w:val="24"/>
          <w:szCs w:val="24"/>
          <w:highlight w:val="none"/>
        </w:rPr>
        <w:t>技术目标</w:t>
      </w:r>
      <w:bookmarkEnd w:id="5"/>
    </w:p>
    <w:p w14:paraId="078D6A62">
      <w:pPr>
        <w:numPr>
          <w:ilvl w:val="0"/>
          <w:numId w:val="3"/>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通过租赁流控设备保障互联网访问行为管控能力，优化网络管理能力。</w:t>
      </w:r>
    </w:p>
    <w:p w14:paraId="0F47DF5D">
      <w:pPr>
        <w:numPr>
          <w:ilvl w:val="0"/>
          <w:numId w:val="3"/>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引入专业的运维服务团队提供完善的软件和硬件维保服务，保障网络设备、安全设备、银河麒麟桌面操作系统及金山WPS办公软件的安全稳定运行。</w:t>
      </w:r>
    </w:p>
    <w:p w14:paraId="6805CC99">
      <w:pPr>
        <w:numPr>
          <w:ilvl w:val="0"/>
          <w:numId w:val="3"/>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市审计局通州和方庄办公区网络设备维保和技术保障，监控设备运行状态。包括网络配置、故障处理、网络优化、现场巡检，保证及时发现故障，第一时间报告</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，并跟踪处理问题。</w:t>
      </w:r>
    </w:p>
    <w:p w14:paraId="2C912F98">
      <w:pPr>
        <w:numPr>
          <w:ilvl w:val="0"/>
          <w:numId w:val="3"/>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配合市审计局实施软件正版化检查工作，按要求出具检查报告，及时进行整改工作，确保办公终端操作系统、办公软件、杀毒软件符合正版化工作要求。</w:t>
      </w:r>
    </w:p>
    <w:p w14:paraId="047D393C">
      <w:pPr>
        <w:numPr>
          <w:ilvl w:val="0"/>
          <w:numId w:val="3"/>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市审计局视频会议联调技术支持，现场会议保障服务。确保市审计局的各项音视频会议正常召开，保障会议系统的稳定运行。</w:t>
      </w:r>
    </w:p>
    <w:p w14:paraId="10768C6C">
      <w:pPr>
        <w:numPr>
          <w:ilvl w:val="0"/>
          <w:numId w:val="3"/>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根据市审计局要求，在特殊时期，包括在“两会”、国家法定节假日期间，需要驻场人员加班提供现场保障服务，确保市审计局信息系统安全、稳定运行。</w:t>
      </w:r>
    </w:p>
    <w:p w14:paraId="7C3CC8E7">
      <w:pPr>
        <w:numPr>
          <w:ilvl w:val="0"/>
          <w:numId w:val="0"/>
        </w:numPr>
        <w:adjustRightInd/>
        <w:snapToGrid/>
        <w:spacing w:line="360" w:lineRule="auto"/>
        <w:ind w:left="480" w:leftChars="0"/>
        <w:rPr>
          <w:rFonts w:hint="eastAsia" w:ascii="宋体" w:hAnsi="宋体" w:eastAsia="宋体" w:cs="宋体"/>
          <w:color w:val="auto"/>
          <w:sz w:val="24"/>
          <w:szCs w:val="24"/>
          <w:highlight w:val="none"/>
        </w:rPr>
      </w:pPr>
    </w:p>
    <w:p w14:paraId="54FE981F">
      <w:pPr>
        <w:keepNext/>
        <w:keepLines/>
        <w:numPr>
          <w:ilvl w:val="0"/>
          <w:numId w:val="2"/>
        </w:numPr>
        <w:adjustRightInd/>
        <w:snapToGrid/>
        <w:spacing w:line="360" w:lineRule="auto"/>
        <w:outlineLvl w:val="0"/>
        <w:rPr>
          <w:rFonts w:hint="eastAsia" w:ascii="宋体" w:hAnsi="宋体" w:eastAsia="宋体" w:cs="宋体"/>
          <w:b/>
          <w:bCs/>
          <w:color w:val="auto"/>
          <w:kern w:val="44"/>
          <w:sz w:val="24"/>
          <w:szCs w:val="24"/>
          <w:highlight w:val="none"/>
        </w:rPr>
      </w:pPr>
      <w:bookmarkStart w:id="6" w:name="_Toc89455002"/>
      <w:r>
        <w:rPr>
          <w:rFonts w:hint="eastAsia" w:ascii="宋体" w:hAnsi="宋体" w:eastAsia="宋体" w:cs="宋体"/>
          <w:b/>
          <w:bCs/>
          <w:color w:val="auto"/>
          <w:kern w:val="44"/>
          <w:sz w:val="24"/>
          <w:szCs w:val="24"/>
          <w:highlight w:val="none"/>
        </w:rPr>
        <w:t>技术要求</w:t>
      </w:r>
      <w:bookmarkEnd w:id="6"/>
    </w:p>
    <w:p w14:paraId="553A710C">
      <w:pPr>
        <w:keepNext/>
        <w:keepLines/>
        <w:numPr>
          <w:ilvl w:val="1"/>
          <w:numId w:val="2"/>
        </w:numPr>
        <w:adjustRightInd/>
        <w:snapToGrid/>
        <w:spacing w:line="360" w:lineRule="auto"/>
        <w:outlineLvl w:val="1"/>
        <w:rPr>
          <w:rFonts w:hint="eastAsia" w:ascii="宋体" w:hAnsi="宋体" w:eastAsia="宋体" w:cs="宋体"/>
          <w:b/>
          <w:bCs/>
          <w:color w:val="auto"/>
          <w:sz w:val="24"/>
          <w:szCs w:val="24"/>
          <w:highlight w:val="none"/>
        </w:rPr>
      </w:pPr>
      <w:bookmarkStart w:id="7" w:name="_Toc89455003"/>
      <w:r>
        <w:rPr>
          <w:rFonts w:hint="eastAsia" w:ascii="宋体" w:hAnsi="宋体" w:eastAsia="宋体" w:cs="宋体"/>
          <w:b/>
          <w:bCs/>
          <w:color w:val="auto"/>
          <w:sz w:val="24"/>
          <w:szCs w:val="24"/>
          <w:highlight w:val="none"/>
        </w:rPr>
        <w:t>总体需求</w:t>
      </w:r>
      <w:bookmarkEnd w:id="7"/>
    </w:p>
    <w:p w14:paraId="7B99A026">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租赁互联网流量控制设备。优化外网带宽资源使用，提升上网体验，强化互联网应用访问安全控制能力。</w:t>
      </w:r>
    </w:p>
    <w:p w14:paraId="6C73486E">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针对市审计局办公区内的交换机、网络安全设备，购买厂商运维服务，保障网络设备的稳定运行。</w:t>
      </w:r>
    </w:p>
    <w:p w14:paraId="0789B38A">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网络运维技术服务，包括通州和方庄两地办公区的设备安装配置、巡检、备件更换及提供相关政务外网、互联网及各类专线的技术支持服务工作。</w:t>
      </w:r>
    </w:p>
    <w:p w14:paraId="331AD488">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视频会议运维服务，保障市审计局各级视频会议系统正常运行。在视频会议召开期间提供现场保障服务。</w:t>
      </w:r>
    </w:p>
    <w:p w14:paraId="542B2005">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根据市审计局的要求，在重要活动期间安排技术人员进行现场网络安全监控和现场值守工作。</w:t>
      </w:r>
    </w:p>
    <w:p w14:paraId="35A33A59">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配合市审计局开展正版化检查工作，定期对全局终端实施软件正版化检查，确保局内办公终端操作系统、办公软件、杀毒软件符合正版化工作要求。</w:t>
      </w:r>
    </w:p>
    <w:p w14:paraId="4A7EB350">
      <w:pPr>
        <w:numPr>
          <w:ilvl w:val="0"/>
          <w:numId w:val="4"/>
        </w:numPr>
        <w:adjustRightInd/>
        <w:snapToGrid/>
        <w:spacing w:line="360" w:lineRule="auto"/>
        <w:ind w:firstLine="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保障市局银河麒麟桌面操作系统及金山WPS办公软件安全稳定运行。提供原厂产品部署及使用指导、产品系统升级、访问技术资源、软件更新使用许可，软件支持服务。</w:t>
      </w:r>
    </w:p>
    <w:p w14:paraId="1967B68A">
      <w:pPr>
        <w:keepNext/>
        <w:keepLines/>
        <w:numPr>
          <w:ilvl w:val="1"/>
          <w:numId w:val="2"/>
        </w:numPr>
        <w:adjustRightInd/>
        <w:snapToGrid/>
        <w:spacing w:line="360" w:lineRule="auto"/>
        <w:outlineLvl w:val="1"/>
        <w:rPr>
          <w:rFonts w:hint="eastAsia" w:ascii="宋体" w:hAnsi="宋体" w:eastAsia="宋体" w:cs="宋体"/>
          <w:b/>
          <w:bCs/>
          <w:color w:val="auto"/>
          <w:sz w:val="24"/>
          <w:szCs w:val="24"/>
          <w:highlight w:val="none"/>
        </w:rPr>
      </w:pPr>
      <w:bookmarkStart w:id="8" w:name="_Toc89455004"/>
      <w:r>
        <w:rPr>
          <w:rFonts w:hint="eastAsia" w:ascii="宋体" w:hAnsi="宋体" w:eastAsia="宋体" w:cs="宋体"/>
          <w:b/>
          <w:bCs/>
          <w:color w:val="auto"/>
          <w:sz w:val="24"/>
          <w:szCs w:val="24"/>
          <w:highlight w:val="none"/>
        </w:rPr>
        <w:t>服务要求</w:t>
      </w:r>
      <w:bookmarkEnd w:id="8"/>
    </w:p>
    <w:p w14:paraId="669BEDD1">
      <w:pPr>
        <w:numPr>
          <w:ilvl w:val="0"/>
          <w:numId w:val="5"/>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租赁及运维服务期为</w:t>
      </w:r>
      <w:r>
        <w:rPr>
          <w:rFonts w:hint="eastAsia" w:ascii="宋体" w:hAnsi="宋体" w:eastAsia="宋体" w:cs="宋体"/>
          <w:color w:val="auto"/>
          <w:sz w:val="24"/>
          <w:szCs w:val="24"/>
          <w:highlight w:val="none"/>
          <w:lang w:val="en-US" w:eastAsia="zh-CN"/>
        </w:rPr>
        <w:t>自合同签订起</w:t>
      </w:r>
      <w:r>
        <w:rPr>
          <w:rFonts w:hint="eastAsia" w:ascii="宋体" w:hAnsi="宋体" w:eastAsia="宋体" w:cs="宋体"/>
          <w:color w:val="auto"/>
          <w:sz w:val="24"/>
          <w:szCs w:val="24"/>
          <w:highlight w:val="none"/>
        </w:rPr>
        <w:t>一年期，7*24小时服务响应，租赁设备放置在采购人指定地点。</w:t>
      </w:r>
    </w:p>
    <w:p w14:paraId="33818E57">
      <w:pPr>
        <w:numPr>
          <w:ilvl w:val="0"/>
          <w:numId w:val="5"/>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供应商应提供不低于本项目技术指标要求的设备。</w:t>
      </w:r>
    </w:p>
    <w:p w14:paraId="6AF2D8AE">
      <w:pPr>
        <w:numPr>
          <w:ilvl w:val="0"/>
          <w:numId w:val="5"/>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具有类似项目的运维服务经验。供应商须保证所提供的租赁设备为国产原厂设备。所有租赁和运维的设备，在一年的服务期内发生的系统故障，应按要求提供现场技术支持服务，并及时更换原厂备件，保障设备和系统的稳定。</w:t>
      </w:r>
    </w:p>
    <w:p w14:paraId="22767F04">
      <w:pPr>
        <w:numPr>
          <w:ilvl w:val="0"/>
          <w:numId w:val="5"/>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须保证履行服务合同期，遵守采购人出台的各项制度、规范、标准和流程。服务团队成员在进行现场服务时，服从审计局相关管理规定。运维服务过程中，如发生两次以上重大事故，采购人有权终止合同。当运维公司相关规定与审计局规定冲突时，以审计局相关管理规定为准。</w:t>
      </w:r>
    </w:p>
    <w:p w14:paraId="49DF4D56">
      <w:pPr>
        <w:numPr>
          <w:ilvl w:val="0"/>
          <w:numId w:val="5"/>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供应商需有完整的问题处理流程及记录表单，及时向采购人反馈书面问题处理结果，所有记录表单及书面处理结果，应装订成册作为年度验收依据。</w:t>
      </w:r>
    </w:p>
    <w:p w14:paraId="46EE067D">
      <w:pPr>
        <w:numPr>
          <w:ilvl w:val="0"/>
          <w:numId w:val="5"/>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如供应商所提供的租赁设备经查验，没有原厂服务及保修，按无效标处理，采购人保留追究法律责任的权利。</w:t>
      </w:r>
    </w:p>
    <w:p w14:paraId="721475BB">
      <w:pPr>
        <w:keepNext/>
        <w:keepLines/>
        <w:numPr>
          <w:ilvl w:val="1"/>
          <w:numId w:val="2"/>
        </w:numPr>
        <w:adjustRightInd/>
        <w:snapToGrid/>
        <w:spacing w:line="360" w:lineRule="auto"/>
        <w:outlineLvl w:val="1"/>
        <w:rPr>
          <w:rFonts w:hint="eastAsia" w:ascii="宋体" w:hAnsi="宋体" w:eastAsia="宋体" w:cs="宋体"/>
          <w:b/>
          <w:bCs/>
          <w:color w:val="auto"/>
          <w:sz w:val="24"/>
          <w:szCs w:val="24"/>
          <w:highlight w:val="none"/>
        </w:rPr>
      </w:pPr>
      <w:bookmarkStart w:id="9" w:name="_Toc89455005"/>
      <w:r>
        <w:rPr>
          <w:rFonts w:hint="eastAsia" w:ascii="宋体" w:hAnsi="宋体" w:eastAsia="宋体" w:cs="宋体"/>
          <w:b/>
          <w:bCs/>
          <w:color w:val="auto"/>
          <w:sz w:val="24"/>
          <w:szCs w:val="24"/>
          <w:highlight w:val="none"/>
        </w:rPr>
        <w:t>其它要求</w:t>
      </w:r>
      <w:bookmarkEnd w:id="9"/>
    </w:p>
    <w:p w14:paraId="218B01B0">
      <w:pPr>
        <w:numPr>
          <w:ilvl w:val="0"/>
          <w:numId w:val="6"/>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本项目最终成交价格高于市财政局最终预算批复价格，则本项目合同签署价格以财政预算批复价格为准；如本项目最终成交价格低于或等于市财政局最终预算批复价格，则本项目合同签署价格以最终成交价格为准。</w:t>
      </w:r>
    </w:p>
    <w:p w14:paraId="12635DBF">
      <w:pPr>
        <w:numPr>
          <w:ilvl w:val="0"/>
          <w:numId w:val="6"/>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如在本项目服务期满后，采购人未取定新的运维服务商，为保证运维服务的连续性，成交供应商应保证继续完成运维工作，直至与新的服务商完成工作交接，否则将按违约处理。</w:t>
      </w:r>
    </w:p>
    <w:p w14:paraId="228F39A3">
      <w:pPr>
        <w:keepNext/>
        <w:keepLines/>
        <w:numPr>
          <w:ilvl w:val="1"/>
          <w:numId w:val="2"/>
        </w:numPr>
        <w:adjustRightInd/>
        <w:snapToGrid/>
        <w:spacing w:line="360" w:lineRule="auto"/>
        <w:outlineLvl w:val="1"/>
        <w:rPr>
          <w:rFonts w:hint="eastAsia" w:ascii="宋体" w:hAnsi="宋体" w:eastAsia="宋体" w:cs="宋体"/>
          <w:b/>
          <w:bCs/>
          <w:color w:val="auto"/>
          <w:sz w:val="24"/>
          <w:szCs w:val="24"/>
          <w:highlight w:val="none"/>
        </w:rPr>
      </w:pPr>
      <w:bookmarkStart w:id="10" w:name="_Toc89455006"/>
      <w:r>
        <w:rPr>
          <w:rFonts w:hint="eastAsia" w:ascii="宋体" w:hAnsi="宋体" w:eastAsia="宋体" w:cs="宋体"/>
          <w:b/>
          <w:bCs/>
          <w:color w:val="auto"/>
          <w:sz w:val="24"/>
          <w:szCs w:val="24"/>
          <w:highlight w:val="none"/>
        </w:rPr>
        <w:t>服务具体需求</w:t>
      </w:r>
      <w:bookmarkEnd w:id="10"/>
    </w:p>
    <w:p w14:paraId="77FE1B83">
      <w:pPr>
        <w:keepNext/>
        <w:keepLines/>
        <w:numPr>
          <w:ilvl w:val="2"/>
          <w:numId w:val="2"/>
        </w:numPr>
        <w:adjustRightInd/>
        <w:snapToGrid/>
        <w:spacing w:line="360" w:lineRule="auto"/>
        <w:ind w:hanging="1260"/>
        <w:outlineLvl w:val="2"/>
        <w:rPr>
          <w:rFonts w:hint="eastAsia" w:ascii="宋体" w:hAnsi="宋体" w:eastAsia="宋体" w:cs="宋体"/>
          <w:b/>
          <w:bCs/>
          <w:color w:val="auto"/>
          <w:sz w:val="24"/>
          <w:szCs w:val="24"/>
          <w:highlight w:val="none"/>
        </w:rPr>
      </w:pPr>
      <w:bookmarkStart w:id="11" w:name="_Toc89455008"/>
      <w:r>
        <w:rPr>
          <w:rFonts w:hint="eastAsia" w:ascii="宋体" w:hAnsi="宋体" w:eastAsia="宋体" w:cs="宋体"/>
          <w:b/>
          <w:bCs/>
          <w:color w:val="auto"/>
          <w:sz w:val="24"/>
          <w:szCs w:val="24"/>
          <w:highlight w:val="none"/>
        </w:rPr>
        <w:t>互联网流控设备租赁服务</w:t>
      </w:r>
      <w:bookmarkEnd w:id="11"/>
    </w:p>
    <w:p w14:paraId="5627CD5F">
      <w:pPr>
        <w:numPr>
          <w:ilvl w:val="0"/>
          <w:numId w:val="7"/>
        </w:numPr>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设备租赁：</w:t>
      </w:r>
    </w:p>
    <w:p w14:paraId="04EB0FDD">
      <w:pPr>
        <w:adjustRightInd/>
        <w:snapToGrid/>
        <w:spacing w:line="360" w:lineRule="auto"/>
        <w:ind w:left="84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供应商需提供1台全新的互联网流控设备（</w:t>
      </w:r>
      <w:r>
        <w:rPr>
          <w:rFonts w:hint="eastAsia" w:ascii="宋体" w:hAnsi="宋体" w:eastAsia="宋体" w:cs="宋体"/>
          <w:color w:val="auto"/>
          <w:sz w:val="24"/>
          <w:szCs w:val="24"/>
          <w:highlight w:val="none"/>
        </w:rPr>
        <w:t>如为采购人现使用设备，则视为全新设备）</w:t>
      </w:r>
    </w:p>
    <w:p w14:paraId="16CA16F9">
      <w:pPr>
        <w:adjustRightInd/>
        <w:snapToGrid/>
        <w:spacing w:line="360" w:lineRule="auto"/>
        <w:ind w:left="420" w:firstLine="42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技术指标参数不低于以下要求：</w:t>
      </w:r>
    </w:p>
    <w:tbl>
      <w:tblPr>
        <w:tblStyle w:val="4"/>
        <w:tblW w:w="4638" w:type="pct"/>
        <w:tblInd w:w="534" w:type="dxa"/>
        <w:tblLayout w:type="autofit"/>
        <w:tblCellMar>
          <w:top w:w="0" w:type="dxa"/>
          <w:left w:w="108" w:type="dxa"/>
          <w:bottom w:w="0" w:type="dxa"/>
          <w:right w:w="108" w:type="dxa"/>
        </w:tblCellMar>
      </w:tblPr>
      <w:tblGrid>
        <w:gridCol w:w="596"/>
        <w:gridCol w:w="4688"/>
        <w:gridCol w:w="726"/>
        <w:gridCol w:w="618"/>
        <w:gridCol w:w="621"/>
        <w:gridCol w:w="656"/>
      </w:tblGrid>
      <w:tr w14:paraId="456D57E4">
        <w:tblPrEx>
          <w:tblCellMar>
            <w:top w:w="0" w:type="dxa"/>
            <w:left w:w="108" w:type="dxa"/>
            <w:bottom w:w="0" w:type="dxa"/>
            <w:right w:w="108" w:type="dxa"/>
          </w:tblCellMar>
        </w:tblPrEx>
        <w:trPr>
          <w:trHeight w:val="855" w:hRule="atLeast"/>
        </w:trPr>
        <w:tc>
          <w:tcPr>
            <w:tcW w:w="377" w:type="pct"/>
            <w:tcBorders>
              <w:top w:val="single" w:color="auto" w:sz="4" w:space="0"/>
              <w:left w:val="single" w:color="auto" w:sz="4" w:space="0"/>
              <w:bottom w:val="single" w:color="auto" w:sz="4" w:space="0"/>
              <w:right w:val="single" w:color="auto" w:sz="4" w:space="0"/>
            </w:tcBorders>
            <w:noWrap w:val="0"/>
            <w:vAlign w:val="center"/>
          </w:tcPr>
          <w:p w14:paraId="5C0CC6B2">
            <w:pPr>
              <w:widowControl/>
              <w:adjustRightInd/>
              <w:snapToGrid/>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类别</w:t>
            </w:r>
          </w:p>
        </w:tc>
        <w:tc>
          <w:tcPr>
            <w:tcW w:w="2965" w:type="pct"/>
            <w:tcBorders>
              <w:top w:val="single" w:color="auto" w:sz="4" w:space="0"/>
              <w:left w:val="nil"/>
              <w:bottom w:val="single" w:color="auto" w:sz="4" w:space="0"/>
              <w:right w:val="single" w:color="auto" w:sz="4" w:space="0"/>
            </w:tcBorders>
            <w:noWrap w:val="0"/>
            <w:vAlign w:val="center"/>
          </w:tcPr>
          <w:p w14:paraId="5773F63A">
            <w:pPr>
              <w:widowControl/>
              <w:adjustRightInd/>
              <w:snapToGrid/>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运维技术要求</w:t>
            </w:r>
          </w:p>
        </w:tc>
        <w:tc>
          <w:tcPr>
            <w:tcW w:w="459" w:type="pct"/>
            <w:tcBorders>
              <w:top w:val="single" w:color="auto" w:sz="4" w:space="0"/>
              <w:left w:val="nil"/>
              <w:bottom w:val="single" w:color="auto" w:sz="4" w:space="0"/>
              <w:right w:val="single" w:color="auto" w:sz="4" w:space="0"/>
            </w:tcBorders>
            <w:noWrap w:val="0"/>
            <w:vAlign w:val="center"/>
          </w:tcPr>
          <w:p w14:paraId="094972FD">
            <w:pPr>
              <w:widowControl/>
              <w:adjustRightInd/>
              <w:snapToGrid/>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是否要求国产</w:t>
            </w:r>
          </w:p>
        </w:tc>
        <w:tc>
          <w:tcPr>
            <w:tcW w:w="391" w:type="pct"/>
            <w:tcBorders>
              <w:top w:val="single" w:color="auto" w:sz="4" w:space="0"/>
              <w:left w:val="nil"/>
              <w:bottom w:val="single" w:color="auto" w:sz="4" w:space="0"/>
              <w:right w:val="single" w:color="auto" w:sz="4" w:space="0"/>
            </w:tcBorders>
            <w:noWrap w:val="0"/>
            <w:vAlign w:val="center"/>
          </w:tcPr>
          <w:p w14:paraId="7F737742">
            <w:pPr>
              <w:widowControl/>
              <w:adjustRightInd/>
              <w:snapToGrid/>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服务/租赁期</w:t>
            </w:r>
          </w:p>
        </w:tc>
        <w:tc>
          <w:tcPr>
            <w:tcW w:w="393" w:type="pct"/>
            <w:tcBorders>
              <w:top w:val="single" w:color="auto" w:sz="4" w:space="0"/>
              <w:left w:val="nil"/>
              <w:bottom w:val="single" w:color="auto" w:sz="4" w:space="0"/>
              <w:right w:val="single" w:color="auto" w:sz="4" w:space="0"/>
            </w:tcBorders>
            <w:noWrap w:val="0"/>
            <w:vAlign w:val="center"/>
          </w:tcPr>
          <w:p w14:paraId="7CCA30C4">
            <w:pPr>
              <w:widowControl/>
              <w:adjustRightInd/>
              <w:snapToGrid/>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是否要求原厂保修</w:t>
            </w:r>
          </w:p>
        </w:tc>
        <w:tc>
          <w:tcPr>
            <w:tcW w:w="415" w:type="pct"/>
            <w:tcBorders>
              <w:top w:val="single" w:color="auto" w:sz="4" w:space="0"/>
              <w:left w:val="nil"/>
              <w:bottom w:val="single" w:color="auto" w:sz="4" w:space="0"/>
              <w:right w:val="single" w:color="auto" w:sz="4" w:space="0"/>
            </w:tcBorders>
            <w:noWrap w:val="0"/>
            <w:vAlign w:val="center"/>
          </w:tcPr>
          <w:p w14:paraId="704C6BD1">
            <w:pPr>
              <w:widowControl/>
              <w:adjustRightInd/>
              <w:snapToGrid/>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r>
      <w:tr w14:paraId="24FC7EB9">
        <w:tblPrEx>
          <w:tblCellMar>
            <w:top w:w="0" w:type="dxa"/>
            <w:left w:w="108" w:type="dxa"/>
            <w:bottom w:w="0" w:type="dxa"/>
            <w:right w:w="108" w:type="dxa"/>
          </w:tblCellMar>
        </w:tblPrEx>
        <w:trPr>
          <w:trHeight w:val="2117" w:hRule="atLeast"/>
        </w:trPr>
        <w:tc>
          <w:tcPr>
            <w:tcW w:w="377" w:type="pct"/>
            <w:tcBorders>
              <w:top w:val="nil"/>
              <w:left w:val="single" w:color="auto" w:sz="4" w:space="0"/>
              <w:bottom w:val="single" w:color="auto" w:sz="4" w:space="0"/>
              <w:right w:val="single" w:color="auto" w:sz="4" w:space="0"/>
            </w:tcBorders>
            <w:noWrap w:val="0"/>
            <w:vAlign w:val="center"/>
          </w:tcPr>
          <w:p w14:paraId="387CA008">
            <w:pPr>
              <w:widowControl/>
              <w:adjustRightInd/>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互联网</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流控设备</w:t>
            </w:r>
          </w:p>
        </w:tc>
        <w:tc>
          <w:tcPr>
            <w:tcW w:w="2965" w:type="pct"/>
            <w:tcBorders>
              <w:top w:val="nil"/>
              <w:left w:val="nil"/>
              <w:bottom w:val="single" w:color="auto" w:sz="4" w:space="0"/>
              <w:right w:val="single" w:color="auto" w:sz="4" w:space="0"/>
            </w:tcBorders>
            <w:noWrap w:val="0"/>
            <w:vAlign w:val="center"/>
          </w:tcPr>
          <w:p w14:paraId="636E5B9B">
            <w:pPr>
              <w:widowControl/>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（1）6个千兆电口；2个千兆光口，1个RJ45串口；2个USB2.0接口,支持ByPass功能；IPSEC VPN加密性能（最高性能）：50Mb；包转发率：27Kpps；吞吐量≥300 MB；并发会话数≥120000；每秒新建连接数≥2400,用户规模≥1000人。</w:t>
            </w:r>
          </w:p>
          <w:p w14:paraId="6E47B8A4">
            <w:pPr>
              <w:widowControl/>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硬盘容量：480G SSD；</w:t>
            </w:r>
          </w:p>
          <w:p w14:paraId="10349BEB">
            <w:pPr>
              <w:widowControl/>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（2）支持 Web、CL、SSH等管理方式，管理员支持分级管理，能将所有功能模块按需分配给不同管理员，多台设备支持通过统一平台集中管理、集中配置，提供图形化排障工具，便于管理员排查策略错误等故障;</w:t>
            </w:r>
          </w:p>
          <w:p w14:paraId="69FD6EFF">
            <w:pPr>
              <w:widowControl/>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（3）支持以IP、MAC、IP/MAC 绑定、用户名密码等方式认证用户，支持LDAP/RADIUS/POP3/数据库等第三方认证服务器;支持 USB-KEK 认证支持AD域/POP3/Proxy/Web/第三方系统单点登录;支持指定网段/账号强制单点登录，支持账号公有/私有控制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支持账号有效期控制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用户账户支持文本导入、IP/MAC 扫描导入、或从 AD 服务器导人账户和组织结构信息，支持AD 安全组嵌套同步</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支持LDAP 服务器的域对象的策略管理与同步，使策略管理与用户管理分离，支持短信认证，支持微信认证，无需修改微信第三方平台代码，支持二维码认证；</w:t>
            </w:r>
          </w:p>
          <w:p w14:paraId="07047A9D">
            <w:pPr>
              <w:widowControl/>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（4）新用户支持根据源IP 段以IP/MAC/计算机名等方式实现账户自动命名</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支持认证冲突检测</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支持认证失败后的权限管控，支持认证成功后的页面跳转控制；</w:t>
            </w:r>
          </w:p>
          <w:p w14:paraId="69BCFCF5">
            <w:pPr>
              <w:widowControl/>
              <w:adjustRightInd/>
              <w:snapToGrid/>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（5）内置海量 URL库且支持手工创建、支持基于 URL地址/搜索词条/网页正文内容包含的关键宇过滤网页访问行为，同时可基于关键字过滤网络发帖、Webmail邮件外发行为，支持能看帖但不准发帖、能收邮件但不准发邮件的细致管控功能；</w:t>
            </w:r>
          </w:p>
          <w:p w14:paraId="06871302">
            <w:pPr>
              <w:widowControl/>
              <w:adjustRightInd/>
              <w:snapToGrid/>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（6）支持过滤 SSL加密网址，并能基于关键字过滤 SSL 加密的网络发帖和Webmail</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能够识别和过滤使用公网代理或自由门/无界浏览器等加密代理软件来试图规避管理的行为</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能够管控通过安装代理软件将自己的上网权限共享给其他人的行为</w:t>
            </w:r>
            <w:r>
              <w:rPr>
                <w:rFonts w:hint="eastAsia" w:ascii="宋体" w:hAnsi="宋体" w:eastAsia="宋体" w:cs="宋体"/>
                <w:color w:val="auto"/>
                <w:kern w:val="0"/>
                <w:sz w:val="24"/>
                <w:szCs w:val="24"/>
                <w:highlight w:val="none"/>
                <w:lang w:eastAsia="zh-CN"/>
              </w:rPr>
              <w:t>；</w:t>
            </w:r>
          </w:p>
          <w:p w14:paraId="7097179D">
            <w:pPr>
              <w:widowControl/>
              <w:adjustRightInd/>
              <w:snapToGrid/>
              <w:spacing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（7）支持内置和独立数据中心，海量存储日志，可实现不同管理员根据自己的管理对象分级审计</w:t>
            </w:r>
            <w:r>
              <w:rPr>
                <w:rFonts w:hint="eastAsia" w:ascii="宋体" w:hAnsi="宋体" w:eastAsia="宋体" w:cs="宋体"/>
                <w:color w:val="auto"/>
                <w:kern w:val="0"/>
                <w:sz w:val="24"/>
                <w:szCs w:val="24"/>
                <w:highlight w:val="none"/>
                <w:lang w:eastAsia="zh-CN"/>
              </w:rPr>
              <w:t>。</w:t>
            </w:r>
          </w:p>
        </w:tc>
        <w:tc>
          <w:tcPr>
            <w:tcW w:w="459" w:type="pct"/>
            <w:tcBorders>
              <w:top w:val="nil"/>
              <w:left w:val="nil"/>
              <w:bottom w:val="single" w:color="auto" w:sz="4" w:space="0"/>
              <w:right w:val="single" w:color="auto" w:sz="4" w:space="0"/>
            </w:tcBorders>
            <w:noWrap w:val="0"/>
            <w:vAlign w:val="center"/>
          </w:tcPr>
          <w:p w14:paraId="6A0FED1A">
            <w:pPr>
              <w:widowControl/>
              <w:adjustRightInd/>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391" w:type="pct"/>
            <w:tcBorders>
              <w:top w:val="nil"/>
              <w:left w:val="nil"/>
              <w:bottom w:val="single" w:color="auto" w:sz="4" w:space="0"/>
              <w:right w:val="single" w:color="auto" w:sz="4" w:space="0"/>
            </w:tcBorders>
            <w:noWrap w:val="0"/>
            <w:vAlign w:val="center"/>
          </w:tcPr>
          <w:p w14:paraId="35179747">
            <w:pPr>
              <w:widowControl/>
              <w:adjustRightInd/>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一年</w:t>
            </w:r>
          </w:p>
        </w:tc>
        <w:tc>
          <w:tcPr>
            <w:tcW w:w="393" w:type="pct"/>
            <w:tcBorders>
              <w:top w:val="nil"/>
              <w:left w:val="nil"/>
              <w:bottom w:val="single" w:color="auto" w:sz="4" w:space="0"/>
              <w:right w:val="single" w:color="auto" w:sz="4" w:space="0"/>
            </w:tcBorders>
            <w:noWrap w:val="0"/>
            <w:vAlign w:val="center"/>
          </w:tcPr>
          <w:p w14:paraId="17B31060">
            <w:pPr>
              <w:widowControl/>
              <w:adjustRightInd/>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是</w:t>
            </w:r>
          </w:p>
        </w:tc>
        <w:tc>
          <w:tcPr>
            <w:tcW w:w="415" w:type="pct"/>
            <w:tcBorders>
              <w:top w:val="nil"/>
              <w:left w:val="nil"/>
              <w:bottom w:val="single" w:color="auto" w:sz="4" w:space="0"/>
              <w:right w:val="single" w:color="auto" w:sz="4" w:space="0"/>
            </w:tcBorders>
            <w:noWrap w:val="0"/>
            <w:vAlign w:val="center"/>
          </w:tcPr>
          <w:p w14:paraId="64401090">
            <w:pPr>
              <w:widowControl/>
              <w:adjustRightInd/>
              <w:snapToGrid/>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r>
    </w:tbl>
    <w:p w14:paraId="0F7708AB">
      <w:pPr>
        <w:numPr>
          <w:ilvl w:val="0"/>
          <w:numId w:val="8"/>
        </w:numPr>
        <w:adjustRightInd/>
        <w:snapToGrid/>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供应商需按照采购人要求部署及调试流控设备，并在服务期内提供技术支持服务。</w:t>
      </w:r>
    </w:p>
    <w:p w14:paraId="4126007E">
      <w:pPr>
        <w:adjustRightInd/>
        <w:snapToGrid/>
        <w:spacing w:line="360" w:lineRule="auto"/>
        <w:rPr>
          <w:rFonts w:hint="eastAsia" w:ascii="宋体" w:hAnsi="宋体" w:eastAsia="宋体" w:cs="宋体"/>
          <w:color w:val="auto"/>
          <w:sz w:val="24"/>
          <w:szCs w:val="24"/>
          <w:highlight w:val="none"/>
        </w:rPr>
      </w:pPr>
    </w:p>
    <w:p w14:paraId="7A864AFF">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bookmarkStart w:id="12" w:name="_Toc89455010"/>
      <w:r>
        <w:rPr>
          <w:rFonts w:hint="eastAsia" w:ascii="宋体" w:hAnsi="宋体" w:eastAsia="宋体" w:cs="宋体"/>
          <w:b/>
          <w:bCs/>
          <w:color w:val="auto"/>
          <w:sz w:val="24"/>
          <w:szCs w:val="24"/>
          <w:highlight w:val="none"/>
        </w:rPr>
        <w:t>网络设备维保及网络运维技术服务</w:t>
      </w:r>
      <w:bookmarkEnd w:id="12"/>
    </w:p>
    <w:p w14:paraId="36583F66">
      <w:pPr>
        <w:numPr>
          <w:ilvl w:val="0"/>
          <w:numId w:val="9"/>
        </w:numPr>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网络设备维保</w:t>
      </w:r>
    </w:p>
    <w:p w14:paraId="0D2DD2A6">
      <w:pPr>
        <w:adjustRightInd/>
        <w:snapToGrid/>
        <w:spacing w:line="360" w:lineRule="auto"/>
        <w:ind w:left="-2" w:leftChars="-1" w:firstLine="664" w:firstLineChars="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网络设备原厂支持服务，包括但不限于：原厂备品备件更换；在采购人重大配置变更以及故障事件发生时根据采购人要求提供原厂级别的服务保障人员进行原厂技术支持、故障解决等。</w:t>
      </w:r>
    </w:p>
    <w:p w14:paraId="4D8DDB5D">
      <w:pPr>
        <w:numPr>
          <w:ilvl w:val="0"/>
          <w:numId w:val="9"/>
        </w:numPr>
        <w:adjustRightInd/>
        <w:snapToGrid/>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网络运维技术服务内容</w:t>
      </w:r>
    </w:p>
    <w:p w14:paraId="32F88B36">
      <w:pPr>
        <w:adjustRightInd/>
        <w:snapToGrid/>
        <w:spacing w:line="360" w:lineRule="auto"/>
        <w:ind w:left="-2" w:leftChars="-1" w:firstLine="664" w:firstLineChars="2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包括但不限于：现场值守、电话技术支持、远程运维管理、紧急故障响应、技术培训、应急响应服务等技术服务和运维文档、制度建立。</w:t>
      </w:r>
    </w:p>
    <w:p w14:paraId="7B4EBE30">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常故障处理、网络调试、系统巡检、备件更换等，需保障各网络的稳定运行。负责市审计局方庄办公区各类网络、市审计局通州办公区互联网的调试、维护、故障处理及日常管理，针对通州办公楼内其他非采购人建设和管理的网络，协助采购人开展故障报修、技术对接等工作。</w:t>
      </w:r>
    </w:p>
    <w:p w14:paraId="2083CC0D">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按照采购人要求，对维保设备进行人工巡检，包括设备运行情况、系统日志分析等，并提交巡检记录。</w:t>
      </w:r>
    </w:p>
    <w:p w14:paraId="0C58E212">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运维过程中对维保设备出现的服务异常、服务中断、系统故障、设备硬件损坏等故障及时进行诊断、分析、处理，更换备件，及时恢复系统正常运行。</w:t>
      </w:r>
    </w:p>
    <w:p w14:paraId="2AD5E245">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根据实际工作需要进行设备调试，包括系统配置调试、设备上下架、开关机等。</w:t>
      </w:r>
    </w:p>
    <w:p w14:paraId="0C3C17A9">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协助采购人完成IT资产信息的收集和整理，建立相关业务系统支撑环境与基础设施关联关系，形成设备信息管理台帐。</w:t>
      </w:r>
    </w:p>
    <w:p w14:paraId="311852C3">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其他采购人要求供应商提供的其他服务及配合工作。</w:t>
      </w:r>
    </w:p>
    <w:p w14:paraId="68EA2CE2">
      <w:pPr>
        <w:numPr>
          <w:ilvl w:val="0"/>
          <w:numId w:val="10"/>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在日常服务中，供应商应保证在10分钟内响应请求，30分钟内提供现场技术支持服务，60分钟内解决故障，建立运维服务应急机制，减少故障隐患。如果不能达到以上要求，按供应商违约处理。</w:t>
      </w:r>
    </w:p>
    <w:p w14:paraId="36039BCE">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bookmarkStart w:id="13" w:name="_Toc89455011"/>
      <w:r>
        <w:rPr>
          <w:rFonts w:hint="eastAsia" w:ascii="宋体" w:hAnsi="宋体" w:eastAsia="宋体" w:cs="宋体"/>
          <w:b/>
          <w:bCs/>
          <w:color w:val="auto"/>
          <w:sz w:val="24"/>
          <w:szCs w:val="24"/>
          <w:highlight w:val="none"/>
        </w:rPr>
        <w:t>视频会议运维服务</w:t>
      </w:r>
      <w:bookmarkEnd w:id="13"/>
    </w:p>
    <w:p w14:paraId="0A74DA85">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视频会议运维服务，保障北京市审计局各级视频会议系统正常运行。在市局各类视频会议召开期间提供现场保障服务。建立视频会议应急响应预案，根据预案对视频会议提供全面保障。北京市审计局视频会议系统担负着日常多媒体会议、视频会议。同时承接审计署、北京市各区审计局等四类高清视频会议。通过专业的视频会议服务实现视频会议系统的精细化管理，保障视频会议的正常召开，进一步提升视频会议服务水平。</w:t>
      </w:r>
    </w:p>
    <w:p w14:paraId="68257E6F">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bookmarkStart w:id="14" w:name="_Toc89455014"/>
      <w:r>
        <w:rPr>
          <w:rFonts w:hint="eastAsia" w:ascii="宋体" w:hAnsi="宋体" w:eastAsia="宋体" w:cs="宋体"/>
          <w:b/>
          <w:bCs/>
          <w:color w:val="auto"/>
          <w:sz w:val="24"/>
          <w:szCs w:val="24"/>
          <w:highlight w:val="none"/>
        </w:rPr>
        <w:t>软件正版化检查服务</w:t>
      </w:r>
    </w:p>
    <w:p w14:paraId="6990C01F">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按照采购人及主管部门针对软件正版化工作的相关要求，协助开展软件正版化检查工作。负责收集、汇总、整理检查数据，并形成检查记录。对不符合软件正版化管理要求的终端进行整改。</w:t>
      </w:r>
    </w:p>
    <w:p w14:paraId="2136502E">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重要时期保障值守</w:t>
      </w:r>
      <w:bookmarkEnd w:id="14"/>
      <w:r>
        <w:rPr>
          <w:rFonts w:hint="eastAsia" w:ascii="宋体" w:hAnsi="宋体" w:eastAsia="宋体" w:cs="宋体"/>
          <w:b/>
          <w:bCs/>
          <w:color w:val="auto"/>
          <w:sz w:val="24"/>
          <w:szCs w:val="24"/>
          <w:highlight w:val="none"/>
        </w:rPr>
        <w:t>服务</w:t>
      </w:r>
    </w:p>
    <w:p w14:paraId="7A64FBB5">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根据北京市审计局的要求，在重要活动期间安排技术人员进行现场网络安全监控和现场值守工作，其中重要活动为重大会议、网络安全防护工作、春节、国庆及北京市审计局提出的指定时间。</w:t>
      </w:r>
    </w:p>
    <w:p w14:paraId="1ABFF0EA">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bookmarkStart w:id="15" w:name="_Toc89455015"/>
      <w:r>
        <w:rPr>
          <w:rFonts w:hint="eastAsia" w:ascii="宋体" w:hAnsi="宋体" w:eastAsia="宋体" w:cs="宋体"/>
          <w:b/>
          <w:bCs/>
          <w:color w:val="auto"/>
          <w:sz w:val="24"/>
          <w:szCs w:val="24"/>
          <w:highlight w:val="none"/>
        </w:rPr>
        <w:t>银河麒麟桌面操作系统及金山WPS办公软件维保服务</w:t>
      </w:r>
    </w:p>
    <w:p w14:paraId="62D755F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针对北京市审计局银河麒麟桌面操作系统V10版本和金山WPS Office 2019 for Linux专业版办公软件V11各1010套的原厂维保服务，提供产品部署及使用指导、产品系统升级、访问技术资源、软件更新使用许可，软件支持服务。</w:t>
      </w:r>
    </w:p>
    <w:p w14:paraId="64B9FF6A">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人员能力及服务方式要求</w:t>
      </w:r>
      <w:bookmarkEnd w:id="15"/>
    </w:p>
    <w:p w14:paraId="66934E70">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需根据采购人要求组建专业化IT运维团队，应指派一名具有专业知识的资深管理人员作为项目经理，负责与采购人的接口，负责运维项目管理及相关统筹工作，以及项目监督与情况汇报，控制工作质量和应对紧急情况等，并根据实际情况调整服务人员安排，以保证本项目正常高效运作。</w:t>
      </w:r>
    </w:p>
    <w:p w14:paraId="284A3A6F">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运维团队具体要求：1名项目经理，3名驻场运维工程师，二线工程师和响应专家作为技术支持加入团队。提供团队成员名单、工作简历、认证证书复印件。</w:t>
      </w:r>
    </w:p>
    <w:p w14:paraId="16679DF6">
      <w:pPr>
        <w:numPr>
          <w:ilvl w:val="0"/>
          <w:numId w:val="11"/>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w:t>
      </w:r>
    </w:p>
    <w:p w14:paraId="662C967A">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5年以上IT运维项目管理经验，熟悉IT运维管理流程、终端运维、网络及基础设施运维等的相关知识，具备较强的沟通及团队管理能力。定期参加日常运维例会，提供运维项目情况总结报告、向采购人提供运维服务改进方案。</w:t>
      </w:r>
    </w:p>
    <w:p w14:paraId="489E4F3A">
      <w:pPr>
        <w:numPr>
          <w:ilvl w:val="0"/>
          <w:numId w:val="11"/>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驻场运维工程师（网络运维1人）：</w:t>
      </w:r>
    </w:p>
    <w:p w14:paraId="7F0261B8">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具备3年以上网络设备运维经验。具备网络及安全设备策略配置和调优能力。能够对IT基础设施常见故障进行分析和处理，完成设备常用备件的更换、日常巡检、系统配置和维护工作。</w:t>
      </w:r>
    </w:p>
    <w:p w14:paraId="46A01478">
      <w:pPr>
        <w:numPr>
          <w:ilvl w:val="0"/>
          <w:numId w:val="12"/>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驻场运维工程师（视频会议运维2人）</w:t>
      </w:r>
    </w:p>
    <w:p w14:paraId="741723ED">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2人均具备华为视讯业务管理系统调试能力，熟练操作华为SMC会议系统和MCU，掌握视频会议终端9039、TE40、TE50等设备的操作和维护。</w:t>
      </w:r>
    </w:p>
    <w:p w14:paraId="2D1D4466">
      <w:pPr>
        <w:numPr>
          <w:ilvl w:val="0"/>
          <w:numId w:val="12"/>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二线工程师：</w:t>
      </w:r>
    </w:p>
    <w:p w14:paraId="4C6C582E">
      <w:pPr>
        <w:adjustRightInd/>
        <w:snapToGrid/>
        <w:spacing w:line="360" w:lineRule="auto"/>
        <w:ind w:firstLine="511" w:firstLineChars="2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具备现场响应能力、故障处理服务能力、系统优化、资源调配及管理；提供重要业务时段现场技术支持。</w:t>
      </w:r>
      <w:r>
        <w:rPr>
          <w:rFonts w:hint="eastAsia" w:ascii="宋体" w:hAnsi="宋体" w:eastAsia="宋体" w:cs="宋体"/>
          <w:color w:val="auto"/>
          <w:sz w:val="24"/>
          <w:szCs w:val="24"/>
          <w:highlight w:val="none"/>
        </w:rPr>
        <w:tab/>
      </w:r>
    </w:p>
    <w:p w14:paraId="65D20A2E">
      <w:pPr>
        <w:numPr>
          <w:ilvl w:val="0"/>
          <w:numId w:val="12"/>
        </w:numPr>
        <w:adjustRightInd/>
        <w:snapToGrid/>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响应专家：</w:t>
      </w:r>
    </w:p>
    <w:p w14:paraId="2FEC3273">
      <w:pPr>
        <w:adjustRightInd/>
        <w:snapToGrid/>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响应专家需具备相关技术服务资质认证；响应专家负责定期参加采购人组织的专业技术讨论会，对技术优化方案进行研究讨论；根据采购人要求参与重点业务时期进行的值守保障服务。</w:t>
      </w:r>
    </w:p>
    <w:p w14:paraId="6F2F578F">
      <w:pPr>
        <w:keepNext/>
        <w:keepLines/>
        <w:numPr>
          <w:ilvl w:val="2"/>
          <w:numId w:val="2"/>
        </w:numPr>
        <w:tabs>
          <w:tab w:val="left" w:pos="851"/>
        </w:tabs>
        <w:adjustRightInd/>
        <w:snapToGrid/>
        <w:spacing w:line="360" w:lineRule="auto"/>
        <w:ind w:hanging="1260"/>
        <w:outlineLvl w:val="2"/>
        <w:rPr>
          <w:rFonts w:hint="eastAsia" w:ascii="宋体" w:hAnsi="宋体" w:eastAsia="宋体" w:cs="宋体"/>
          <w:b/>
          <w:bCs/>
          <w:color w:val="auto"/>
          <w:sz w:val="24"/>
          <w:szCs w:val="24"/>
          <w:highlight w:val="none"/>
        </w:rPr>
      </w:pPr>
      <w:bookmarkStart w:id="16" w:name="_Toc89455016"/>
      <w:r>
        <w:rPr>
          <w:rFonts w:hint="eastAsia" w:ascii="宋体" w:hAnsi="宋体" w:eastAsia="宋体" w:cs="宋体"/>
          <w:b/>
          <w:bCs/>
          <w:color w:val="auto"/>
          <w:sz w:val="24"/>
          <w:szCs w:val="24"/>
          <w:highlight w:val="none"/>
        </w:rPr>
        <w:t>网络设备维保清单</w:t>
      </w:r>
      <w:bookmarkEnd w:id="16"/>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2"/>
        <w:gridCol w:w="1000"/>
        <w:gridCol w:w="2166"/>
        <w:gridCol w:w="3913"/>
      </w:tblGrid>
      <w:tr w14:paraId="7179F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05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序号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20D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品牌</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A32A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型号</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4E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设备用途</w:t>
            </w:r>
          </w:p>
        </w:tc>
      </w:tr>
      <w:tr w14:paraId="2D87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FF0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5959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迈普</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677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NSS6600</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F54D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核心交换机</w:t>
            </w:r>
          </w:p>
        </w:tc>
      </w:tr>
      <w:tr w14:paraId="240F2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1B55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080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迈普</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CDFA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NSS3330-54TXF</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6842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2759C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22D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574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迈普</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26C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NSS3330-54TXF</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4E4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6CA22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051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F2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CDB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RG-S2952G-E V3</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51C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3D7F0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1F94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4B83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234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RG-S2952G-E V3</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D2B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4AEB7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B4E6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AF03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691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RG-S2952G-E V3</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FC9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2AA1A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C50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83BF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198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E2E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7140B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78BE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0C6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4F1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79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4DD9B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470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45D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5B3A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9D0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28171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5C0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1EA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C1D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362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1CC49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E84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2D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17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E0E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45FEF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E382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24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4DE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FD0C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2EAA4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20B1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9A7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奇安信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39C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WS-NAC-1000SX-N</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A6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互联网准入NAC</w:t>
            </w:r>
          </w:p>
        </w:tc>
      </w:tr>
      <w:tr w14:paraId="6998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C532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3F1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奇安信</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CAA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SecGate3600</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26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出口防火墙</w:t>
            </w:r>
          </w:p>
        </w:tc>
      </w:tr>
      <w:tr w14:paraId="720DE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73B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6101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B77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S5720-52P-LI-AC</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40F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4F773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46C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C7AB">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5BA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RG-S2952G-E</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CA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578CF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8732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E68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8186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RG-S2952G-E</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B17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接入交换机</w:t>
            </w:r>
          </w:p>
        </w:tc>
      </w:tr>
      <w:tr w14:paraId="1E101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C4E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498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3FC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锐捷7606</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560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核心交换机</w:t>
            </w:r>
          </w:p>
        </w:tc>
      </w:tr>
      <w:tr w14:paraId="7FD8B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904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88F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2A7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锐捷7606</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269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核心交换机</w:t>
            </w:r>
          </w:p>
        </w:tc>
      </w:tr>
      <w:tr w14:paraId="10C44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499D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8A2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E93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锐捷2952G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E169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2566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4A4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0B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7AA3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B48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05E2B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76E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01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78D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28F5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64A49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38C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405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5C84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BB0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6EFD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81E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2FFC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A1F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F52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63F2E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520B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25</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80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C074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158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79FDB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FDA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26</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D30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3F6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锐捷2652G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113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75245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340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27</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02B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9BB2A">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E3BB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235F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35D4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28</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724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DF2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8B7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7404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19F7">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29</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7CF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1151">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70D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753A0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C522E">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03D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78210">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B9F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55AFD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C79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31</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5243F">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48B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1B918">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3B05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5A4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32</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AEC3">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4DB2">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锐捷2628G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436AC">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6DCA1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565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33</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668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CE4E6">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锐捷2928G</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D477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楼层接入交换机</w:t>
            </w:r>
          </w:p>
        </w:tc>
      </w:tr>
      <w:tr w14:paraId="1EE4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8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8FB5">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34</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9869">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华为</w:t>
            </w:r>
          </w:p>
        </w:tc>
        <w:tc>
          <w:tcPr>
            <w:tcW w:w="21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8B9D">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RH2288H V3</w:t>
            </w:r>
          </w:p>
        </w:tc>
        <w:tc>
          <w:tcPr>
            <w:tcW w:w="3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7A64">
            <w:pPr>
              <w:keepNext w:val="0"/>
              <w:keepLines w:val="0"/>
              <w:widowControl/>
              <w:suppressLineNumbers w:val="0"/>
              <w:spacing w:line="360" w:lineRule="auto"/>
              <w:jc w:val="center"/>
              <w:textAlignment w:val="center"/>
              <w:rPr>
                <w:rFonts w:hint="eastAsia" w:ascii="宋体" w:hAnsi="宋体" w:eastAsia="宋体" w:cs="宋体"/>
                <w:b w:val="0"/>
                <w:bCs w:val="0"/>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互联网准入服务器</w:t>
            </w:r>
          </w:p>
        </w:tc>
      </w:tr>
    </w:tbl>
    <w:p w14:paraId="7BF2F64D">
      <w:bookmarkStart w:id="17" w:name="_GoBack"/>
      <w:bookmarkEnd w:id="1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pPr>
      <w:r>
        <w:separator/>
      </w:r>
    </w:p>
  </w:footnote>
  <w:footnote w:type="continuationSeparator" w:id="1">
    <w:p>
      <w:pPr>
        <w:spacing w:line="30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FF1088"/>
    <w:multiLevelType w:val="multilevel"/>
    <w:tmpl w:val="0EFF1088"/>
    <w:lvl w:ilvl="0" w:tentative="0">
      <w:start w:val="1"/>
      <w:numFmt w:val="chineseCountingThousand"/>
      <w:lvlText w:val="%1、"/>
      <w:lvlJc w:val="left"/>
      <w:pPr>
        <w:tabs>
          <w:tab w:val="left" w:pos="432"/>
        </w:tabs>
        <w:ind w:left="432" w:hanging="432"/>
      </w:pPr>
      <w:rPr>
        <w:b/>
        <w:bCs w:val="0"/>
        <w:i w:val="0"/>
        <w:iCs w:val="0"/>
        <w:caps w:val="0"/>
        <w:smallCaps w:val="0"/>
        <w:strike w:val="0"/>
        <w:dstrike w:val="0"/>
        <w:vanish w:val="0"/>
        <w:color w:val="000000"/>
        <w:spacing w:val="0"/>
        <w:position w:val="0"/>
        <w:u w:val="none"/>
        <w:vertAlign w:val="baseline"/>
        <w:lang w:val="en-US"/>
      </w:rPr>
    </w:lvl>
    <w:lvl w:ilvl="1" w:tentative="0">
      <w:start w:val="1"/>
      <w:numFmt w:val="decimal"/>
      <w:isLgl/>
      <w:lvlText w:val="%1.%2"/>
      <w:lvlJc w:val="left"/>
      <w:pPr>
        <w:tabs>
          <w:tab w:val="left" w:pos="576"/>
        </w:tabs>
        <w:ind w:left="576" w:hanging="576"/>
      </w:pPr>
      <w:rPr>
        <w:rFonts w:hint="eastAsia"/>
      </w:rPr>
    </w:lvl>
    <w:lvl w:ilvl="2" w:tentative="0">
      <w:start w:val="1"/>
      <w:numFmt w:val="decimal"/>
      <w:isLgl/>
      <w:lvlText w:val="%1.%2.%3"/>
      <w:lvlJc w:val="left"/>
      <w:pPr>
        <w:tabs>
          <w:tab w:val="left" w:pos="1260"/>
        </w:tabs>
        <w:ind w:left="1260" w:hanging="720"/>
      </w:pPr>
      <w:rPr>
        <w:rFonts w:hint="eastAsia"/>
        <w:lang w:val="en-US"/>
      </w:rPr>
    </w:lvl>
    <w:lvl w:ilvl="3" w:tentative="0">
      <w:start w:val="1"/>
      <w:numFmt w:val="decimal"/>
      <w:isLgl/>
      <w:lvlText w:val="%1.%2.%3.%4"/>
      <w:lvlJc w:val="left"/>
      <w:pPr>
        <w:tabs>
          <w:tab w:val="left" w:pos="5184"/>
        </w:tabs>
        <w:ind w:left="5184" w:hanging="864"/>
      </w:pPr>
      <w:rPr>
        <w:rFonts w:hint="eastAsia"/>
      </w:rPr>
    </w:lvl>
    <w:lvl w:ilvl="4" w:tentative="0">
      <w:start w:val="1"/>
      <w:numFmt w:val="decimal"/>
      <w:isLgl/>
      <w:lvlText w:val="%1.%2.%3.%4.%5"/>
      <w:lvlJc w:val="left"/>
      <w:pPr>
        <w:tabs>
          <w:tab w:val="left" w:pos="1008"/>
        </w:tabs>
        <w:ind w:left="1008" w:hanging="1008"/>
      </w:pPr>
      <w:rPr>
        <w:rFonts w:hint="eastAsia"/>
      </w:rPr>
    </w:lvl>
    <w:lvl w:ilvl="5" w:tentative="0">
      <w:start w:val="1"/>
      <w:numFmt w:val="decimal"/>
      <w:isLg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15A17AC4"/>
    <w:multiLevelType w:val="multilevel"/>
    <w:tmpl w:val="15A17AC4"/>
    <w:lvl w:ilvl="0" w:tentative="0">
      <w:start w:val="1"/>
      <w:numFmt w:val="decimal"/>
      <w:lvlText w:val="%1."/>
      <w:lvlJc w:val="left"/>
      <w:pPr>
        <w:ind w:left="902" w:hanging="420"/>
      </w:pPr>
      <w:rPr>
        <w:rFonts w:hint="eastAsia"/>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23F70443"/>
    <w:multiLevelType w:val="multilevel"/>
    <w:tmpl w:val="23F70443"/>
    <w:lvl w:ilvl="0" w:tentative="0">
      <w:start w:val="2"/>
      <w:numFmt w:val="decimal"/>
      <w:lvlText w:val="%1."/>
      <w:lvlJc w:val="left"/>
      <w:pPr>
        <w:ind w:left="9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1614D6"/>
    <w:multiLevelType w:val="multilevel"/>
    <w:tmpl w:val="2C1614D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42A50D0"/>
    <w:multiLevelType w:val="multilevel"/>
    <w:tmpl w:val="442A50D0"/>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43023E3"/>
    <w:multiLevelType w:val="multilevel"/>
    <w:tmpl w:val="443023E3"/>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6">
    <w:nsid w:val="44692212"/>
    <w:multiLevelType w:val="multilevel"/>
    <w:tmpl w:val="4469221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BB46E68"/>
    <w:multiLevelType w:val="multilevel"/>
    <w:tmpl w:val="4BB46E68"/>
    <w:lvl w:ilvl="0" w:tentative="0">
      <w:start w:val="1"/>
      <w:numFmt w:val="decimal"/>
      <w:lvlText w:val="%1."/>
      <w:lvlJc w:val="left"/>
      <w:pPr>
        <w:ind w:left="902" w:hanging="420"/>
      </w:p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8">
    <w:nsid w:val="54754800"/>
    <w:multiLevelType w:val="multilevel"/>
    <w:tmpl w:val="5475480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9">
    <w:nsid w:val="635D44B1"/>
    <w:multiLevelType w:val="multilevel"/>
    <w:tmpl w:val="635D44B1"/>
    <w:lvl w:ilvl="0" w:tentative="0">
      <w:start w:val="1"/>
      <w:numFmt w:val="decimal"/>
      <w:lvlText w:val="%1)"/>
      <w:lvlJc w:val="left"/>
      <w:pPr>
        <w:ind w:left="900" w:hanging="420"/>
      </w:pPr>
      <w:rPr>
        <w:rFonts w:ascii="宋体" w:hAnsi="宋体" w:eastAsia="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76D3462B"/>
    <w:multiLevelType w:val="multilevel"/>
    <w:tmpl w:val="76D3462B"/>
    <w:lvl w:ilvl="0" w:tentative="0">
      <w:start w:val="1"/>
      <w:numFmt w:val="chineseCountingThousand"/>
      <w:pStyle w:val="7"/>
      <w:lvlText w:val="%1、"/>
      <w:lvlJc w:val="left"/>
      <w:pPr>
        <w:ind w:left="425" w:hanging="425"/>
      </w:pPr>
      <w:rPr>
        <w:rFonts w:hint="eastAsia"/>
        <w:lang w:val="en-US"/>
      </w:rPr>
    </w:lvl>
    <w:lvl w:ilvl="1" w:tentative="0">
      <w:start w:val="1"/>
      <w:numFmt w:val="decimal"/>
      <w:isLgl/>
      <w:lvlText w:val="%1.%2"/>
      <w:lvlJc w:val="left"/>
      <w:pPr>
        <w:ind w:left="992" w:hanging="567"/>
      </w:pPr>
      <w:rPr>
        <w:rFonts w:hint="eastAsia"/>
      </w:rPr>
    </w:lvl>
    <w:lvl w:ilvl="2" w:tentative="0">
      <w:start w:val="1"/>
      <w:numFmt w:val="decimal"/>
      <w:isLgl/>
      <w:lvlText w:val="%1.%2.%3"/>
      <w:lvlJc w:val="left"/>
      <w:pPr>
        <w:ind w:left="1418" w:hanging="567"/>
      </w:pPr>
      <w:rPr>
        <w:rFonts w:hint="eastAsia"/>
      </w:rPr>
    </w:lvl>
    <w:lvl w:ilvl="3" w:tentative="0">
      <w:start w:val="1"/>
      <w:numFmt w:val="decimal"/>
      <w:isLgl/>
      <w:lvlText w:val="%1.%2.%3.%4"/>
      <w:lvlJc w:val="left"/>
      <w:pPr>
        <w:ind w:left="1984" w:hanging="708"/>
      </w:pPr>
      <w:rPr>
        <w:rFonts w:hint="eastAsia" w:ascii="宋体" w:eastAsia="宋体"/>
        <w:b/>
        <w:i w:val="0"/>
        <w:sz w:val="24"/>
      </w:rPr>
    </w:lvl>
    <w:lvl w:ilvl="4" w:tentative="0">
      <w:start w:val="1"/>
      <w:numFmt w:val="decimal"/>
      <w:isLgl/>
      <w:lvlText w:val="%1.%2.%3.%4.%5"/>
      <w:lvlJc w:val="left"/>
      <w:pPr>
        <w:ind w:left="2551" w:hanging="850"/>
      </w:pPr>
      <w:rPr>
        <w:rFonts w:hint="default" w:ascii="宋体" w:eastAsia="宋体"/>
        <w:b/>
        <w:i w:val="0"/>
        <w:sz w:val="24"/>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7F6B7189"/>
    <w:multiLevelType w:val="multilevel"/>
    <w:tmpl w:val="7F6B7189"/>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0"/>
  </w:num>
  <w:num w:numId="2">
    <w:abstractNumId w:val="0"/>
  </w:num>
  <w:num w:numId="3">
    <w:abstractNumId w:val="11"/>
  </w:num>
  <w:num w:numId="4">
    <w:abstractNumId w:val="6"/>
  </w:num>
  <w:num w:numId="5">
    <w:abstractNumId w:val="4"/>
  </w:num>
  <w:num w:numId="6">
    <w:abstractNumId w:val="3"/>
  </w:num>
  <w:num w:numId="7">
    <w:abstractNumId w:val="1"/>
  </w:num>
  <w:num w:numId="8">
    <w:abstractNumId w:val="2"/>
  </w:num>
  <w:num w:numId="9">
    <w:abstractNumId w:val="7"/>
  </w:num>
  <w:num w:numId="10">
    <w:abstractNumId w:val="9"/>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3E34F9"/>
    <w:rsid w:val="083E3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00" w:lineRule="auto"/>
      <w:jc w:val="both"/>
    </w:pPr>
    <w:rPr>
      <w:rFonts w:asciiTheme="minorEastAsia" w:hAnsiTheme="minorHAnsi" w:eastAsiaTheme="minorEastAsia" w:cstheme="minorBidi"/>
      <w:kern w:val="2"/>
      <w:sz w:val="24"/>
      <w:szCs w:val="21"/>
      <w:lang w:val="en-US" w:eastAsia="zh-CN" w:bidi="ar-SA"/>
    </w:rPr>
  </w:style>
  <w:style w:type="paragraph" w:styleId="2">
    <w:name w:val="heading 1"/>
    <w:basedOn w:val="1"/>
    <w:next w:val="1"/>
    <w:qFormat/>
    <w:uiPriority w:val="9"/>
    <w:pPr>
      <w:keepNext/>
      <w:keepLines/>
      <w:spacing w:line="360" w:lineRule="auto"/>
      <w:ind w:left="1325" w:hanging="1325"/>
      <w:jc w:val="center"/>
      <w:outlineLvl w:val="0"/>
    </w:pPr>
    <w:rPr>
      <w:rFonts w:hAnsi="Calibri" w:eastAsia="黑体" w:cs="Times New Roman"/>
      <w:b/>
      <w:bCs/>
      <w:w w:val="80"/>
      <w:kern w:val="44"/>
      <w:sz w:val="36"/>
      <w:szCs w:val="44"/>
    </w:rPr>
  </w:style>
  <w:style w:type="paragraph" w:styleId="3">
    <w:name w:val="heading 2"/>
    <w:basedOn w:val="1"/>
    <w:next w:val="1"/>
    <w:unhideWhenUsed/>
    <w:qFormat/>
    <w:uiPriority w:val="9"/>
    <w:pPr>
      <w:keepNext/>
      <w:keepLines/>
      <w:spacing w:line="360" w:lineRule="auto"/>
      <w:ind w:left="964" w:hanging="964"/>
      <w:jc w:val="center"/>
      <w:outlineLvl w:val="1"/>
    </w:pPr>
    <w:rPr>
      <w:rFonts w:hAnsi="Cambria" w:eastAsia="黑体" w:cs="Times New Roman"/>
      <w:b/>
      <w:bCs/>
      <w:kern w:val="0"/>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正文-首缩2字符"/>
    <w:basedOn w:val="1"/>
    <w:qFormat/>
    <w:uiPriority w:val="99"/>
    <w:pPr>
      <w:ind w:firstLine="200" w:firstLineChars="200"/>
      <w:jc w:val="left"/>
    </w:pPr>
    <w:rPr>
      <w:rFonts w:hAnsi="宋体" w:cs="宋体"/>
      <w:szCs w:val="24"/>
    </w:rPr>
  </w:style>
  <w:style w:type="paragraph" w:customStyle="1" w:styleId="7">
    <w:name w:val="标题2-技术需求"/>
    <w:basedOn w:val="3"/>
    <w:qFormat/>
    <w:uiPriority w:val="0"/>
    <w:pPr>
      <w:numPr>
        <w:ilvl w:val="0"/>
        <w:numId w:val="1"/>
      </w:numPr>
    </w:pPr>
    <w:rPr>
      <w:rFonts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2025-12-12T05:48:00Z</dcterms:created>
  <dc:creator>xzhang</dc:creator>
  <cp:lastModifiedBy>xzhang</cp:lastModifiedBy>
  <dcterms:modified xsi:type="dcterms:W3CDTF">2025-12-12T05:48:43Z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CC14C43DA7A14787A9626BFDBFE2AAD6_11</vt:lpwstr>
  </property>
  <property fmtid="{D5CDD505-2E9C-101B-9397-08002B2CF9AE}" pid="4" name="KSOTemplateDocerSaveRecord">
    <vt:lpwstr>eyJoZGlkIjoiMzExZGY1ZGE1OGFiMzcyYmY4MDZmNTgzNjM1ZjU0NWIiLCJ1c2VySWQiOiIzOTYxMjQwODUifQ==</vt:lpwstr>
  </property>
</Properties>
</file>