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90592">
      <w:pPr>
        <w:spacing w:line="360" w:lineRule="auto"/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第四章   采购需求</w:t>
      </w:r>
    </w:p>
    <w:p w14:paraId="7F60F8A0">
      <w:pPr>
        <w:widowControl/>
        <w:spacing w:line="560" w:lineRule="exact"/>
        <w:ind w:firstLine="480" w:firstLineChars="200"/>
        <w:rPr>
          <w:rFonts w:hint="eastAsia" w:ascii="宋体" w:hAnsi="宋体" w:cs="黑体"/>
          <w:bCs/>
          <w:sz w:val="24"/>
        </w:rPr>
      </w:pPr>
      <w:r>
        <w:rPr>
          <w:rFonts w:hint="eastAsia" w:ascii="宋体" w:hAnsi="宋体" w:cs="黑体"/>
          <w:bCs/>
          <w:sz w:val="24"/>
        </w:rPr>
        <w:t>一、项目概述</w:t>
      </w:r>
    </w:p>
    <w:p w14:paraId="7B6612A9">
      <w:pPr>
        <w:widowControl/>
        <w:spacing w:line="560" w:lineRule="exact"/>
        <w:ind w:firstLine="480" w:firstLineChars="200"/>
        <w:rPr>
          <w:rFonts w:hint="eastAsia" w:ascii="宋体" w:hAnsi="宋体" w:cs="仿宋_GB2312"/>
          <w:bCs/>
          <w:sz w:val="24"/>
        </w:rPr>
      </w:pPr>
      <w:r>
        <w:rPr>
          <w:rFonts w:hint="eastAsia" w:ascii="宋体" w:hAnsi="宋体" w:cs="仿宋_GB2312"/>
          <w:bCs/>
          <w:sz w:val="24"/>
        </w:rPr>
        <w:t>项目背景：为了弘扬中国传统文化，提升公园节日氛围，提高游客体验感，现对外招标具有专业实力公司，进行中国传统节日环境布置及活动策划。</w:t>
      </w:r>
    </w:p>
    <w:p w14:paraId="0AE1A4B7">
      <w:pPr>
        <w:widowControl/>
        <w:spacing w:line="560" w:lineRule="exact"/>
        <w:ind w:firstLine="480" w:firstLineChars="200"/>
        <w:rPr>
          <w:rFonts w:hint="eastAsia" w:ascii="宋体" w:hAnsi="宋体" w:cs="仿宋_GB2312"/>
          <w:bCs/>
          <w:sz w:val="24"/>
        </w:rPr>
      </w:pPr>
      <w:r>
        <w:rPr>
          <w:rFonts w:hint="eastAsia" w:ascii="宋体" w:hAnsi="宋体" w:cs="仿宋_GB2312"/>
          <w:bCs/>
          <w:sz w:val="24"/>
        </w:rPr>
        <w:t>项目目标：为游客打造独具特色的传统节日氛围，使游客能够深入了解并参与中国传统节日，增强公园的品牌影响力和吸引力。</w:t>
      </w:r>
    </w:p>
    <w:p w14:paraId="4E05C384">
      <w:pPr>
        <w:widowControl/>
        <w:spacing w:line="560" w:lineRule="exact"/>
        <w:ind w:firstLine="480" w:firstLineChars="200"/>
        <w:rPr>
          <w:rFonts w:hint="eastAsia" w:ascii="宋体" w:hAnsi="宋体" w:cs="仿宋_GB2312"/>
          <w:bCs/>
          <w:sz w:val="24"/>
        </w:rPr>
      </w:pPr>
      <w:r>
        <w:rPr>
          <w:rFonts w:hint="eastAsia" w:ascii="宋体" w:hAnsi="宋体" w:cs="仿宋_GB2312"/>
          <w:bCs/>
          <w:sz w:val="24"/>
        </w:rPr>
        <w:t>项目服务时间：</w:t>
      </w:r>
      <w:r>
        <w:rPr>
          <w:sz w:val="24"/>
        </w:rPr>
        <w:t>2026</w:t>
      </w:r>
      <w:r>
        <w:rPr>
          <w:rFonts w:hint="eastAsia"/>
          <w:sz w:val="24"/>
        </w:rPr>
        <w:t>年</w:t>
      </w:r>
      <w:r>
        <w:rPr>
          <w:sz w:val="24"/>
        </w:rPr>
        <w:t>1</w:t>
      </w:r>
      <w:r>
        <w:rPr>
          <w:rFonts w:hint="eastAsia"/>
          <w:sz w:val="24"/>
        </w:rPr>
        <w:t>月</w:t>
      </w:r>
      <w:r>
        <w:rPr>
          <w:sz w:val="24"/>
        </w:rPr>
        <w:t>1</w:t>
      </w:r>
      <w:r>
        <w:rPr>
          <w:rFonts w:hint="eastAsia"/>
          <w:sz w:val="24"/>
        </w:rPr>
        <w:t>日至</w:t>
      </w:r>
      <w:r>
        <w:rPr>
          <w:sz w:val="24"/>
        </w:rPr>
        <w:t>2026</w:t>
      </w:r>
      <w:r>
        <w:rPr>
          <w:rFonts w:hint="eastAsia"/>
          <w:sz w:val="24"/>
        </w:rPr>
        <w:t>年</w:t>
      </w:r>
      <w:r>
        <w:rPr>
          <w:sz w:val="24"/>
        </w:rPr>
        <w:t>10</w:t>
      </w:r>
      <w:r>
        <w:rPr>
          <w:rFonts w:hint="eastAsia"/>
          <w:sz w:val="24"/>
        </w:rPr>
        <w:t>月</w:t>
      </w:r>
      <w:r>
        <w:rPr>
          <w:sz w:val="24"/>
        </w:rPr>
        <w:t>31</w:t>
      </w:r>
      <w:r>
        <w:rPr>
          <w:rFonts w:hint="eastAsia"/>
          <w:sz w:val="24"/>
        </w:rPr>
        <w:t>日</w:t>
      </w:r>
    </w:p>
    <w:p w14:paraId="64257A72">
      <w:pPr>
        <w:widowControl/>
        <w:spacing w:line="560" w:lineRule="exact"/>
        <w:ind w:firstLine="480" w:firstLineChars="200"/>
        <w:rPr>
          <w:rFonts w:hint="eastAsia" w:ascii="宋体" w:hAnsi="宋体" w:cs="仿宋_GB2312"/>
          <w:bCs/>
          <w:sz w:val="24"/>
        </w:rPr>
      </w:pPr>
      <w:r>
        <w:rPr>
          <w:rFonts w:hint="eastAsia" w:ascii="宋体" w:hAnsi="宋体" w:cs="仿宋_GB2312"/>
          <w:bCs/>
          <w:sz w:val="24"/>
        </w:rPr>
        <w:t>服务地点：北京市陶然亭公园内。</w:t>
      </w:r>
    </w:p>
    <w:p w14:paraId="1BA3E361">
      <w:pPr>
        <w:widowControl/>
        <w:spacing w:line="560" w:lineRule="exact"/>
        <w:ind w:firstLine="480" w:firstLineChars="200"/>
        <w:rPr>
          <w:rFonts w:hint="eastAsia" w:ascii="宋体" w:hAnsi="宋体" w:cs="黑体"/>
          <w:bCs/>
          <w:sz w:val="24"/>
        </w:rPr>
      </w:pPr>
      <w:r>
        <w:rPr>
          <w:rFonts w:hint="eastAsia" w:ascii="宋体" w:hAnsi="宋体" w:cs="黑体"/>
          <w:bCs/>
          <w:sz w:val="24"/>
        </w:rPr>
        <w:t>二、环境布置要求</w:t>
      </w:r>
    </w:p>
    <w:p w14:paraId="4D106650">
      <w:pPr>
        <w:widowControl/>
        <w:spacing w:line="560" w:lineRule="exact"/>
        <w:ind w:firstLine="480" w:firstLineChars="200"/>
        <w:rPr>
          <w:rFonts w:hint="eastAsia" w:ascii="宋体" w:hAnsi="宋体" w:cs="仿宋_GB2312"/>
          <w:bCs/>
          <w:sz w:val="24"/>
        </w:rPr>
      </w:pPr>
      <w:r>
        <w:rPr>
          <w:rFonts w:hint="eastAsia" w:ascii="宋体" w:hAnsi="宋体" w:cs="仿宋_GB2312"/>
          <w:bCs/>
          <w:sz w:val="24"/>
        </w:rPr>
        <w:t>主题设计：供应商需根据景区特色和目标受众，按照春节、元宵节、清明节、端午节、七夕节、中秋节、重阳节传统节日主题，进行创意设计。</w:t>
      </w:r>
    </w:p>
    <w:p w14:paraId="490AB2EF">
      <w:pPr>
        <w:widowControl/>
        <w:spacing w:line="560" w:lineRule="exact"/>
        <w:ind w:firstLine="480" w:firstLineChars="200"/>
        <w:rPr>
          <w:rFonts w:hint="eastAsia" w:ascii="宋体" w:hAnsi="宋体" w:cs="仿宋_GB2312"/>
          <w:bCs/>
          <w:sz w:val="24"/>
        </w:rPr>
      </w:pPr>
      <w:r>
        <w:rPr>
          <w:rFonts w:hint="eastAsia" w:ascii="宋体" w:hAnsi="宋体" w:cs="仿宋_GB2312"/>
          <w:bCs/>
          <w:sz w:val="24"/>
        </w:rPr>
        <w:t>布置内容：要求包括景区内外各区域的装饰布置，如：灯笼、彩旗、道旗、美陈小景等以及与主题相关的装饰物品。</w:t>
      </w:r>
    </w:p>
    <w:p w14:paraId="1E1E99C3">
      <w:pPr>
        <w:widowControl/>
        <w:spacing w:line="560" w:lineRule="exact"/>
        <w:ind w:firstLine="480" w:firstLineChars="200"/>
        <w:rPr>
          <w:rFonts w:hint="eastAsia" w:ascii="宋体" w:hAnsi="宋体" w:cs="仿宋_GB2312"/>
          <w:bCs/>
          <w:sz w:val="24"/>
        </w:rPr>
      </w:pPr>
      <w:r>
        <w:rPr>
          <w:rFonts w:hint="eastAsia" w:ascii="宋体" w:hAnsi="宋体" w:cs="仿宋_GB2312"/>
          <w:bCs/>
          <w:sz w:val="24"/>
        </w:rPr>
        <w:t>灯光照明：公园如需增加夜间游园的活动，需确保园内重点布置区域有夜灯布置，为游客提供舒适的视觉环境。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342"/>
        <w:gridCol w:w="6386"/>
      </w:tblGrid>
      <w:tr w14:paraId="3E1BF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603C603F">
            <w:pPr>
              <w:widowControl/>
              <w:spacing w:line="560" w:lineRule="exact"/>
              <w:jc w:val="center"/>
              <w:rPr>
                <w:rFonts w:hint="eastAsia"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序号</w:t>
            </w:r>
          </w:p>
        </w:tc>
        <w:tc>
          <w:tcPr>
            <w:tcW w:w="1395" w:type="dxa"/>
          </w:tcPr>
          <w:p w14:paraId="5A38001B">
            <w:pPr>
              <w:widowControl/>
              <w:spacing w:line="560" w:lineRule="exact"/>
              <w:jc w:val="center"/>
              <w:rPr>
                <w:rFonts w:hint="eastAsia"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节日名称</w:t>
            </w:r>
          </w:p>
        </w:tc>
        <w:tc>
          <w:tcPr>
            <w:tcW w:w="6728" w:type="dxa"/>
          </w:tcPr>
          <w:p w14:paraId="076BC81A">
            <w:pPr>
              <w:widowControl/>
              <w:spacing w:line="560" w:lineRule="exact"/>
              <w:jc w:val="center"/>
              <w:rPr>
                <w:rFonts w:hint="eastAsia"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基础布展要求</w:t>
            </w:r>
          </w:p>
        </w:tc>
      </w:tr>
      <w:tr w14:paraId="75886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4EA4C461">
            <w:pPr>
              <w:widowControl/>
              <w:spacing w:line="560" w:lineRule="exact"/>
              <w:jc w:val="center"/>
              <w:rPr>
                <w:rFonts w:hint="eastAsia"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1</w:t>
            </w:r>
          </w:p>
        </w:tc>
        <w:tc>
          <w:tcPr>
            <w:tcW w:w="1395" w:type="dxa"/>
          </w:tcPr>
          <w:p w14:paraId="3B4C7B49">
            <w:pPr>
              <w:widowControl/>
              <w:spacing w:line="560" w:lineRule="exact"/>
              <w:jc w:val="center"/>
              <w:rPr>
                <w:rFonts w:hint="eastAsia"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春节和元宵节</w:t>
            </w:r>
          </w:p>
        </w:tc>
        <w:tc>
          <w:tcPr>
            <w:tcW w:w="6728" w:type="dxa"/>
          </w:tcPr>
          <w:p w14:paraId="2F2BD93F">
            <w:pPr>
              <w:widowControl/>
              <w:spacing w:line="560" w:lineRule="exact"/>
              <w:jc w:val="left"/>
              <w:rPr>
                <w:rFonts w:hint="eastAsia"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园内灯杆旗、各型号大小的灯笼适量，营造节日氛围；美陈小景不少于2处；民俗展示不少于1处；文化活动不少于2场。</w:t>
            </w:r>
          </w:p>
        </w:tc>
      </w:tr>
      <w:tr w14:paraId="143CB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6F9B7DD7">
            <w:pPr>
              <w:widowControl/>
              <w:spacing w:line="560" w:lineRule="exact"/>
              <w:jc w:val="center"/>
              <w:rPr>
                <w:rFonts w:hint="eastAsia"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2</w:t>
            </w:r>
          </w:p>
        </w:tc>
        <w:tc>
          <w:tcPr>
            <w:tcW w:w="1395" w:type="dxa"/>
          </w:tcPr>
          <w:p w14:paraId="287018B6">
            <w:pPr>
              <w:widowControl/>
              <w:spacing w:line="560" w:lineRule="exact"/>
              <w:jc w:val="center"/>
              <w:rPr>
                <w:rFonts w:hint="eastAsia"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清明节</w:t>
            </w:r>
          </w:p>
        </w:tc>
        <w:tc>
          <w:tcPr>
            <w:tcW w:w="6728" w:type="dxa"/>
          </w:tcPr>
          <w:p w14:paraId="587CD257">
            <w:pPr>
              <w:widowControl/>
              <w:spacing w:line="560" w:lineRule="exact"/>
              <w:jc w:val="left"/>
              <w:rPr>
                <w:rFonts w:hint="eastAsia"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园内灯杆旗适量;美陈小景不少于1处;民俗展示不少于1处；文化活动不少于1场。</w:t>
            </w:r>
          </w:p>
        </w:tc>
      </w:tr>
      <w:tr w14:paraId="1A91D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3DC4A0B5">
            <w:pPr>
              <w:widowControl/>
              <w:spacing w:line="560" w:lineRule="exact"/>
              <w:jc w:val="center"/>
              <w:rPr>
                <w:rFonts w:hint="eastAsia"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3</w:t>
            </w:r>
          </w:p>
        </w:tc>
        <w:tc>
          <w:tcPr>
            <w:tcW w:w="1395" w:type="dxa"/>
          </w:tcPr>
          <w:p w14:paraId="27666DBF">
            <w:pPr>
              <w:widowControl/>
              <w:spacing w:line="560" w:lineRule="exact"/>
              <w:jc w:val="center"/>
              <w:rPr>
                <w:rFonts w:hint="eastAsia"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端午节</w:t>
            </w:r>
          </w:p>
        </w:tc>
        <w:tc>
          <w:tcPr>
            <w:tcW w:w="6728" w:type="dxa"/>
          </w:tcPr>
          <w:p w14:paraId="69B07944">
            <w:pPr>
              <w:widowControl/>
              <w:spacing w:line="560" w:lineRule="exact"/>
              <w:jc w:val="left"/>
              <w:rPr>
                <w:rFonts w:hint="eastAsia"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园内灯杆旗适量；美陈小景不少于1处:民俗、诗歌作品展示不少于1处;重点打造端午特色突出、互动性强、观赏性强的文化活动不少于2场。</w:t>
            </w:r>
          </w:p>
        </w:tc>
      </w:tr>
      <w:tr w14:paraId="14007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414AC2BD">
            <w:pPr>
              <w:widowControl/>
              <w:spacing w:line="560" w:lineRule="exact"/>
              <w:jc w:val="center"/>
              <w:rPr>
                <w:rFonts w:hint="eastAsia"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4</w:t>
            </w:r>
          </w:p>
        </w:tc>
        <w:tc>
          <w:tcPr>
            <w:tcW w:w="1395" w:type="dxa"/>
          </w:tcPr>
          <w:p w14:paraId="6C6B19A3">
            <w:pPr>
              <w:widowControl/>
              <w:spacing w:line="560" w:lineRule="exact"/>
              <w:jc w:val="center"/>
              <w:rPr>
                <w:rFonts w:hint="eastAsia"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七夕节</w:t>
            </w:r>
          </w:p>
        </w:tc>
        <w:tc>
          <w:tcPr>
            <w:tcW w:w="6728" w:type="dxa"/>
          </w:tcPr>
          <w:p w14:paraId="4090CA24">
            <w:pPr>
              <w:widowControl/>
              <w:spacing w:line="560" w:lineRule="exact"/>
              <w:jc w:val="left"/>
              <w:rPr>
                <w:rFonts w:hint="eastAsia"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园内灯杆旗适量;美陈小景不少于1处;民俗展示不少于1处；文化活动不少于1场。</w:t>
            </w:r>
          </w:p>
        </w:tc>
      </w:tr>
      <w:tr w14:paraId="08F3D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2CD36C80">
            <w:pPr>
              <w:widowControl/>
              <w:spacing w:line="560" w:lineRule="exact"/>
              <w:jc w:val="center"/>
              <w:rPr>
                <w:rFonts w:hint="eastAsia"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5</w:t>
            </w:r>
          </w:p>
        </w:tc>
        <w:tc>
          <w:tcPr>
            <w:tcW w:w="1395" w:type="dxa"/>
          </w:tcPr>
          <w:p w14:paraId="0D6D599E">
            <w:pPr>
              <w:widowControl/>
              <w:spacing w:line="560" w:lineRule="exact"/>
              <w:jc w:val="center"/>
              <w:rPr>
                <w:rFonts w:hint="eastAsia"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中秋节</w:t>
            </w:r>
          </w:p>
        </w:tc>
        <w:tc>
          <w:tcPr>
            <w:tcW w:w="6728" w:type="dxa"/>
          </w:tcPr>
          <w:p w14:paraId="200CD911">
            <w:pPr>
              <w:widowControl/>
              <w:spacing w:line="560" w:lineRule="exact"/>
              <w:jc w:val="left"/>
              <w:rPr>
                <w:rFonts w:hint="eastAsia"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园内灯杆旗适量;夜灯布置不少于1处;民俗展示不少于1处；文化活动不少于1场。</w:t>
            </w:r>
          </w:p>
        </w:tc>
      </w:tr>
      <w:tr w14:paraId="79D9F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6DF59D43">
            <w:pPr>
              <w:widowControl/>
              <w:spacing w:line="560" w:lineRule="exact"/>
              <w:jc w:val="center"/>
              <w:rPr>
                <w:rFonts w:hint="eastAsia"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6</w:t>
            </w:r>
          </w:p>
        </w:tc>
        <w:tc>
          <w:tcPr>
            <w:tcW w:w="1395" w:type="dxa"/>
          </w:tcPr>
          <w:p w14:paraId="5F7BD9EC">
            <w:pPr>
              <w:widowControl/>
              <w:spacing w:line="560" w:lineRule="exact"/>
              <w:jc w:val="center"/>
              <w:rPr>
                <w:rFonts w:hint="eastAsia"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重阳节</w:t>
            </w:r>
          </w:p>
        </w:tc>
        <w:tc>
          <w:tcPr>
            <w:tcW w:w="6728" w:type="dxa"/>
          </w:tcPr>
          <w:p w14:paraId="514A5B65">
            <w:pPr>
              <w:widowControl/>
              <w:spacing w:line="560" w:lineRule="exact"/>
              <w:jc w:val="left"/>
              <w:rPr>
                <w:rFonts w:hint="eastAsia"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园内灯杆旗适量;民俗展示不少于1处；文化活动不少于1场。</w:t>
            </w:r>
          </w:p>
        </w:tc>
      </w:tr>
    </w:tbl>
    <w:p w14:paraId="242B983F">
      <w:pPr>
        <w:widowControl/>
        <w:spacing w:line="520" w:lineRule="exact"/>
        <w:ind w:firstLine="480" w:firstLineChars="200"/>
        <w:rPr>
          <w:rFonts w:hint="eastAsia" w:ascii="宋体" w:hAnsi="宋体" w:cs="仿宋_GB2312"/>
          <w:bCs/>
          <w:sz w:val="24"/>
        </w:rPr>
      </w:pPr>
      <w:r>
        <w:rPr>
          <w:rFonts w:hint="eastAsia" w:ascii="宋体" w:hAnsi="宋体" w:cs="仿宋_GB2312"/>
          <w:bCs/>
          <w:sz w:val="24"/>
        </w:rPr>
        <w:t>特别说明：经甲乙双方协商同意，灯杆旗、民俗展示、美陈小景、文化活动等内容，可根据布展实际情况进行数量及内容的调整，最终以实际发生为准。</w:t>
      </w:r>
    </w:p>
    <w:p w14:paraId="3874E9CA">
      <w:pPr>
        <w:widowControl/>
        <w:spacing w:line="520" w:lineRule="exact"/>
        <w:ind w:firstLine="480" w:firstLineChars="200"/>
        <w:rPr>
          <w:rFonts w:hint="eastAsia" w:ascii="宋体" w:hAnsi="宋体" w:cs="黑体"/>
          <w:bCs/>
          <w:sz w:val="24"/>
        </w:rPr>
      </w:pPr>
      <w:r>
        <w:rPr>
          <w:rFonts w:hint="eastAsia" w:ascii="宋体" w:hAnsi="宋体" w:cs="黑体"/>
          <w:bCs/>
          <w:sz w:val="24"/>
        </w:rPr>
        <w:t>三、活动策划要求</w:t>
      </w:r>
    </w:p>
    <w:p w14:paraId="011870F1">
      <w:pPr>
        <w:widowControl/>
        <w:spacing w:line="520" w:lineRule="exact"/>
        <w:ind w:firstLine="480" w:firstLineChars="200"/>
        <w:rPr>
          <w:rFonts w:hint="eastAsia" w:ascii="宋体" w:hAnsi="宋体" w:cs="仿宋_GB2312"/>
          <w:bCs/>
          <w:sz w:val="24"/>
        </w:rPr>
      </w:pPr>
      <w:r>
        <w:rPr>
          <w:rFonts w:hint="eastAsia" w:ascii="宋体" w:hAnsi="宋体" w:cs="仿宋_GB2312"/>
          <w:bCs/>
          <w:sz w:val="24"/>
        </w:rPr>
        <w:t>活动内容：根据传统节日习俗和公园特色文化，设计并组织丰富多彩的活动，如传统手工艺体验、特色美食节、民俗表演、非遗展示等。</w:t>
      </w:r>
    </w:p>
    <w:p w14:paraId="49103F44">
      <w:pPr>
        <w:widowControl/>
        <w:spacing w:line="520" w:lineRule="exact"/>
        <w:ind w:firstLine="480" w:firstLineChars="200"/>
        <w:rPr>
          <w:rFonts w:hint="eastAsia" w:ascii="宋体" w:hAnsi="宋体" w:cs="仿宋_GB2312"/>
          <w:bCs/>
          <w:sz w:val="24"/>
        </w:rPr>
      </w:pPr>
      <w:r>
        <w:rPr>
          <w:rFonts w:hint="eastAsia" w:ascii="宋体" w:hAnsi="宋体" w:cs="仿宋_GB2312"/>
          <w:bCs/>
          <w:sz w:val="24"/>
        </w:rPr>
        <w:t>活动流程：要求活动流程合理，时间安排紧凑，让游客充分参与和体验。</w:t>
      </w:r>
    </w:p>
    <w:p w14:paraId="3C9538F6">
      <w:pPr>
        <w:widowControl/>
        <w:spacing w:line="520" w:lineRule="exact"/>
        <w:ind w:firstLine="480" w:firstLineChars="200"/>
        <w:rPr>
          <w:rFonts w:hint="eastAsia" w:ascii="宋体" w:hAnsi="宋体" w:cs="仿宋_GB2312"/>
          <w:bCs/>
          <w:sz w:val="24"/>
        </w:rPr>
      </w:pPr>
      <w:r>
        <w:rPr>
          <w:rFonts w:hint="eastAsia" w:ascii="宋体" w:hAnsi="宋体" w:cs="仿宋_GB2312"/>
          <w:bCs/>
          <w:sz w:val="24"/>
        </w:rPr>
        <w:t>人员安排：提供专业的工作人员，确保活动的顺利进行。</w:t>
      </w:r>
    </w:p>
    <w:p w14:paraId="3010307F">
      <w:pPr>
        <w:widowControl/>
        <w:spacing w:line="520" w:lineRule="exact"/>
        <w:ind w:firstLine="480" w:firstLineChars="200"/>
        <w:rPr>
          <w:rFonts w:hint="eastAsia" w:ascii="宋体" w:hAnsi="宋体" w:cs="仿宋_GB2312"/>
          <w:bCs/>
          <w:sz w:val="24"/>
        </w:rPr>
      </w:pPr>
      <w:r>
        <w:rPr>
          <w:rFonts w:hint="eastAsia" w:ascii="宋体" w:hAnsi="宋体" w:cs="仿宋_GB2312"/>
          <w:bCs/>
          <w:sz w:val="24"/>
        </w:rPr>
        <w:t>物资准备：根据活动需要，提前采购相应的道具、器材等物资。</w:t>
      </w:r>
    </w:p>
    <w:p w14:paraId="4359989A">
      <w:pPr>
        <w:widowControl/>
        <w:spacing w:line="520" w:lineRule="exact"/>
        <w:ind w:firstLine="480" w:firstLineChars="200"/>
        <w:rPr>
          <w:rFonts w:hint="eastAsia" w:ascii="宋体" w:hAnsi="宋体" w:cs="黑体"/>
          <w:bCs/>
          <w:sz w:val="24"/>
        </w:rPr>
      </w:pPr>
      <w:r>
        <w:rPr>
          <w:rFonts w:hint="eastAsia" w:ascii="宋体" w:hAnsi="宋体" w:cs="黑体"/>
          <w:bCs/>
          <w:sz w:val="24"/>
        </w:rPr>
        <w:t>四、安全措施要求</w:t>
      </w:r>
    </w:p>
    <w:p w14:paraId="0E4844F0">
      <w:pPr>
        <w:widowControl/>
        <w:spacing w:line="520" w:lineRule="exact"/>
        <w:ind w:firstLine="480" w:firstLineChars="200"/>
        <w:rPr>
          <w:rFonts w:hint="eastAsia" w:ascii="宋体" w:hAnsi="宋体" w:cs="仿宋_GB2312"/>
          <w:bCs/>
          <w:sz w:val="24"/>
        </w:rPr>
      </w:pPr>
      <w:r>
        <w:rPr>
          <w:rFonts w:hint="eastAsia" w:ascii="宋体" w:hAnsi="宋体" w:cs="仿宋_GB2312"/>
          <w:bCs/>
          <w:sz w:val="24"/>
        </w:rPr>
        <w:t>安全保障：在活动策划和实施过程中，必须充分考虑游客安全，制定并执行严格的安全措施。</w:t>
      </w:r>
    </w:p>
    <w:p w14:paraId="3FC45989">
      <w:pPr>
        <w:widowControl/>
        <w:spacing w:line="520" w:lineRule="exact"/>
        <w:ind w:firstLine="480" w:firstLineChars="200"/>
        <w:rPr>
          <w:rFonts w:hint="eastAsia" w:ascii="宋体" w:hAnsi="宋体" w:cs="仿宋_GB2312"/>
          <w:bCs/>
          <w:sz w:val="24"/>
        </w:rPr>
      </w:pPr>
      <w:r>
        <w:rPr>
          <w:rFonts w:hint="eastAsia" w:ascii="宋体" w:hAnsi="宋体" w:cs="仿宋_GB2312"/>
          <w:bCs/>
          <w:sz w:val="24"/>
        </w:rPr>
        <w:t>紧急预案：对于可能出现的紧急情况，如天气突变、游客意外伤害等，要求制定合理的应对措施和紧急疏散方案。</w:t>
      </w:r>
    </w:p>
    <w:p w14:paraId="60BC15EF">
      <w:pPr>
        <w:widowControl/>
        <w:spacing w:line="520" w:lineRule="exact"/>
        <w:ind w:firstLine="480" w:firstLineChars="200"/>
        <w:rPr>
          <w:rFonts w:hint="eastAsia" w:ascii="宋体" w:hAnsi="宋体" w:cs="黑体"/>
          <w:bCs/>
          <w:sz w:val="24"/>
        </w:rPr>
      </w:pPr>
      <w:r>
        <w:rPr>
          <w:rFonts w:hint="eastAsia" w:ascii="宋体" w:hAnsi="宋体" w:cs="黑体"/>
          <w:bCs/>
          <w:sz w:val="24"/>
        </w:rPr>
        <w:t>五、预算安排</w:t>
      </w:r>
    </w:p>
    <w:p w14:paraId="56FA0842">
      <w:pPr>
        <w:spacing w:line="520" w:lineRule="exact"/>
        <w:ind w:firstLine="480" w:firstLineChars="200"/>
        <w:rPr>
          <w:rFonts w:hint="eastAsia" w:ascii="宋体" w:hAnsi="宋体" w:cs="仿宋_GB2312"/>
          <w:bCs/>
          <w:sz w:val="24"/>
        </w:rPr>
      </w:pPr>
      <w:r>
        <w:rPr>
          <w:rFonts w:hint="eastAsia" w:ascii="宋体" w:hAnsi="宋体" w:cs="仿宋_GB2312"/>
          <w:bCs/>
          <w:sz w:val="24"/>
        </w:rPr>
        <w:t>预算范围：项目预算97.55万，包括舞台搭建、环境布置、文化演出、活动策划、物资采购等方面的费用。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3522"/>
        <w:gridCol w:w="3532"/>
      </w:tblGrid>
      <w:tr w14:paraId="095F4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</w:tcPr>
          <w:p w14:paraId="075AF14C">
            <w:pPr>
              <w:spacing w:line="560" w:lineRule="exact"/>
              <w:jc w:val="center"/>
              <w:rPr>
                <w:rFonts w:hint="eastAsia"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序号</w:t>
            </w:r>
          </w:p>
        </w:tc>
        <w:tc>
          <w:tcPr>
            <w:tcW w:w="3765" w:type="dxa"/>
          </w:tcPr>
          <w:p w14:paraId="215CA05E">
            <w:pPr>
              <w:spacing w:line="560" w:lineRule="exact"/>
              <w:jc w:val="center"/>
              <w:rPr>
                <w:rFonts w:hint="eastAsia"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节日名称</w:t>
            </w:r>
          </w:p>
        </w:tc>
        <w:tc>
          <w:tcPr>
            <w:tcW w:w="3747" w:type="dxa"/>
          </w:tcPr>
          <w:p w14:paraId="34F6DCA4">
            <w:pPr>
              <w:spacing w:line="560" w:lineRule="exact"/>
              <w:jc w:val="center"/>
              <w:rPr>
                <w:rFonts w:hint="eastAsia"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分项预算金额</w:t>
            </w:r>
          </w:p>
        </w:tc>
      </w:tr>
      <w:tr w14:paraId="6959B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</w:tcPr>
          <w:p w14:paraId="2645FC6E">
            <w:pPr>
              <w:spacing w:line="560" w:lineRule="exact"/>
              <w:jc w:val="center"/>
              <w:rPr>
                <w:rFonts w:hint="eastAsia"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1</w:t>
            </w:r>
          </w:p>
        </w:tc>
        <w:tc>
          <w:tcPr>
            <w:tcW w:w="3765" w:type="dxa"/>
          </w:tcPr>
          <w:p w14:paraId="2EEE6398">
            <w:pPr>
              <w:spacing w:line="560" w:lineRule="exact"/>
              <w:jc w:val="center"/>
              <w:rPr>
                <w:rFonts w:hint="eastAsia"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春节和元宵节</w:t>
            </w:r>
          </w:p>
        </w:tc>
        <w:tc>
          <w:tcPr>
            <w:tcW w:w="3747" w:type="dxa"/>
          </w:tcPr>
          <w:p w14:paraId="6013035E">
            <w:pPr>
              <w:spacing w:line="560" w:lineRule="exact"/>
              <w:jc w:val="center"/>
              <w:rPr>
                <w:rFonts w:hint="eastAsia"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40万元</w:t>
            </w:r>
          </w:p>
        </w:tc>
      </w:tr>
      <w:tr w14:paraId="09201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</w:tcPr>
          <w:p w14:paraId="624548D9">
            <w:pPr>
              <w:spacing w:line="560" w:lineRule="exact"/>
              <w:jc w:val="center"/>
              <w:rPr>
                <w:rFonts w:hint="eastAsia"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2</w:t>
            </w:r>
          </w:p>
        </w:tc>
        <w:tc>
          <w:tcPr>
            <w:tcW w:w="3765" w:type="dxa"/>
          </w:tcPr>
          <w:p w14:paraId="6DEF03E2">
            <w:pPr>
              <w:spacing w:line="560" w:lineRule="exact"/>
              <w:jc w:val="center"/>
              <w:rPr>
                <w:rFonts w:hint="eastAsia"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清明节</w:t>
            </w:r>
          </w:p>
        </w:tc>
        <w:tc>
          <w:tcPr>
            <w:tcW w:w="3747" w:type="dxa"/>
          </w:tcPr>
          <w:p w14:paraId="497FD37E">
            <w:pPr>
              <w:spacing w:line="560" w:lineRule="exact"/>
              <w:jc w:val="center"/>
              <w:rPr>
                <w:rFonts w:hint="eastAsia"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3万元</w:t>
            </w:r>
          </w:p>
        </w:tc>
      </w:tr>
      <w:tr w14:paraId="1C501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</w:tcPr>
          <w:p w14:paraId="193842FB">
            <w:pPr>
              <w:spacing w:line="560" w:lineRule="exact"/>
              <w:jc w:val="center"/>
              <w:rPr>
                <w:rFonts w:hint="eastAsia"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3</w:t>
            </w:r>
          </w:p>
        </w:tc>
        <w:tc>
          <w:tcPr>
            <w:tcW w:w="3765" w:type="dxa"/>
          </w:tcPr>
          <w:p w14:paraId="71FB4529">
            <w:pPr>
              <w:spacing w:line="560" w:lineRule="exact"/>
              <w:jc w:val="center"/>
              <w:rPr>
                <w:rFonts w:hint="eastAsia"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端午节</w:t>
            </w:r>
          </w:p>
        </w:tc>
        <w:tc>
          <w:tcPr>
            <w:tcW w:w="3747" w:type="dxa"/>
          </w:tcPr>
          <w:p w14:paraId="1AF7ED33">
            <w:pPr>
              <w:spacing w:line="560" w:lineRule="exact"/>
              <w:jc w:val="center"/>
              <w:rPr>
                <w:rFonts w:hint="eastAsia"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30.55万元</w:t>
            </w:r>
          </w:p>
        </w:tc>
      </w:tr>
      <w:tr w14:paraId="02004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</w:tcPr>
          <w:p w14:paraId="1AE25FAE">
            <w:pPr>
              <w:spacing w:line="560" w:lineRule="exact"/>
              <w:jc w:val="center"/>
              <w:rPr>
                <w:rFonts w:hint="eastAsia"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4</w:t>
            </w:r>
          </w:p>
        </w:tc>
        <w:tc>
          <w:tcPr>
            <w:tcW w:w="3765" w:type="dxa"/>
          </w:tcPr>
          <w:p w14:paraId="2679C712">
            <w:pPr>
              <w:spacing w:line="560" w:lineRule="exact"/>
              <w:jc w:val="center"/>
              <w:rPr>
                <w:rFonts w:hint="eastAsia"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七夕节</w:t>
            </w:r>
          </w:p>
        </w:tc>
        <w:tc>
          <w:tcPr>
            <w:tcW w:w="3747" w:type="dxa"/>
          </w:tcPr>
          <w:p w14:paraId="344BDE4B">
            <w:pPr>
              <w:spacing w:line="560" w:lineRule="exact"/>
              <w:jc w:val="center"/>
              <w:rPr>
                <w:rFonts w:hint="eastAsia"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2万元</w:t>
            </w:r>
          </w:p>
        </w:tc>
      </w:tr>
      <w:tr w14:paraId="46B55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</w:tcPr>
          <w:p w14:paraId="0587CC9B">
            <w:pPr>
              <w:spacing w:line="560" w:lineRule="exact"/>
              <w:jc w:val="center"/>
              <w:rPr>
                <w:rFonts w:hint="eastAsia"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5</w:t>
            </w:r>
          </w:p>
        </w:tc>
        <w:tc>
          <w:tcPr>
            <w:tcW w:w="3765" w:type="dxa"/>
          </w:tcPr>
          <w:p w14:paraId="7AA1B684">
            <w:pPr>
              <w:spacing w:line="560" w:lineRule="exact"/>
              <w:jc w:val="center"/>
              <w:rPr>
                <w:rFonts w:hint="eastAsia"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中秋节</w:t>
            </w:r>
          </w:p>
        </w:tc>
        <w:tc>
          <w:tcPr>
            <w:tcW w:w="3747" w:type="dxa"/>
          </w:tcPr>
          <w:p w14:paraId="01F0E32E">
            <w:pPr>
              <w:spacing w:line="560" w:lineRule="exact"/>
              <w:jc w:val="center"/>
              <w:rPr>
                <w:rFonts w:hint="eastAsia"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20万元</w:t>
            </w:r>
          </w:p>
        </w:tc>
      </w:tr>
      <w:tr w14:paraId="1FDD8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</w:tcPr>
          <w:p w14:paraId="0A8A7155">
            <w:pPr>
              <w:spacing w:line="560" w:lineRule="exact"/>
              <w:jc w:val="center"/>
              <w:rPr>
                <w:rFonts w:hint="eastAsia"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6</w:t>
            </w:r>
          </w:p>
        </w:tc>
        <w:tc>
          <w:tcPr>
            <w:tcW w:w="3765" w:type="dxa"/>
          </w:tcPr>
          <w:p w14:paraId="20A9B06E">
            <w:pPr>
              <w:spacing w:line="560" w:lineRule="exact"/>
              <w:jc w:val="center"/>
              <w:rPr>
                <w:rFonts w:hint="eastAsia"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重阳节</w:t>
            </w:r>
          </w:p>
        </w:tc>
        <w:tc>
          <w:tcPr>
            <w:tcW w:w="3747" w:type="dxa"/>
          </w:tcPr>
          <w:p w14:paraId="43FF17B3">
            <w:pPr>
              <w:spacing w:line="560" w:lineRule="exact"/>
              <w:jc w:val="center"/>
              <w:rPr>
                <w:rFonts w:hint="eastAsia"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2万元</w:t>
            </w:r>
          </w:p>
        </w:tc>
      </w:tr>
    </w:tbl>
    <w:p w14:paraId="0C71E0DB">
      <w:pPr>
        <w:widowControl/>
        <w:spacing w:line="560" w:lineRule="exact"/>
        <w:rPr>
          <w:rFonts w:hint="eastAsia" w:ascii="宋体" w:hAnsi="宋体" w:cs="仿宋_GB2312"/>
          <w:bCs/>
          <w:sz w:val="24"/>
        </w:rPr>
      </w:pPr>
      <w:r>
        <w:rPr>
          <w:rFonts w:hint="eastAsia" w:ascii="宋体" w:hAnsi="宋体" w:cs="仿宋_GB2312"/>
          <w:bCs/>
          <w:sz w:val="24"/>
        </w:rPr>
        <w:t>注：分项报价不得超过竞争性磋商文件规定的分项最高限价，否则视为响应无效。</w:t>
      </w:r>
    </w:p>
    <w:p w14:paraId="4342E6BF">
      <w:pPr>
        <w:spacing w:line="360" w:lineRule="auto"/>
        <w:contextualSpacing/>
        <w:rPr>
          <w:sz w:val="24"/>
        </w:rPr>
      </w:pPr>
      <w:r>
        <w:rPr>
          <w:rFonts w:hint="eastAsia"/>
          <w:sz w:val="24"/>
        </w:rPr>
        <w:t>七、验收标准：</w:t>
      </w:r>
    </w:p>
    <w:p w14:paraId="4F837DC0">
      <w:r>
        <w:rPr>
          <w:rFonts w:hint="eastAsia"/>
          <w:sz w:val="24"/>
        </w:rPr>
        <w:t>陶然亭传统节日文化活动策划及环境布置项目，全面完成了活动策划、环境布置任务。经核验，所有环境布置装置的样式设计、结构尺寸、工艺质量及材料选用均符合设计制作及使用要求，文化活动组织流程科学有序。项目满足竣工验收条件，同意通过验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370A4"/>
    <w:rsid w:val="722979EF"/>
    <w:rsid w:val="73A3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2025-12-10T06:31:00Z</dcterms:created>
  <dc:creator>A-01</dc:creator>
  <cp:lastModifiedBy>A-01</cp:lastModifiedBy>
  <dcterms:modified xsi:type="dcterms:W3CDTF">2025-12-10T06:32:16Z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9C0458D43A3C4C7B940C2B6F08631014_11</vt:lpwstr>
  </property>
  <property fmtid="{D5CDD505-2E9C-101B-9397-08002B2CF9AE}" pid="4" name="KSOTemplateDocerSaveRecord">
    <vt:lpwstr>eyJoZGlkIjoiODk3ZjhkNGFiYWY0NzgxNTJiMzBiMTlhYzNkZTA3MGIiLCJ1c2VySWQiOiI0MzgxMDYyNzAifQ==</vt:lpwstr>
  </property>
</Properties>
</file>