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bookmarkStart w:id="3" w:name="_GoBack"/>
      <w:bookmarkEnd w:id="3"/>
      <w:bookmarkStart w:id="0" w:name="_Toc99301424"/>
      <w:r>
        <w:rPr>
          <w:b/>
          <w:color w:val="auto"/>
          <w:sz w:val="36"/>
          <w:szCs w:val="36"/>
          <w:highlight w:val="none"/>
        </w:rPr>
        <w:t>采购需求</w:t>
      </w:r>
      <w:bookmarkEnd w:id="0"/>
    </w:p>
    <w:p>
      <w:pPr>
        <w:pStyle w:val="66"/>
        <w:numPr>
          <w:ilvl w:val="0"/>
          <w:numId w:val="8"/>
        </w:numPr>
        <w:spacing w:line="360" w:lineRule="auto"/>
        <w:ind w:left="420" w:firstLineChars="0"/>
        <w:contextualSpacing/>
        <w:rPr>
          <w:rFonts w:ascii="宋体" w:hAnsi="宋体"/>
          <w:b/>
          <w:color w:val="auto"/>
          <w:sz w:val="24"/>
          <w:szCs w:val="24"/>
          <w:highlight w:val="none"/>
        </w:rPr>
      </w:pPr>
      <w:bookmarkStart w:id="1" w:name="_Toc174185168"/>
      <w:bookmarkStart w:id="2" w:name="_Toc184023125"/>
      <w:r>
        <w:rPr>
          <w:rFonts w:ascii="宋体" w:hAnsi="宋体"/>
          <w:b/>
          <w:color w:val="auto"/>
          <w:sz w:val="24"/>
          <w:szCs w:val="24"/>
          <w:highlight w:val="none"/>
        </w:rPr>
        <w:t>采购标的</w:t>
      </w:r>
    </w:p>
    <w:p>
      <w:pPr>
        <w:spacing w:line="360" w:lineRule="auto"/>
        <w:contextualSpacing/>
        <w:rPr>
          <w:rFonts w:ascii="宋体" w:hAnsi="宋体"/>
          <w:bCs/>
          <w:color w:val="auto"/>
          <w:sz w:val="24"/>
          <w:highlight w:val="none"/>
        </w:rPr>
      </w:pPr>
      <w:r>
        <w:rPr>
          <w:rFonts w:ascii="宋体" w:hAnsi="宋体"/>
          <w:bCs/>
          <w:color w:val="auto"/>
          <w:sz w:val="24"/>
          <w:highlight w:val="none"/>
        </w:rPr>
        <w:t>1. 采购标的</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2343" w:type="dxa"/>
            <w:vAlign w:val="center"/>
          </w:tcPr>
          <w:p>
            <w:pPr>
              <w:jc w:val="center"/>
              <w:rPr>
                <w:rFonts w:ascii="宋体" w:hAnsi="宋体"/>
                <w:b/>
                <w:color w:val="auto"/>
                <w:sz w:val="24"/>
                <w:highlight w:val="none"/>
              </w:rPr>
            </w:pPr>
            <w:r>
              <w:rPr>
                <w:rFonts w:hint="eastAsia" w:ascii="宋体" w:hAnsi="宋体"/>
                <w:b/>
                <w:color w:val="auto"/>
                <w:sz w:val="24"/>
                <w:highlight w:val="none"/>
              </w:rPr>
              <w:t>货物或服务名称</w:t>
            </w:r>
          </w:p>
        </w:tc>
        <w:tc>
          <w:tcPr>
            <w:tcW w:w="1701"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1473"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1947" w:type="dxa"/>
            <w:vAlign w:val="center"/>
          </w:tcPr>
          <w:p>
            <w:pPr>
              <w:jc w:val="center"/>
              <w:rPr>
                <w:rFonts w:ascii="宋体" w:hAnsi="宋体"/>
                <w:b/>
                <w:color w:val="auto"/>
                <w:sz w:val="24"/>
                <w:highlight w:val="none"/>
              </w:rPr>
            </w:pPr>
            <w:r>
              <w:rPr>
                <w:rFonts w:hint="eastAsia" w:ascii="宋体" w:hAnsi="宋体"/>
                <w:b/>
                <w:color w:val="auto"/>
                <w:sz w:val="24"/>
                <w:highlight w:val="none"/>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2343" w:type="dxa"/>
          </w:tcPr>
          <w:p>
            <w:pPr>
              <w:jc w:val="center"/>
              <w:rPr>
                <w:rFonts w:ascii="宋体" w:hAnsi="宋体"/>
                <w:color w:val="auto"/>
                <w:sz w:val="24"/>
                <w:highlight w:val="none"/>
              </w:rPr>
            </w:pPr>
            <w:r>
              <w:rPr>
                <w:rFonts w:hint="eastAsia" w:ascii="宋体" w:hAnsi="宋体"/>
                <w:color w:val="auto"/>
                <w:sz w:val="24"/>
                <w:highlight w:val="none"/>
              </w:rPr>
              <w:t>物业管理</w:t>
            </w:r>
          </w:p>
        </w:tc>
        <w:tc>
          <w:tcPr>
            <w:tcW w:w="1701" w:type="dxa"/>
          </w:tcPr>
          <w:p>
            <w:pPr>
              <w:jc w:val="center"/>
              <w:rPr>
                <w:rFonts w:ascii="宋体" w:hAnsi="宋体"/>
                <w:color w:val="auto"/>
                <w:sz w:val="24"/>
                <w:highlight w:val="none"/>
              </w:rPr>
            </w:pPr>
            <w:r>
              <w:rPr>
                <w:rFonts w:hint="eastAsia" w:ascii="宋体" w:hAnsi="宋体"/>
                <w:color w:val="auto"/>
                <w:sz w:val="24"/>
                <w:highlight w:val="none"/>
              </w:rPr>
              <w:t>1</w:t>
            </w:r>
          </w:p>
        </w:tc>
        <w:tc>
          <w:tcPr>
            <w:tcW w:w="1473" w:type="dxa"/>
          </w:tcPr>
          <w:p>
            <w:pPr>
              <w:jc w:val="center"/>
              <w:rPr>
                <w:rFonts w:ascii="宋体" w:hAnsi="宋体"/>
                <w:color w:val="auto"/>
                <w:sz w:val="24"/>
                <w:highlight w:val="none"/>
              </w:rPr>
            </w:pPr>
            <w:r>
              <w:rPr>
                <w:rFonts w:hint="eastAsia" w:ascii="宋体" w:hAnsi="宋体"/>
                <w:color w:val="auto"/>
                <w:sz w:val="24"/>
                <w:highlight w:val="none"/>
              </w:rPr>
              <w:t>项</w:t>
            </w:r>
          </w:p>
        </w:tc>
        <w:tc>
          <w:tcPr>
            <w:tcW w:w="1947" w:type="dxa"/>
          </w:tcPr>
          <w:p>
            <w:pPr>
              <w:rPr>
                <w:rFonts w:ascii="宋体" w:hAnsi="宋体"/>
                <w:color w:val="auto"/>
                <w:sz w:val="24"/>
                <w:highlight w:val="none"/>
              </w:rPr>
            </w:pPr>
          </w:p>
        </w:tc>
      </w:tr>
    </w:tbl>
    <w:p>
      <w:pPr>
        <w:spacing w:line="360" w:lineRule="auto"/>
        <w:contextualSpacing/>
        <w:rPr>
          <w:rFonts w:ascii="宋体" w:hAnsi="宋体"/>
          <w:bCs/>
          <w:color w:val="auto"/>
          <w:sz w:val="24"/>
          <w:highlight w:val="none"/>
        </w:rPr>
      </w:pPr>
      <w:r>
        <w:rPr>
          <w:rFonts w:ascii="宋体" w:hAnsi="宋体"/>
          <w:bCs/>
          <w:color w:val="auto"/>
          <w:sz w:val="24"/>
          <w:highlight w:val="none"/>
        </w:rPr>
        <w:t>2. 项目概述</w:t>
      </w:r>
    </w:p>
    <w:p>
      <w:pPr>
        <w:pStyle w:val="66"/>
        <w:numPr>
          <w:ilvl w:val="0"/>
          <w:numId w:val="0"/>
        </w:numPr>
        <w:spacing w:line="360" w:lineRule="auto"/>
        <w:ind w:left="-80" w:leftChars="0" w:firstLine="480" w:firstLineChars="200"/>
        <w:contextualSpacing/>
        <w:rPr>
          <w:rFonts w:hint="eastAsia" w:ascii="宋体" w:hAnsi="宋体"/>
          <w:bCs/>
          <w:color w:val="auto"/>
          <w:sz w:val="24"/>
          <w:highlight w:val="none"/>
        </w:rPr>
      </w:pPr>
      <w:r>
        <w:rPr>
          <w:rFonts w:hint="eastAsia" w:ascii="宋体" w:hAnsi="宋体"/>
          <w:bCs/>
          <w:color w:val="auto"/>
          <w:sz w:val="24"/>
          <w:highlight w:val="none"/>
        </w:rPr>
        <w:t>北京市机关事务管理局第一幼儿园系北京市机关事务管理中心下属二级单位，托育班位于北京市通州区潞城镇朗清园二区，是一所日托幼儿园。招生</w:t>
      </w:r>
      <w:r>
        <w:rPr>
          <w:rFonts w:hint="eastAsia" w:ascii="宋体" w:hAnsi="宋体"/>
          <w:bCs/>
          <w:color w:val="auto"/>
          <w:sz w:val="24"/>
          <w:highlight w:val="none"/>
          <w:lang w:val="en-US" w:eastAsia="zh-CN"/>
        </w:rPr>
        <w:t>范围</w:t>
      </w:r>
      <w:r>
        <w:rPr>
          <w:rFonts w:hint="eastAsia" w:ascii="宋体" w:hAnsi="宋体"/>
          <w:bCs/>
          <w:color w:val="auto"/>
          <w:sz w:val="24"/>
          <w:highlight w:val="none"/>
        </w:rPr>
        <w:t>：2-3岁幼儿。园区面积（建筑面积）2979平方米。</w:t>
      </w:r>
    </w:p>
    <w:p>
      <w:pPr>
        <w:pStyle w:val="66"/>
        <w:numPr>
          <w:ilvl w:val="0"/>
          <w:numId w:val="0"/>
        </w:numPr>
        <w:spacing w:line="360" w:lineRule="auto"/>
        <w:ind w:left="-80" w:leftChars="0" w:firstLine="480" w:firstLineChars="200"/>
        <w:contextualSpacing/>
        <w:rPr>
          <w:rFonts w:hint="eastAsia" w:ascii="宋体" w:hAnsi="宋体"/>
          <w:bCs/>
          <w:color w:val="auto"/>
          <w:sz w:val="24"/>
          <w:highlight w:val="none"/>
        </w:rPr>
      </w:pPr>
      <w:r>
        <w:rPr>
          <w:rFonts w:hint="eastAsia" w:ascii="宋体" w:hAnsi="宋体"/>
          <w:bCs/>
          <w:color w:val="auto"/>
          <w:sz w:val="24"/>
          <w:highlight w:val="none"/>
          <w:lang w:val="en-US" w:eastAsia="zh-CN"/>
        </w:rPr>
        <w:t>保障</w:t>
      </w:r>
      <w:r>
        <w:rPr>
          <w:rFonts w:hint="eastAsia" w:ascii="宋体" w:hAnsi="宋体"/>
          <w:bCs/>
          <w:color w:val="auto"/>
          <w:sz w:val="24"/>
          <w:highlight w:val="none"/>
        </w:rPr>
        <w:t>北京市机关事务管理局第一幼儿园综合物业服务，同时配合采购人各部门做好各项应急突发事件处置。包括但不限于：秩序维护服务，消、安防监控室值守服务、公共区域卫生保洁服物、综合维修服务。</w:t>
      </w:r>
    </w:p>
    <w:p>
      <w:pPr>
        <w:pStyle w:val="66"/>
        <w:numPr>
          <w:ilvl w:val="0"/>
          <w:numId w:val="8"/>
        </w:numPr>
        <w:spacing w:line="360" w:lineRule="auto"/>
        <w:ind w:left="420" w:firstLineChars="0"/>
        <w:contextualSpacing/>
        <w:rPr>
          <w:rFonts w:ascii="宋体" w:hAnsi="宋体"/>
          <w:b/>
          <w:color w:val="auto"/>
          <w:sz w:val="24"/>
          <w:szCs w:val="24"/>
          <w:highlight w:val="none"/>
        </w:rPr>
      </w:pPr>
      <w:r>
        <w:rPr>
          <w:rFonts w:ascii="宋体" w:hAnsi="宋体"/>
          <w:b/>
          <w:color w:val="auto"/>
          <w:sz w:val="24"/>
          <w:szCs w:val="24"/>
          <w:highlight w:val="none"/>
        </w:rPr>
        <w:t>商务要求</w:t>
      </w:r>
    </w:p>
    <w:p>
      <w:pPr>
        <w:spacing w:line="360" w:lineRule="auto"/>
        <w:contextualSpacing/>
        <w:rPr>
          <w:rFonts w:ascii="宋体" w:hAnsi="宋体"/>
          <w:i/>
          <w:color w:val="auto"/>
          <w:sz w:val="24"/>
          <w:highlight w:val="none"/>
        </w:rPr>
      </w:pPr>
      <w:r>
        <w:rPr>
          <w:rFonts w:ascii="宋体" w:hAnsi="宋体"/>
          <w:color w:val="auto"/>
          <w:sz w:val="24"/>
          <w:highlight w:val="none"/>
        </w:rPr>
        <w:t>1. 交付（实施）的时间（期限）和地点（范围）</w:t>
      </w:r>
    </w:p>
    <w:p>
      <w:pPr>
        <w:spacing w:line="302" w:lineRule="auto"/>
        <w:ind w:firstLine="480" w:firstLineChars="200"/>
        <w:rPr>
          <w:rFonts w:ascii="宋体" w:hAnsi="宋体"/>
          <w:color w:val="auto"/>
          <w:sz w:val="24"/>
          <w:highlight w:val="none"/>
        </w:rPr>
      </w:pPr>
      <w:r>
        <w:rPr>
          <w:rFonts w:hint="eastAsia" w:ascii="宋体" w:hAnsi="宋体"/>
          <w:bCs/>
          <w:color w:val="auto"/>
          <w:sz w:val="24"/>
          <w:highlight w:val="none"/>
        </w:rPr>
        <w:t>服务时间：</w:t>
      </w:r>
      <w:r>
        <w:rPr>
          <w:color w:val="auto"/>
          <w:sz w:val="24"/>
          <w:highlight w:val="none"/>
        </w:rPr>
        <w:t>202</w:t>
      </w:r>
      <w:r>
        <w:rPr>
          <w:rFonts w:hint="eastAsia"/>
          <w:color w:val="auto"/>
          <w:sz w:val="24"/>
          <w:highlight w:val="none"/>
          <w:lang w:val="en-US" w:eastAsia="zh-CN"/>
        </w:rPr>
        <w:t>6</w:t>
      </w:r>
      <w:r>
        <w:rPr>
          <w:color w:val="auto"/>
          <w:sz w:val="24"/>
          <w:highlight w:val="none"/>
        </w:rPr>
        <w:t>年1月1日-202</w:t>
      </w:r>
      <w:r>
        <w:rPr>
          <w:rFonts w:hint="eastAsia"/>
          <w:color w:val="auto"/>
          <w:sz w:val="24"/>
          <w:highlight w:val="none"/>
          <w:lang w:val="en-US" w:eastAsia="zh-CN"/>
        </w:rPr>
        <w:t>6</w:t>
      </w:r>
      <w:r>
        <w:rPr>
          <w:color w:val="auto"/>
          <w:sz w:val="24"/>
          <w:highlight w:val="none"/>
        </w:rPr>
        <w:t>年12月31日。</w:t>
      </w:r>
    </w:p>
    <w:p>
      <w:pPr>
        <w:spacing w:line="302" w:lineRule="auto"/>
        <w:ind w:firstLine="480" w:firstLineChars="200"/>
        <w:rPr>
          <w:rFonts w:ascii="宋体" w:hAnsi="宋体"/>
          <w:i/>
          <w:color w:val="auto"/>
          <w:sz w:val="24"/>
          <w:highlight w:val="none"/>
        </w:rPr>
      </w:pPr>
      <w:r>
        <w:rPr>
          <w:rFonts w:hint="eastAsia" w:ascii="宋体" w:hAnsi="宋体"/>
          <w:color w:val="auto"/>
          <w:sz w:val="24"/>
          <w:highlight w:val="none"/>
        </w:rPr>
        <w:t>服务地点：</w:t>
      </w:r>
      <w:r>
        <w:rPr>
          <w:rFonts w:hint="eastAsia" w:ascii="宋体" w:hAnsi="宋体"/>
          <w:color w:val="auto"/>
          <w:sz w:val="24"/>
          <w:highlight w:val="none"/>
          <w:lang w:val="en-US" w:eastAsia="zh-CN"/>
        </w:rPr>
        <w:t>北京市机关事务管理局第一幼儿园</w:t>
      </w:r>
      <w:r>
        <w:rPr>
          <w:rFonts w:hint="eastAsia" w:ascii="宋体" w:hAnsi="宋体"/>
          <w:color w:val="auto"/>
          <w:sz w:val="24"/>
          <w:highlight w:val="none"/>
        </w:rPr>
        <w:t>（地址位于</w:t>
      </w:r>
      <w:r>
        <w:rPr>
          <w:rFonts w:hint="eastAsia" w:ascii="宋体" w:hAnsi="宋体"/>
          <w:bCs/>
          <w:color w:val="auto"/>
          <w:sz w:val="24"/>
          <w:highlight w:val="none"/>
        </w:rPr>
        <w:t>通州区潞城镇朗清园二区</w:t>
      </w:r>
      <w:r>
        <w:rPr>
          <w:rFonts w:hint="eastAsia" w:ascii="宋体" w:hAnsi="宋体"/>
          <w:color w:val="auto"/>
          <w:sz w:val="24"/>
          <w:highlight w:val="none"/>
        </w:rPr>
        <w:t>）</w:t>
      </w:r>
    </w:p>
    <w:p>
      <w:pPr>
        <w:spacing w:line="360" w:lineRule="auto"/>
        <w:contextualSpacing/>
        <w:rPr>
          <w:rFonts w:ascii="宋体" w:hAnsi="宋体"/>
          <w:color w:val="auto"/>
          <w:sz w:val="24"/>
          <w:highlight w:val="none"/>
        </w:rPr>
      </w:pPr>
      <w:r>
        <w:rPr>
          <w:rFonts w:ascii="宋体" w:hAnsi="宋体"/>
          <w:color w:val="auto"/>
          <w:sz w:val="24"/>
          <w:highlight w:val="none"/>
        </w:rPr>
        <w:t>2. 付款条件（进度和方式）</w:t>
      </w:r>
    </w:p>
    <w:p>
      <w:pPr>
        <w:spacing w:line="302"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rPr>
        <w:t>中标人提供</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11</w:t>
      </w:r>
      <w:r>
        <w:rPr>
          <w:rFonts w:hint="eastAsia" w:ascii="宋体" w:hAnsi="宋体"/>
          <w:bCs/>
          <w:color w:val="auto"/>
          <w:sz w:val="24"/>
          <w:highlight w:val="none"/>
          <w:u w:val="single"/>
        </w:rPr>
        <w:t xml:space="preserve">   </w:t>
      </w:r>
      <w:r>
        <w:rPr>
          <w:rFonts w:hint="eastAsia" w:ascii="宋体" w:hAnsi="宋体"/>
          <w:bCs/>
          <w:color w:val="auto"/>
          <w:sz w:val="24"/>
          <w:highlight w:val="none"/>
        </w:rPr>
        <w:t>名工作人员为采购人服务</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自合同签订之日起20日内，采购人支付中标人中标总金额30%费用，6月底采购人支付中标人中标总金额20%费用，9月底采购人支付中标人中标总金额25%费用，12月底采购人支付中标人中标总金额25%费用。</w:t>
      </w:r>
    </w:p>
    <w:p>
      <w:pPr>
        <w:spacing w:line="302"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如</w:t>
      </w:r>
      <w:r>
        <w:rPr>
          <w:rFonts w:hint="eastAsia" w:ascii="宋体" w:hAnsi="宋体"/>
          <w:bCs/>
          <w:color w:val="auto"/>
          <w:sz w:val="24"/>
          <w:lang w:val="en-US" w:eastAsia="zh-CN"/>
        </w:rPr>
        <w:t>采购人</w:t>
      </w:r>
      <w:r>
        <w:rPr>
          <w:rFonts w:hint="eastAsia" w:ascii="宋体" w:hAnsi="宋体"/>
          <w:bCs/>
          <w:color w:val="auto"/>
          <w:sz w:val="24"/>
        </w:rPr>
        <w:t>服务的对象及项目调整，采购</w:t>
      </w:r>
      <w:r>
        <w:rPr>
          <w:rFonts w:hint="eastAsia" w:ascii="宋体" w:hAnsi="宋体"/>
          <w:bCs/>
          <w:color w:val="auto"/>
          <w:sz w:val="24"/>
          <w:lang w:val="en-US" w:eastAsia="zh-CN"/>
        </w:rPr>
        <w:t>人</w:t>
      </w:r>
      <w:r>
        <w:rPr>
          <w:rFonts w:hint="eastAsia" w:ascii="宋体" w:hAnsi="宋体"/>
          <w:bCs/>
          <w:color w:val="auto"/>
          <w:sz w:val="24"/>
        </w:rPr>
        <w:t>将视具体情况与中标</w:t>
      </w:r>
      <w:r>
        <w:rPr>
          <w:rFonts w:hint="eastAsia" w:ascii="宋体" w:hAnsi="宋体"/>
          <w:bCs/>
          <w:color w:val="auto"/>
          <w:sz w:val="24"/>
          <w:lang w:val="en-US" w:eastAsia="zh-CN"/>
        </w:rPr>
        <w:t>人</w:t>
      </w:r>
      <w:r>
        <w:rPr>
          <w:rFonts w:hint="eastAsia" w:ascii="宋体" w:hAnsi="宋体"/>
          <w:bCs/>
          <w:color w:val="auto"/>
          <w:sz w:val="24"/>
        </w:rPr>
        <w:t>签订服务费用的补充协议；如遇北京市机关事务管理局第</w:t>
      </w:r>
      <w:r>
        <w:rPr>
          <w:rFonts w:hint="eastAsia" w:ascii="宋体" w:hAnsi="宋体"/>
          <w:bCs/>
          <w:color w:val="auto"/>
          <w:sz w:val="24"/>
          <w:lang w:val="en-US" w:eastAsia="zh-CN"/>
        </w:rPr>
        <w:t>一</w:t>
      </w:r>
      <w:r>
        <w:rPr>
          <w:rFonts w:hint="eastAsia" w:ascii="宋体" w:hAnsi="宋体"/>
          <w:bCs/>
          <w:color w:val="auto"/>
          <w:sz w:val="24"/>
        </w:rPr>
        <w:t>幼儿园因全市统一部署，受上级指令迁移办公区域导致合同不能继续履行，北京市机关事务管理局第</w:t>
      </w:r>
      <w:r>
        <w:rPr>
          <w:rFonts w:hint="eastAsia" w:ascii="宋体" w:hAnsi="宋体"/>
          <w:bCs/>
          <w:color w:val="auto"/>
          <w:sz w:val="24"/>
          <w:lang w:val="en-US" w:eastAsia="zh-CN"/>
        </w:rPr>
        <w:t>一</w:t>
      </w:r>
      <w:r>
        <w:rPr>
          <w:rFonts w:hint="eastAsia" w:ascii="宋体" w:hAnsi="宋体"/>
          <w:bCs/>
          <w:color w:val="auto"/>
          <w:sz w:val="24"/>
        </w:rPr>
        <w:t>幼儿园和中标</w:t>
      </w:r>
      <w:r>
        <w:rPr>
          <w:rFonts w:hint="eastAsia" w:ascii="宋体" w:hAnsi="宋体"/>
          <w:bCs/>
          <w:color w:val="auto"/>
          <w:sz w:val="24"/>
          <w:lang w:val="en-US" w:eastAsia="zh-CN"/>
        </w:rPr>
        <w:t>人</w:t>
      </w:r>
      <w:r>
        <w:rPr>
          <w:rFonts w:hint="eastAsia" w:ascii="宋体" w:hAnsi="宋体"/>
          <w:bCs/>
          <w:color w:val="auto"/>
          <w:sz w:val="24"/>
        </w:rPr>
        <w:t>根据实际履约情况按月支付服务费用，至此服务合同自然终止。</w:t>
      </w:r>
    </w:p>
    <w:p>
      <w:pPr>
        <w:spacing w:line="302" w:lineRule="auto"/>
        <w:ind w:firstLine="480" w:firstLineChars="200"/>
        <w:rPr>
          <w:rFonts w:hint="default" w:ascii="宋体" w:hAnsi="宋体" w:eastAsia="宋体"/>
          <w:bCs/>
          <w:color w:val="auto"/>
          <w:sz w:val="24"/>
          <w:highlight w:val="none"/>
          <w:lang w:val="en-US" w:eastAsia="zh-CN"/>
        </w:rPr>
      </w:pPr>
    </w:p>
    <w:p>
      <w:pPr>
        <w:spacing w:line="360" w:lineRule="auto"/>
        <w:contextualSpacing/>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售后服务（质保期）</w:t>
      </w:r>
    </w:p>
    <w:p>
      <w:pPr>
        <w:spacing w:line="302"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中标人</w:t>
      </w:r>
      <w:r>
        <w:rPr>
          <w:rFonts w:ascii="宋体" w:hAnsi="宋体"/>
          <w:color w:val="auto"/>
          <w:sz w:val="24"/>
          <w:highlight w:val="none"/>
        </w:rPr>
        <w:t>根据物业服务具体项目要对服务人员有岗位培训计划，有培训提纲内容，有考核标准，经考核合格并取得相应操作证书后才能上岗。</w:t>
      </w:r>
    </w:p>
    <w:bookmarkEnd w:id="1"/>
    <w:bookmarkEnd w:id="2"/>
    <w:p>
      <w:pPr>
        <w:pStyle w:val="66"/>
        <w:numPr>
          <w:ilvl w:val="0"/>
          <w:numId w:val="8"/>
        </w:numPr>
        <w:spacing w:line="360" w:lineRule="auto"/>
        <w:ind w:left="420" w:firstLineChars="0"/>
        <w:contextualSpacing/>
        <w:rPr>
          <w:rFonts w:ascii="宋体" w:hAnsi="宋体"/>
          <w:b/>
          <w:color w:val="auto"/>
          <w:sz w:val="24"/>
          <w:szCs w:val="24"/>
          <w:highlight w:val="none"/>
        </w:rPr>
      </w:pPr>
      <w:r>
        <w:rPr>
          <w:rFonts w:hint="eastAsia" w:ascii="宋体" w:hAnsi="宋体"/>
          <w:b/>
          <w:color w:val="auto"/>
          <w:sz w:val="24"/>
          <w:szCs w:val="24"/>
          <w:highlight w:val="none"/>
          <w:lang w:val="en-US" w:eastAsia="zh-CN"/>
        </w:rPr>
        <w:t>技术要求</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1.1 </w:t>
      </w:r>
      <w:r>
        <w:rPr>
          <w:rFonts w:hint="eastAsia" w:ascii="宋体" w:hAnsi="宋体"/>
          <w:color w:val="auto"/>
          <w:sz w:val="24"/>
          <w:highlight w:val="none"/>
        </w:rPr>
        <w:t>采购标的需实现的功能或者目标</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供应商需根据项目要求提供包括维修、保养、清洁、安全等方面的服务，保障物业设备设施正常运转及校园环境良好。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需执行的国家相关标准、行业标准、地方标准或者其他标准、规范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 xml:space="preserve">1.2.1  </w:t>
      </w:r>
      <w:r>
        <w:rPr>
          <w:rFonts w:hint="eastAsia" w:ascii="宋体" w:hAnsi="宋体"/>
          <w:color w:val="auto"/>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1.2.</w:t>
      </w:r>
      <w:r>
        <w:rPr>
          <w:rFonts w:ascii="宋体" w:hAnsi="宋体"/>
          <w:color w:val="auto"/>
          <w:sz w:val="24"/>
          <w:highlight w:val="none"/>
        </w:rPr>
        <w:t>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落实《北京市公共场所室内温度控制导则（试行）》（京发改〔2022〕1673号）关于公共建筑和空间的室内温度控制相关要求。</w:t>
      </w:r>
    </w:p>
    <w:p>
      <w:pPr>
        <w:ind w:firstLine="480" w:firstLineChars="200"/>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1.2.</w:t>
      </w:r>
      <w:r>
        <w:rPr>
          <w:rFonts w:ascii="宋体" w:hAnsi="宋体"/>
          <w:color w:val="auto"/>
          <w:sz w:val="24"/>
          <w:highlight w:val="none"/>
        </w:rPr>
        <w:t>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照明系统建议落实《北京市党政机关、国有企事业单位办公建筑外观照明强化节能导则(试行)》(京发改〔2022〕88号）</w:t>
      </w:r>
      <w:r>
        <w:rPr>
          <w:rFonts w:ascii="宋体" w:hAnsi="宋体"/>
          <w:color w:val="auto"/>
          <w:sz w:val="24"/>
          <w:highlight w:val="none"/>
        </w:rPr>
        <w:t>。</w:t>
      </w:r>
    </w:p>
    <w:p>
      <w:pPr>
        <w:spacing w:line="302" w:lineRule="auto"/>
        <w:ind w:firstLine="480" w:firstLineChars="200"/>
        <w:rPr>
          <w:rFonts w:hint="eastAsia" w:ascii="宋体" w:hAnsi="宋体"/>
          <w:bCs/>
          <w:color w:val="auto"/>
          <w:sz w:val="24"/>
          <w:lang w:val="en-US" w:eastAsia="zh-CN"/>
        </w:rPr>
      </w:pPr>
      <w:r>
        <w:rPr>
          <w:rFonts w:hint="eastAsia" w:ascii="宋体" w:hAnsi="宋体"/>
          <w:bCs/>
          <w:color w:val="auto"/>
          <w:sz w:val="24"/>
          <w:lang w:val="en-US" w:eastAsia="zh-CN"/>
        </w:rPr>
        <w:t>1.2.4  严格落实</w:t>
      </w:r>
      <w:r>
        <w:rPr>
          <w:rFonts w:hint="eastAsia" w:ascii="宋体" w:hAnsi="宋体"/>
          <w:bCs/>
          <w:color w:val="auto"/>
          <w:sz w:val="24"/>
        </w:rPr>
        <w:t>节约型公共机构建设</w:t>
      </w:r>
      <w:r>
        <w:rPr>
          <w:rFonts w:hint="eastAsia" w:ascii="宋体" w:hAnsi="宋体"/>
          <w:bCs/>
          <w:color w:val="auto"/>
          <w:sz w:val="24"/>
          <w:lang w:val="en-US" w:eastAsia="zh-CN"/>
        </w:rPr>
        <w:t>有关要求，供应商应结合项目实际需求</w:t>
      </w:r>
      <w:r>
        <w:rPr>
          <w:rFonts w:hint="eastAsia" w:ascii="宋体" w:hAnsi="宋体"/>
          <w:bCs/>
          <w:color w:val="auto"/>
          <w:sz w:val="24"/>
        </w:rPr>
        <w:t>加强</w:t>
      </w:r>
      <w:r>
        <w:rPr>
          <w:rFonts w:hint="eastAsia" w:ascii="宋体" w:hAnsi="宋体"/>
          <w:bCs/>
          <w:color w:val="auto"/>
          <w:sz w:val="24"/>
          <w:lang w:val="en-US" w:eastAsia="zh-CN"/>
        </w:rPr>
        <w:t>节能</w:t>
      </w:r>
      <w:r>
        <w:rPr>
          <w:rFonts w:hint="eastAsia" w:ascii="宋体" w:hAnsi="宋体"/>
          <w:bCs/>
          <w:color w:val="auto"/>
          <w:sz w:val="24"/>
        </w:rPr>
        <w:t>日常管理</w:t>
      </w:r>
      <w:r>
        <w:rPr>
          <w:rFonts w:hint="eastAsia" w:ascii="宋体" w:hAnsi="宋体"/>
          <w:bCs/>
          <w:color w:val="auto"/>
          <w:sz w:val="24"/>
          <w:lang w:val="en-US" w:eastAsia="zh-CN"/>
        </w:rPr>
        <w:t>和培训</w:t>
      </w:r>
      <w:r>
        <w:rPr>
          <w:rFonts w:hint="eastAsia" w:ascii="宋体" w:hAnsi="宋体"/>
          <w:bCs/>
          <w:color w:val="auto"/>
          <w:sz w:val="24"/>
        </w:rPr>
        <w:t>，</w:t>
      </w:r>
      <w:r>
        <w:rPr>
          <w:rFonts w:hint="eastAsia" w:ascii="宋体" w:hAnsi="宋体"/>
          <w:bCs/>
          <w:color w:val="auto"/>
          <w:sz w:val="24"/>
          <w:lang w:val="en-US" w:eastAsia="zh-CN"/>
        </w:rPr>
        <w:t>充分利用各种节能工作措施，协助公共机构建立能源消费计量制度，对用能系统实行分户、分类、分项计量，并定期监测能源消耗状况，及时发现和纠正浪费现象；配合公共机构接受社会监督，建立举报处理流程，并定期报告节能成效，对浪费行为及时纠正，</w:t>
      </w:r>
      <w:r>
        <w:rPr>
          <w:rFonts w:hint="eastAsia" w:ascii="宋体" w:hAnsi="宋体"/>
          <w:bCs/>
          <w:color w:val="auto"/>
          <w:sz w:val="24"/>
        </w:rPr>
        <w:t>保障节约型公共机构建设的有效推进</w:t>
      </w:r>
      <w:r>
        <w:rPr>
          <w:rFonts w:hint="eastAsia" w:ascii="宋体" w:hAnsi="宋体"/>
          <w:bCs/>
          <w:color w:val="auto"/>
          <w:sz w:val="24"/>
          <w:lang w:eastAsia="zh-CN"/>
        </w:rPr>
        <w:t>。</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lang w:val="en-US" w:eastAsia="zh-CN"/>
        </w:rPr>
      </w:pPr>
    </w:p>
    <w:p>
      <w:pPr>
        <w:pStyle w:val="66"/>
        <w:numPr>
          <w:ilvl w:val="-1"/>
          <w:numId w:val="0"/>
        </w:numPr>
        <w:spacing w:line="360" w:lineRule="auto"/>
        <w:ind w:left="-80" w:firstLine="0" w:firstLineChars="0"/>
        <w:contextualSpacing/>
        <w:rPr>
          <w:rFonts w:ascii="宋体" w:hAnsi="宋体"/>
          <w:b/>
          <w:color w:val="auto"/>
          <w:sz w:val="24"/>
          <w:szCs w:val="24"/>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物业管理服务内容</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2.1</w:t>
      </w:r>
      <w:r>
        <w:rPr>
          <w:rFonts w:hint="eastAsia" w:ascii="宋体" w:hAnsi="宋体"/>
          <w:bCs/>
          <w:color w:val="auto"/>
          <w:sz w:val="24"/>
          <w:highlight w:val="none"/>
        </w:rPr>
        <w:t>人员要求</w:t>
      </w:r>
    </w:p>
    <w:tbl>
      <w:tblPr>
        <w:tblStyle w:val="53"/>
        <w:tblW w:w="8522" w:type="dxa"/>
        <w:tblInd w:w="0" w:type="dxa"/>
        <w:tblLayout w:type="fixed"/>
        <w:tblCellMar>
          <w:top w:w="0" w:type="dxa"/>
          <w:left w:w="108" w:type="dxa"/>
          <w:bottom w:w="0" w:type="dxa"/>
          <w:right w:w="108" w:type="dxa"/>
        </w:tblCellMar>
      </w:tblPr>
      <w:tblGrid>
        <w:gridCol w:w="671"/>
        <w:gridCol w:w="1272"/>
        <w:gridCol w:w="3952"/>
        <w:gridCol w:w="672"/>
        <w:gridCol w:w="1955"/>
      </w:tblGrid>
      <w:tr>
        <w:tblPrEx>
          <w:tblLayout w:type="fixed"/>
          <w:tblCellMar>
            <w:top w:w="0" w:type="dxa"/>
            <w:left w:w="108" w:type="dxa"/>
            <w:bottom w:w="0" w:type="dxa"/>
            <w:right w:w="108" w:type="dxa"/>
          </w:tblCellMar>
        </w:tblPrEx>
        <w:trPr>
          <w:trHeight w:val="540" w:hRule="atLeast"/>
        </w:trPr>
        <w:tc>
          <w:tcPr>
            <w:tcW w:w="8522" w:type="dxa"/>
            <w:gridSpan w:val="5"/>
            <w:tcBorders>
              <w:top w:val="nil"/>
              <w:left w:val="nil"/>
              <w:bottom w:val="nil"/>
              <w:right w:val="nil"/>
            </w:tcBorders>
          </w:tcPr>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202</w:t>
            </w:r>
            <w:r>
              <w:rPr>
                <w:rFonts w:hint="eastAsia" w:ascii="宋体" w:hAnsi="宋体"/>
                <w:bCs/>
                <w:color w:val="auto"/>
                <w:sz w:val="24"/>
                <w:highlight w:val="none"/>
                <w:lang w:val="en-US" w:eastAsia="zh-CN"/>
              </w:rPr>
              <w:t>6</w:t>
            </w:r>
            <w:r>
              <w:rPr>
                <w:rFonts w:hint="eastAsia" w:ascii="宋体" w:hAnsi="宋体"/>
                <w:bCs/>
                <w:color w:val="auto"/>
                <w:sz w:val="24"/>
                <w:highlight w:val="none"/>
              </w:rPr>
              <w:t>年度幼儿园物业服务岗位设置明细表(全项11人）</w:t>
            </w:r>
          </w:p>
        </w:tc>
      </w:tr>
      <w:tr>
        <w:tblPrEx>
          <w:tblLayout w:type="fixed"/>
          <w:tblCellMar>
            <w:top w:w="0" w:type="dxa"/>
            <w:left w:w="108" w:type="dxa"/>
            <w:bottom w:w="0" w:type="dxa"/>
            <w:right w:w="108" w:type="dxa"/>
          </w:tblCellMar>
        </w:tblPrEx>
        <w:trPr>
          <w:trHeight w:val="1300" w:hRule="atLeast"/>
        </w:trPr>
        <w:tc>
          <w:tcPr>
            <w:tcW w:w="671"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部门</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人员设置情况（岗位）</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人员要求</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人员配置</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工作时间</w:t>
            </w:r>
          </w:p>
        </w:tc>
      </w:tr>
      <w:tr>
        <w:tblPrEx>
          <w:tblLayout w:type="fixed"/>
          <w:tblCellMar>
            <w:top w:w="0" w:type="dxa"/>
            <w:left w:w="108" w:type="dxa"/>
            <w:bottom w:w="0" w:type="dxa"/>
            <w:right w:w="108" w:type="dxa"/>
          </w:tblCellMar>
        </w:tblPrEx>
        <w:trPr>
          <w:trHeight w:val="1180" w:hRule="atLeast"/>
        </w:trPr>
        <w:tc>
          <w:tcPr>
            <w:tcW w:w="671" w:type="dxa"/>
            <w:vMerge w:val="restart"/>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托班园区</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食堂厨师</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年龄在25周岁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highlight w:val="none"/>
              </w:rPr>
              <w:t>-50周岁，身体健康，持有厨师职业资格中级及以上职称和健康证，提供无犯罪记录承诺书。</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6</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周一至周五，每周40小时工时</w:t>
            </w:r>
          </w:p>
        </w:tc>
      </w:tr>
      <w:tr>
        <w:tblPrEx>
          <w:tblLayout w:type="fixed"/>
          <w:tblCellMar>
            <w:top w:w="0" w:type="dxa"/>
            <w:left w:w="108" w:type="dxa"/>
            <w:bottom w:w="0" w:type="dxa"/>
            <w:right w:w="108" w:type="dxa"/>
          </w:tblCellMar>
        </w:tblPrEx>
        <w:trPr>
          <w:trHeight w:val="1445" w:hRule="atLeast"/>
        </w:trPr>
        <w:tc>
          <w:tcPr>
            <w:tcW w:w="671"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保安员</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年龄18周岁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highlight w:val="none"/>
              </w:rPr>
              <w:t>-45周岁。身体健康，持有健康证和保安员证，提供无犯罪记录承诺书。</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3</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确保全年24小时在岗</w:t>
            </w:r>
          </w:p>
        </w:tc>
      </w:tr>
      <w:tr>
        <w:tblPrEx>
          <w:tblLayout w:type="fixed"/>
          <w:tblCellMar>
            <w:top w:w="0" w:type="dxa"/>
            <w:left w:w="108" w:type="dxa"/>
            <w:bottom w:w="0" w:type="dxa"/>
            <w:right w:w="108" w:type="dxa"/>
          </w:tblCellMar>
        </w:tblPrEx>
        <w:trPr>
          <w:trHeight w:val="1040" w:hRule="atLeast"/>
        </w:trPr>
        <w:tc>
          <w:tcPr>
            <w:tcW w:w="671"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保洁员</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身体健康，持有健康证，提供无犯罪记录承诺书。</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周一至周五，每周40小时工时</w:t>
            </w:r>
          </w:p>
        </w:tc>
      </w:tr>
      <w:tr>
        <w:tblPrEx>
          <w:tblLayout w:type="fixed"/>
          <w:tblCellMar>
            <w:top w:w="0" w:type="dxa"/>
            <w:left w:w="108" w:type="dxa"/>
            <w:bottom w:w="0" w:type="dxa"/>
            <w:right w:w="108" w:type="dxa"/>
          </w:tblCellMar>
        </w:tblPrEx>
        <w:trPr>
          <w:trHeight w:val="1600" w:hRule="atLeast"/>
        </w:trPr>
        <w:tc>
          <w:tcPr>
            <w:tcW w:w="671"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维修工</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身体健康，持有健康证，提供无犯罪记录承诺书，随叫随到，有相关零修维修经验。</w:t>
            </w:r>
          </w:p>
          <w:p>
            <w:pPr>
              <w:spacing w:line="302" w:lineRule="auto"/>
              <w:rPr>
                <w:rFonts w:hint="eastAsia" w:ascii="宋体" w:hAnsi="宋体"/>
                <w:bCs/>
                <w:color w:val="auto"/>
                <w:sz w:val="24"/>
                <w:highlight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周一至周五，每周40小时工时，随叫随到。</w:t>
            </w:r>
          </w:p>
        </w:tc>
      </w:tr>
      <w:tr>
        <w:tblPrEx>
          <w:tblLayout w:type="fixed"/>
          <w:tblCellMar>
            <w:top w:w="0" w:type="dxa"/>
            <w:left w:w="108" w:type="dxa"/>
            <w:bottom w:w="0" w:type="dxa"/>
            <w:right w:w="108" w:type="dxa"/>
          </w:tblCellMar>
        </w:tblPrEx>
        <w:trPr>
          <w:trHeight w:val="740" w:hRule="atLeast"/>
        </w:trPr>
        <w:tc>
          <w:tcPr>
            <w:tcW w:w="671" w:type="dxa"/>
            <w:vMerge w:val="continue"/>
            <w:tcBorders>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合计</w:t>
            </w:r>
          </w:p>
        </w:tc>
        <w:tc>
          <w:tcPr>
            <w:tcW w:w="395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highlight w:val="none"/>
              </w:rPr>
            </w:pPr>
            <w:r>
              <w:rPr>
                <w:rFonts w:hint="eastAsia" w:ascii="宋体" w:hAnsi="宋体"/>
                <w:bCs/>
                <w:color w:val="auto"/>
                <w:sz w:val="24"/>
                <w:highlight w:val="none"/>
              </w:rPr>
              <w:t>11人</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spacing w:line="302" w:lineRule="auto"/>
              <w:rPr>
                <w:rFonts w:hint="eastAsia" w:ascii="宋体" w:hAnsi="宋体"/>
                <w:bCs/>
                <w:color w:val="auto"/>
                <w:sz w:val="24"/>
                <w:highlight w:val="none"/>
              </w:rPr>
            </w:pPr>
          </w:p>
        </w:tc>
      </w:tr>
    </w:tbl>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服务内容</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 xml:space="preserve">2.2.1  </w:t>
      </w:r>
      <w:r>
        <w:rPr>
          <w:rFonts w:hint="eastAsia" w:ascii="宋体" w:hAnsi="宋体"/>
          <w:bCs/>
          <w:color w:val="auto"/>
          <w:sz w:val="24"/>
          <w:highlight w:val="none"/>
        </w:rPr>
        <w:t>餐饮服务</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负责幼儿园幼儿每日三餐两点伙食制作；负责成人每日早、午餐伙食制作；负责食品库采购管理工作；负责食堂卫生管理等工作；确保餐品保质保量及食品安全。</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2.2  </w:t>
      </w:r>
      <w:r>
        <w:rPr>
          <w:rFonts w:hint="eastAsia" w:ascii="宋体" w:hAnsi="宋体"/>
          <w:bCs/>
          <w:color w:val="auto"/>
          <w:sz w:val="24"/>
          <w:highlight w:val="none"/>
        </w:rPr>
        <w:t>安保服务</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负责幼儿园门岗值守工作；负责进出幼儿园的孩子、家长、老师、访客等的验证工作；负责园区内24小时巡视检查工作；负责幼儿园周边早晚高峰时段的秩序维护及车辆疏导工作；</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公共区域卫生保洁服务</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负责幼儿园内公共区域环境保洁及防疫消毒等工作任务；负责庭院内环境及儿童娱乐设施的清洁及消毒工作；负责应急及恶劣天气的应对（如：扫雪除冰、雨季的排水沟清淤、汛期的防汛保障等工作任务；负责日常门前三包区域环境卫生的清洁等工作任务,地面无垃圾、无污渍；通道门无污渍；配套设施表面干净、无尘；专项保洁，使用专项保洁工具和环保清洁剂，按照操作程序清洁；水房保洁，地面无垃圾、无污迹、无水迹；电热水器、剩水桶表面干净、无水迹。卫生间保洁，地面无垃圾、无污渍；隔板、门板无污渍、无尘土；洁具及玻璃表面无污渍；纸篓及时清倒，纸篓内厕纸不得超过1/2处，垃圾袋完好无破损。环境消毒，消毒区域全面、彻底、无刺激性异味、消毒物表面无药剂残留,公共区域垃圾分类工作。</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4</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综合维修服务</w:t>
      </w:r>
    </w:p>
    <w:p>
      <w:pPr>
        <w:spacing w:line="302" w:lineRule="auto"/>
        <w:rPr>
          <w:rFonts w:hint="eastAsia" w:ascii="宋体" w:hAnsi="宋体"/>
          <w:bCs/>
          <w:color w:val="auto"/>
          <w:sz w:val="24"/>
          <w:highlight w:val="none"/>
        </w:rPr>
      </w:pPr>
      <w:r>
        <w:rPr>
          <w:rFonts w:hint="eastAsia" w:ascii="宋体" w:hAnsi="宋体"/>
          <w:bCs/>
          <w:color w:val="auto"/>
          <w:sz w:val="24"/>
          <w:highlight w:val="none"/>
        </w:rPr>
        <w:t>（1）给排水系统日常运行；设备、阀门、管道工作正常，无跑、冒、滴、漏现象。排水系统通畅，落水管、沟渠、池、井等使用功能正常，畅通、无堵塞。汛期庭院无积水，设备房无积水、浸泡发生。发生故障维修及时。</w:t>
      </w:r>
    </w:p>
    <w:p>
      <w:pPr>
        <w:spacing w:line="302" w:lineRule="auto"/>
        <w:rPr>
          <w:rFonts w:hint="eastAsia" w:ascii="宋体" w:hAnsi="宋体"/>
          <w:bCs/>
          <w:color w:val="auto"/>
          <w:sz w:val="24"/>
          <w:highlight w:val="none"/>
        </w:rPr>
      </w:pPr>
      <w:r>
        <w:rPr>
          <w:rFonts w:hint="eastAsia" w:ascii="宋体" w:hAnsi="宋体"/>
          <w:bCs/>
          <w:color w:val="auto"/>
          <w:sz w:val="24"/>
          <w:highlight w:val="none"/>
        </w:rPr>
        <w:t>（2）电气系统日常运行：照明灯具，开关及插座面板规范、整洁，照明灯具完整有效，发现异常处理及时。</w:t>
      </w:r>
    </w:p>
    <w:p>
      <w:pPr>
        <w:spacing w:line="302" w:lineRule="auto"/>
        <w:rPr>
          <w:rFonts w:hint="eastAsia" w:ascii="宋体" w:hAnsi="宋体"/>
          <w:bCs/>
          <w:color w:val="auto"/>
          <w:sz w:val="24"/>
          <w:highlight w:val="none"/>
        </w:rPr>
      </w:pPr>
      <w:r>
        <w:rPr>
          <w:rFonts w:hint="eastAsia" w:ascii="宋体" w:hAnsi="宋体"/>
          <w:bCs/>
          <w:color w:val="auto"/>
          <w:sz w:val="24"/>
          <w:highlight w:val="none"/>
        </w:rPr>
        <w:t>（3）公共器具日常维修：接到报修维修人员30分钟到达现场，</w:t>
      </w:r>
    </w:p>
    <w:p>
      <w:pPr>
        <w:spacing w:line="302" w:lineRule="auto"/>
        <w:rPr>
          <w:rFonts w:hint="eastAsia" w:ascii="宋体" w:hAnsi="宋体"/>
          <w:bCs/>
          <w:color w:val="auto"/>
          <w:sz w:val="24"/>
          <w:highlight w:val="none"/>
        </w:rPr>
      </w:pPr>
      <w:r>
        <w:rPr>
          <w:rFonts w:hint="eastAsia" w:ascii="宋体" w:hAnsi="宋体"/>
          <w:bCs/>
          <w:color w:val="auto"/>
          <w:sz w:val="24"/>
          <w:highlight w:val="none"/>
        </w:rPr>
        <w:t>及时排除器具故障，能够正常使用，无法处理的维修项目及时报采购人。</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5</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其它</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做好临展项目和临时大型活动等专项的保障、配合。需协助采购人做好临时活动保障。按采购人需求，做好其他配合性工作。中标人须按采购人工作要求，做好与原物业公司相关业务工作交接，确保物业服务人员队伍稳定，物业服务工作无缝衔接。</w:t>
      </w:r>
    </w:p>
    <w:p>
      <w:pPr>
        <w:pStyle w:val="66"/>
        <w:numPr>
          <w:ilvl w:val="-1"/>
          <w:numId w:val="0"/>
        </w:numPr>
        <w:spacing w:line="360" w:lineRule="auto"/>
        <w:ind w:left="0" w:firstLine="482" w:firstLineChars="200"/>
        <w:contextualSpacing/>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2.3</w:t>
      </w:r>
      <w:r>
        <w:rPr>
          <w:rFonts w:hint="eastAsia" w:ascii="宋体" w:hAnsi="宋体"/>
          <w:b/>
          <w:color w:val="auto"/>
          <w:sz w:val="24"/>
          <w:szCs w:val="24"/>
          <w:highlight w:val="none"/>
        </w:rPr>
        <w:t>培训要求</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各专业相关人员持证上岗；配合采购人对突发事件、消防、安全生产等相关知识内容的培训。</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服务时间及地点</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服务时间：202</w:t>
      </w:r>
      <w:r>
        <w:rPr>
          <w:rFonts w:hint="eastAsia" w:ascii="宋体" w:hAnsi="宋体"/>
          <w:bCs/>
          <w:color w:val="auto"/>
          <w:sz w:val="24"/>
          <w:highlight w:val="none"/>
          <w:lang w:val="en-US" w:eastAsia="zh-CN"/>
        </w:rPr>
        <w:t>6</w:t>
      </w:r>
      <w:r>
        <w:rPr>
          <w:rFonts w:hint="eastAsia" w:ascii="宋体" w:hAnsi="宋体"/>
          <w:bCs/>
          <w:color w:val="auto"/>
          <w:sz w:val="24"/>
          <w:highlight w:val="none"/>
        </w:rPr>
        <w:t>年1月1日起至202</w:t>
      </w:r>
      <w:r>
        <w:rPr>
          <w:rFonts w:hint="eastAsia" w:ascii="宋体" w:hAnsi="宋体"/>
          <w:bCs/>
          <w:color w:val="auto"/>
          <w:sz w:val="24"/>
          <w:highlight w:val="none"/>
          <w:lang w:val="en-US" w:eastAsia="zh-CN"/>
        </w:rPr>
        <w:t>6</w:t>
      </w:r>
      <w:r>
        <w:rPr>
          <w:rFonts w:hint="eastAsia" w:ascii="宋体" w:hAnsi="宋体"/>
          <w:bCs/>
          <w:color w:val="auto"/>
          <w:sz w:val="24"/>
          <w:highlight w:val="none"/>
        </w:rPr>
        <w:t>年12月31日。</w:t>
      </w:r>
    </w:p>
    <w:p>
      <w:pPr>
        <w:spacing w:line="302"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服务地点：北京市通州区潞城镇朗清园二区。</w:t>
      </w:r>
    </w:p>
    <w:p>
      <w:pPr>
        <w:pStyle w:val="66"/>
        <w:numPr>
          <w:ilvl w:val="-1"/>
          <w:numId w:val="0"/>
        </w:numPr>
        <w:spacing w:line="360" w:lineRule="auto"/>
        <w:ind w:left="-80" w:firstLine="0" w:firstLineChars="0"/>
        <w:contextualSpacing/>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验收服务要求</w:t>
      </w:r>
    </w:p>
    <w:p>
      <w:pPr>
        <w:spacing w:line="302" w:lineRule="auto"/>
        <w:rPr>
          <w:rFonts w:hint="eastAsia" w:ascii="宋体" w:hAnsi="宋体"/>
          <w:bCs/>
          <w:color w:val="auto"/>
          <w:sz w:val="24"/>
          <w:highlight w:val="none"/>
        </w:rPr>
      </w:pPr>
      <w:r>
        <w:rPr>
          <w:rFonts w:hint="eastAsia" w:ascii="宋体" w:hAnsi="宋体"/>
          <w:bCs/>
          <w:color w:val="auto"/>
          <w:sz w:val="24"/>
          <w:highlight w:val="none"/>
        </w:rPr>
        <w:t>（1）环境卫生、清洁率≥98％</w:t>
      </w:r>
    </w:p>
    <w:p>
      <w:pPr>
        <w:spacing w:line="302" w:lineRule="auto"/>
        <w:rPr>
          <w:rFonts w:hint="eastAsia" w:ascii="宋体" w:hAnsi="宋体"/>
          <w:bCs/>
          <w:color w:val="auto"/>
          <w:sz w:val="24"/>
          <w:highlight w:val="none"/>
        </w:rPr>
      </w:pPr>
      <w:r>
        <w:rPr>
          <w:rFonts w:hint="eastAsia" w:ascii="宋体" w:hAnsi="宋体"/>
          <w:bCs/>
          <w:color w:val="auto"/>
          <w:sz w:val="24"/>
          <w:highlight w:val="none"/>
        </w:rPr>
        <w:t>（2）设施、设备运行完好率≥98％</w:t>
      </w:r>
    </w:p>
    <w:p>
      <w:pPr>
        <w:spacing w:line="302" w:lineRule="auto"/>
        <w:rPr>
          <w:rFonts w:hint="eastAsia" w:ascii="宋体" w:hAnsi="宋体"/>
          <w:bCs/>
          <w:color w:val="auto"/>
          <w:sz w:val="24"/>
          <w:highlight w:val="none"/>
        </w:rPr>
      </w:pPr>
      <w:r>
        <w:rPr>
          <w:rFonts w:hint="eastAsia" w:ascii="宋体" w:hAnsi="宋体"/>
          <w:bCs/>
          <w:color w:val="auto"/>
          <w:sz w:val="24"/>
          <w:highlight w:val="none"/>
        </w:rPr>
        <w:t>（3）零维修、报修及时率100％，返修率≤2％</w:t>
      </w:r>
    </w:p>
    <w:p>
      <w:pPr>
        <w:spacing w:line="302" w:lineRule="auto"/>
        <w:rPr>
          <w:rFonts w:hint="eastAsia" w:ascii="宋体" w:hAnsi="宋体"/>
          <w:bCs/>
          <w:color w:val="auto"/>
          <w:sz w:val="24"/>
          <w:highlight w:val="none"/>
        </w:rPr>
      </w:pPr>
      <w:r>
        <w:rPr>
          <w:rFonts w:hint="eastAsia" w:ascii="宋体" w:hAnsi="宋体"/>
          <w:bCs/>
          <w:color w:val="auto"/>
          <w:sz w:val="24"/>
          <w:highlight w:val="none"/>
        </w:rPr>
        <w:t>（4）服务有效投诉处理率100％</w:t>
      </w:r>
    </w:p>
    <w:p>
      <w:pPr>
        <w:numPr>
          <w:ilvl w:val="-1"/>
          <w:numId w:val="0"/>
        </w:numPr>
        <w:spacing w:line="302" w:lineRule="auto"/>
        <w:rPr>
          <w:rFonts w:hint="eastAsia" w:ascii="宋体" w:hAnsi="宋体"/>
          <w:b/>
          <w:bCs w:val="0"/>
          <w:color w:val="auto"/>
          <w:sz w:val="24"/>
          <w:highlight w:val="none"/>
          <w:lang w:val="en-US" w:eastAsia="zh-CN"/>
        </w:rPr>
      </w:pPr>
      <w:r>
        <w:rPr>
          <w:rFonts w:hint="eastAsia" w:ascii="宋体" w:hAnsi="宋体"/>
          <w:bCs/>
          <w:color w:val="auto"/>
          <w:sz w:val="24"/>
          <w:highlight w:val="none"/>
        </w:rPr>
        <w:t>（5）物业管理满意率达到98%以上</w:t>
      </w:r>
    </w:p>
    <w:p>
      <w:pPr>
        <w:numPr>
          <w:ilvl w:val="0"/>
          <w:numId w:val="0"/>
        </w:numPr>
        <w:spacing w:line="302" w:lineRule="auto"/>
        <w:ind w:firstLine="480" w:firstLineChars="200"/>
        <w:rPr>
          <w:rFonts w:hint="eastAsia" w:ascii="宋体" w:hAnsi="宋体"/>
          <w:bCs/>
          <w:color w:val="auto"/>
          <w:sz w:val="24"/>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48900F4"/>
    <w:rsid w:val="0BCC364D"/>
    <w:rsid w:val="0FE61D4E"/>
    <w:rsid w:val="151C29F3"/>
    <w:rsid w:val="1C030936"/>
    <w:rsid w:val="1C98397C"/>
    <w:rsid w:val="1CEE5DFA"/>
    <w:rsid w:val="1E706FDD"/>
    <w:rsid w:val="29D20428"/>
    <w:rsid w:val="37AC2D77"/>
    <w:rsid w:val="38677016"/>
    <w:rsid w:val="39184CEB"/>
    <w:rsid w:val="3B4C2D3E"/>
    <w:rsid w:val="42026A39"/>
    <w:rsid w:val="44EC1D67"/>
    <w:rsid w:val="45964E2C"/>
    <w:rsid w:val="499646CD"/>
    <w:rsid w:val="4C7B1D33"/>
    <w:rsid w:val="4FDC45D8"/>
    <w:rsid w:val="52510A99"/>
    <w:rsid w:val="555F5B42"/>
    <w:rsid w:val="5DC35C7F"/>
    <w:rsid w:val="62C958C2"/>
    <w:rsid w:val="65DC60B7"/>
    <w:rsid w:val="6DC533E1"/>
    <w:rsid w:val="779F12EB"/>
    <w:rsid w:val="799B6D30"/>
    <w:rsid w:val="7CD26E0E"/>
    <w:rsid w:val="7D841A7F"/>
    <w:rsid w:val="7FCE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2025-12-09T03:20:51Z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