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539DF">
      <w:pPr>
        <w:rPr>
          <w:b/>
          <w:sz w:val="36"/>
          <w:szCs w:val="36"/>
        </w:rPr>
      </w:pPr>
      <w:bookmarkStart w:id="1" w:name="_GoBack"/>
      <w:bookmarkEnd w:id="1"/>
    </w:p>
    <w:p w14:paraId="658A06F6">
      <w:pPr>
        <w:spacing w:line="360" w:lineRule="auto"/>
        <w:jc w:val="center"/>
        <w:outlineLvl w:val="0"/>
        <w:rPr>
          <w:b/>
          <w:sz w:val="36"/>
          <w:szCs w:val="36"/>
        </w:rPr>
      </w:pPr>
      <w:bookmarkStart w:id="0" w:name="_Toc16002"/>
      <w:r>
        <w:rPr>
          <w:b/>
          <w:sz w:val="36"/>
          <w:szCs w:val="36"/>
        </w:rPr>
        <w:t>采购需求</w:t>
      </w:r>
      <w:bookmarkEnd w:id="0"/>
    </w:p>
    <w:p w14:paraId="7B3A099E">
      <w:pPr>
        <w:pStyle w:val="3"/>
      </w:pPr>
    </w:p>
    <w:p w14:paraId="7C8FF512">
      <w:pPr>
        <w:pStyle w:val="7"/>
        <w:numPr>
          <w:ilvl w:val="0"/>
          <w:numId w:val="1"/>
        </w:numPr>
        <w:spacing w:line="360" w:lineRule="auto"/>
        <w:ind w:firstLineChars="0"/>
        <w:contextualSpacing/>
        <w:rPr>
          <w:rFonts w:hint="eastAsia" w:ascii="宋体" w:hAnsi="宋体" w:cs="宋体"/>
          <w:b/>
          <w:sz w:val="24"/>
          <w:szCs w:val="24"/>
        </w:rPr>
      </w:pPr>
      <w:r>
        <w:rPr>
          <w:rFonts w:hint="eastAsia" w:ascii="宋体" w:hAnsi="宋体" w:cs="宋体"/>
          <w:b/>
          <w:sz w:val="24"/>
          <w:szCs w:val="24"/>
        </w:rPr>
        <w:t>采购标的</w:t>
      </w:r>
    </w:p>
    <w:tbl>
      <w:tblPr>
        <w:tblStyle w:val="5"/>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015"/>
        <w:gridCol w:w="980"/>
        <w:gridCol w:w="1298"/>
        <w:gridCol w:w="1212"/>
        <w:gridCol w:w="1272"/>
      </w:tblGrid>
      <w:tr w14:paraId="0CFC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38" w:type="dxa"/>
            <w:vAlign w:val="center"/>
          </w:tcPr>
          <w:p w14:paraId="39B9AB5A">
            <w:pPr>
              <w:jc w:val="center"/>
              <w:rPr>
                <w:rFonts w:hint="eastAsia" w:ascii="宋体" w:hAnsi="宋体" w:cs="宋体"/>
                <w:b/>
                <w:bCs/>
                <w:sz w:val="24"/>
              </w:rPr>
            </w:pPr>
            <w:r>
              <w:rPr>
                <w:rFonts w:hint="eastAsia" w:ascii="宋体" w:hAnsi="宋体" w:cs="宋体"/>
                <w:b/>
                <w:bCs/>
                <w:sz w:val="24"/>
              </w:rPr>
              <w:t>序号</w:t>
            </w:r>
          </w:p>
        </w:tc>
        <w:tc>
          <w:tcPr>
            <w:tcW w:w="2214" w:type="dxa"/>
            <w:vAlign w:val="center"/>
          </w:tcPr>
          <w:p w14:paraId="22EF6042">
            <w:pPr>
              <w:jc w:val="center"/>
              <w:rPr>
                <w:rFonts w:hint="eastAsia" w:ascii="宋体" w:hAnsi="宋体" w:cs="宋体"/>
                <w:b/>
                <w:bCs/>
                <w:sz w:val="24"/>
              </w:rPr>
            </w:pPr>
            <w:r>
              <w:rPr>
                <w:rFonts w:hint="eastAsia" w:ascii="宋体" w:hAnsi="宋体" w:cs="宋体"/>
                <w:b/>
                <w:bCs/>
                <w:sz w:val="24"/>
              </w:rPr>
              <w:t>标的名称</w:t>
            </w:r>
          </w:p>
        </w:tc>
        <w:tc>
          <w:tcPr>
            <w:tcW w:w="1063" w:type="dxa"/>
            <w:vAlign w:val="center"/>
          </w:tcPr>
          <w:p w14:paraId="544C7F2B">
            <w:pPr>
              <w:jc w:val="center"/>
              <w:rPr>
                <w:rFonts w:hint="eastAsia" w:ascii="宋体" w:hAnsi="宋体" w:cs="宋体"/>
                <w:b/>
                <w:bCs/>
                <w:sz w:val="24"/>
              </w:rPr>
            </w:pPr>
            <w:r>
              <w:rPr>
                <w:rFonts w:hint="eastAsia" w:ascii="宋体" w:hAnsi="宋体" w:cs="宋体"/>
                <w:b/>
                <w:bCs/>
                <w:sz w:val="24"/>
              </w:rPr>
              <w:t>数量</w:t>
            </w:r>
          </w:p>
          <w:p w14:paraId="15B7817F">
            <w:pPr>
              <w:jc w:val="center"/>
              <w:rPr>
                <w:rFonts w:hint="eastAsia" w:ascii="宋体" w:hAnsi="宋体" w:cs="宋体"/>
                <w:b/>
                <w:bCs/>
                <w:sz w:val="24"/>
              </w:rPr>
            </w:pPr>
            <w:r>
              <w:rPr>
                <w:rFonts w:hint="eastAsia" w:ascii="宋体" w:hAnsi="宋体" w:cs="宋体"/>
                <w:b/>
                <w:bCs/>
                <w:sz w:val="24"/>
              </w:rPr>
              <w:t>（套）</w:t>
            </w:r>
          </w:p>
        </w:tc>
        <w:tc>
          <w:tcPr>
            <w:tcW w:w="1416" w:type="dxa"/>
            <w:vAlign w:val="center"/>
          </w:tcPr>
          <w:p w14:paraId="3BEF95B1">
            <w:pPr>
              <w:jc w:val="center"/>
              <w:rPr>
                <w:rFonts w:hint="eastAsia" w:ascii="宋体" w:hAnsi="宋体" w:cs="宋体"/>
                <w:b/>
                <w:bCs/>
                <w:sz w:val="24"/>
              </w:rPr>
            </w:pPr>
            <w:r>
              <w:rPr>
                <w:rFonts w:hint="eastAsia" w:ascii="宋体" w:hAnsi="宋体" w:cs="宋体"/>
                <w:b/>
                <w:bCs/>
                <w:sz w:val="24"/>
              </w:rPr>
              <w:t>最高限价</w:t>
            </w:r>
          </w:p>
          <w:p w14:paraId="714E75BF">
            <w:pPr>
              <w:jc w:val="center"/>
              <w:rPr>
                <w:rFonts w:hint="eastAsia" w:ascii="宋体" w:hAnsi="宋体" w:cs="宋体"/>
                <w:b/>
                <w:bCs/>
                <w:sz w:val="24"/>
              </w:rPr>
            </w:pPr>
            <w:r>
              <w:rPr>
                <w:rFonts w:hint="eastAsia" w:ascii="宋体" w:hAnsi="宋体" w:cs="宋体"/>
                <w:b/>
                <w:bCs/>
                <w:sz w:val="24"/>
              </w:rPr>
              <w:t>（万元）</w:t>
            </w:r>
          </w:p>
        </w:tc>
        <w:tc>
          <w:tcPr>
            <w:tcW w:w="1320" w:type="dxa"/>
            <w:vAlign w:val="center"/>
          </w:tcPr>
          <w:p w14:paraId="6A082768">
            <w:pPr>
              <w:jc w:val="center"/>
              <w:rPr>
                <w:rFonts w:hint="eastAsia" w:ascii="宋体" w:hAnsi="宋体" w:cs="宋体"/>
                <w:b/>
                <w:bCs/>
                <w:sz w:val="24"/>
              </w:rPr>
            </w:pPr>
            <w:r>
              <w:rPr>
                <w:rFonts w:hint="eastAsia" w:ascii="宋体" w:hAnsi="宋体" w:cs="宋体"/>
                <w:b/>
                <w:bCs/>
                <w:sz w:val="24"/>
              </w:rPr>
              <w:t>是否允许进口</w:t>
            </w:r>
          </w:p>
        </w:tc>
        <w:tc>
          <w:tcPr>
            <w:tcW w:w="1386" w:type="dxa"/>
            <w:vAlign w:val="center"/>
          </w:tcPr>
          <w:p w14:paraId="55DCA6E8">
            <w:pPr>
              <w:jc w:val="center"/>
              <w:rPr>
                <w:rFonts w:hint="eastAsia" w:ascii="宋体" w:hAnsi="宋体" w:cs="宋体"/>
                <w:b/>
                <w:bCs/>
                <w:sz w:val="24"/>
              </w:rPr>
            </w:pPr>
            <w:r>
              <w:rPr>
                <w:rFonts w:hint="eastAsia" w:ascii="宋体" w:hAnsi="宋体" w:cs="宋体"/>
                <w:b/>
                <w:bCs/>
                <w:sz w:val="24"/>
              </w:rPr>
              <w:t>是否为核心产品</w:t>
            </w:r>
          </w:p>
        </w:tc>
      </w:tr>
      <w:tr w14:paraId="2E08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38" w:type="dxa"/>
            <w:vAlign w:val="center"/>
          </w:tcPr>
          <w:p w14:paraId="3AEE2CC8">
            <w:pPr>
              <w:widowControl/>
              <w:jc w:val="center"/>
              <w:textAlignment w:val="center"/>
              <w:rPr>
                <w:rFonts w:hint="eastAsia" w:ascii="宋体" w:hAnsi="宋体" w:cs="宋体"/>
                <w:bCs/>
                <w:sz w:val="24"/>
              </w:rPr>
            </w:pPr>
            <w:r>
              <w:rPr>
                <w:rFonts w:hint="eastAsia" w:ascii="宋体" w:hAnsi="宋体" w:cs="宋体"/>
                <w:bCs/>
                <w:sz w:val="24"/>
              </w:rPr>
              <w:t>1</w:t>
            </w:r>
          </w:p>
        </w:tc>
        <w:tc>
          <w:tcPr>
            <w:tcW w:w="2214" w:type="dxa"/>
            <w:vAlign w:val="center"/>
          </w:tcPr>
          <w:p w14:paraId="5E38D9F5">
            <w:pPr>
              <w:widowControl/>
              <w:jc w:val="center"/>
              <w:textAlignment w:val="center"/>
              <w:rPr>
                <w:rFonts w:hint="eastAsia" w:ascii="宋体" w:hAnsi="宋体" w:cs="宋体"/>
                <w:bCs/>
                <w:sz w:val="24"/>
              </w:rPr>
            </w:pPr>
            <w:r>
              <w:rPr>
                <w:rFonts w:hint="eastAsia" w:ascii="宋体" w:hAnsi="宋体" w:cs="宋体"/>
                <w:bCs/>
                <w:sz w:val="24"/>
              </w:rPr>
              <w:t>心身整体评估干预系统</w:t>
            </w:r>
          </w:p>
        </w:tc>
        <w:tc>
          <w:tcPr>
            <w:tcW w:w="1063" w:type="dxa"/>
            <w:vAlign w:val="center"/>
          </w:tcPr>
          <w:p w14:paraId="460E7C06">
            <w:pPr>
              <w:widowControl/>
              <w:jc w:val="center"/>
              <w:textAlignment w:val="center"/>
              <w:rPr>
                <w:rFonts w:hint="eastAsia" w:ascii="宋体" w:hAnsi="宋体" w:cs="宋体"/>
                <w:bCs/>
                <w:sz w:val="24"/>
              </w:rPr>
            </w:pPr>
            <w:r>
              <w:rPr>
                <w:rFonts w:hint="eastAsia" w:ascii="宋体" w:hAnsi="宋体" w:cs="宋体"/>
                <w:bCs/>
                <w:sz w:val="24"/>
              </w:rPr>
              <w:t>1</w:t>
            </w:r>
          </w:p>
        </w:tc>
        <w:tc>
          <w:tcPr>
            <w:tcW w:w="1416" w:type="dxa"/>
            <w:vAlign w:val="center"/>
          </w:tcPr>
          <w:p w14:paraId="34B8BADC">
            <w:pPr>
              <w:widowControl/>
              <w:jc w:val="center"/>
              <w:textAlignment w:val="center"/>
              <w:rPr>
                <w:rFonts w:hint="eastAsia" w:ascii="宋体" w:hAnsi="宋体" w:cs="宋体"/>
                <w:bCs/>
                <w:sz w:val="24"/>
              </w:rPr>
            </w:pPr>
            <w:r>
              <w:rPr>
                <w:rFonts w:hint="eastAsia" w:ascii="宋体" w:hAnsi="宋体" w:cs="宋体"/>
                <w:bCs/>
                <w:sz w:val="24"/>
              </w:rPr>
              <w:t>60</w:t>
            </w:r>
          </w:p>
        </w:tc>
        <w:tc>
          <w:tcPr>
            <w:tcW w:w="1320" w:type="dxa"/>
            <w:vAlign w:val="center"/>
          </w:tcPr>
          <w:p w14:paraId="2DE56B1B">
            <w:pPr>
              <w:widowControl/>
              <w:jc w:val="center"/>
              <w:textAlignment w:val="center"/>
              <w:rPr>
                <w:rFonts w:hint="eastAsia" w:ascii="宋体" w:hAnsi="宋体" w:cs="宋体"/>
                <w:bCs/>
                <w:sz w:val="24"/>
              </w:rPr>
            </w:pPr>
            <w:r>
              <w:rPr>
                <w:rFonts w:hint="eastAsia" w:ascii="宋体" w:hAnsi="宋体" w:cs="宋体"/>
                <w:bCs/>
                <w:sz w:val="24"/>
              </w:rPr>
              <w:t>否</w:t>
            </w:r>
          </w:p>
        </w:tc>
        <w:tc>
          <w:tcPr>
            <w:tcW w:w="1386" w:type="dxa"/>
            <w:vAlign w:val="center"/>
          </w:tcPr>
          <w:p w14:paraId="554AB4D6">
            <w:pPr>
              <w:widowControl/>
              <w:jc w:val="center"/>
              <w:textAlignment w:val="center"/>
              <w:rPr>
                <w:rFonts w:hint="eastAsia" w:ascii="宋体" w:hAnsi="宋体" w:cs="宋体"/>
                <w:bCs/>
                <w:sz w:val="24"/>
              </w:rPr>
            </w:pPr>
            <w:r>
              <w:rPr>
                <w:rFonts w:hAnsi="宋体" w:cs="宋体"/>
                <w:sz w:val="24"/>
              </w:rPr>
              <w:t>单一产品采购包</w:t>
            </w:r>
          </w:p>
        </w:tc>
      </w:tr>
    </w:tbl>
    <w:p w14:paraId="12883A48">
      <w:pPr>
        <w:wordWrap w:val="0"/>
        <w:topLinePunct/>
        <w:adjustRightInd w:val="0"/>
        <w:spacing w:line="360" w:lineRule="auto"/>
        <w:ind w:firstLine="480" w:firstLineChars="200"/>
        <w:jc w:val="left"/>
        <w:textAlignment w:val="baseline"/>
        <w:rPr>
          <w:rFonts w:hint="eastAsia" w:ascii="宋体" w:hAnsi="宋体" w:cs="宋体"/>
          <w:sz w:val="24"/>
        </w:rPr>
      </w:pPr>
    </w:p>
    <w:p w14:paraId="0F30A810">
      <w:pPr>
        <w:pStyle w:val="4"/>
        <w:spacing w:line="360" w:lineRule="auto"/>
        <w:rPr>
          <w:rFonts w:hint="eastAsia" w:ascii="宋体" w:hAnsi="宋体" w:cs="宋体"/>
          <w:b/>
          <w:sz w:val="24"/>
        </w:rPr>
      </w:pPr>
      <w:r>
        <w:rPr>
          <w:rFonts w:hint="eastAsia" w:ascii="宋体" w:hAnsi="宋体" w:cs="宋体"/>
          <w:bCs/>
          <w:sz w:val="24"/>
        </w:rPr>
        <w:t>二、</w:t>
      </w:r>
      <w:r>
        <w:rPr>
          <w:rFonts w:hint="eastAsia" w:ascii="宋体" w:hAnsi="宋体" w:cs="宋体"/>
          <w:b/>
          <w:sz w:val="24"/>
        </w:rPr>
        <w:t>商务要求</w:t>
      </w:r>
    </w:p>
    <w:p w14:paraId="58AC215D">
      <w:pPr>
        <w:spacing w:line="360" w:lineRule="auto"/>
        <w:ind w:firstLine="482" w:firstLineChars="200"/>
        <w:contextualSpacing/>
        <w:jc w:val="left"/>
        <w:rPr>
          <w:rFonts w:hint="eastAsia" w:ascii="宋体" w:hAnsi="宋体" w:cs="宋体"/>
          <w:b/>
          <w:sz w:val="24"/>
        </w:rPr>
      </w:pPr>
      <w:r>
        <w:rPr>
          <w:rFonts w:hint="eastAsia" w:ascii="宋体" w:hAnsi="宋体" w:cs="宋体"/>
          <w:b/>
          <w:sz w:val="24"/>
        </w:rPr>
        <w:t>（一）供货周期和地点：</w:t>
      </w:r>
    </w:p>
    <w:p w14:paraId="5E88C56C">
      <w:pPr>
        <w:pStyle w:val="2"/>
        <w:spacing w:line="360" w:lineRule="auto"/>
        <w:ind w:firstLine="480" w:firstLineChars="200"/>
        <w:rPr>
          <w:rFonts w:hint="eastAsia" w:hAnsi="宋体" w:cs="宋体"/>
          <w:bCs/>
        </w:rPr>
      </w:pPr>
      <w:r>
        <w:rPr>
          <w:rFonts w:hint="eastAsia" w:hAnsi="宋体" w:cs="宋体"/>
          <w:bCs/>
        </w:rPr>
        <w:t>1.</w:t>
      </w:r>
      <w:r>
        <w:rPr>
          <w:rFonts w:hint="eastAsia" w:hAnsi="宋体"/>
        </w:rPr>
        <w:t>供货周期</w:t>
      </w:r>
      <w:r>
        <w:rPr>
          <w:rFonts w:hAnsi="宋体"/>
        </w:rPr>
        <w:t>：</w:t>
      </w:r>
      <w:r>
        <w:rPr>
          <w:rFonts w:hint="eastAsia" w:hAnsi="宋体"/>
        </w:rPr>
        <w:t>合同签订后90日内完成供货，并按照医院实际需求完成安装、调试及相关工作</w:t>
      </w:r>
    </w:p>
    <w:p w14:paraId="400ABBDE">
      <w:pPr>
        <w:pStyle w:val="2"/>
        <w:spacing w:line="360" w:lineRule="auto"/>
        <w:ind w:firstLine="480" w:firstLineChars="200"/>
        <w:rPr>
          <w:rFonts w:hint="eastAsia" w:hAnsi="宋体" w:cs="宋体"/>
          <w:bCs/>
        </w:rPr>
      </w:pPr>
      <w:r>
        <w:rPr>
          <w:rFonts w:hint="eastAsia" w:hAnsi="宋体" w:cs="宋体"/>
          <w:bCs/>
        </w:rPr>
        <w:t>2.</w:t>
      </w:r>
      <w:r>
        <w:rPr>
          <w:rFonts w:hint="eastAsia" w:hAnsi="宋体"/>
        </w:rPr>
        <w:t>交货</w:t>
      </w:r>
      <w:r>
        <w:rPr>
          <w:rFonts w:hint="eastAsia" w:hAnsi="宋体" w:cs="宋体"/>
          <w:bCs/>
        </w:rPr>
        <w:t>地点：采购人指定地点</w:t>
      </w:r>
    </w:p>
    <w:p w14:paraId="76D6023F">
      <w:pPr>
        <w:spacing w:line="360" w:lineRule="auto"/>
        <w:ind w:firstLine="482" w:firstLineChars="200"/>
        <w:contextualSpacing/>
        <w:jc w:val="left"/>
        <w:rPr>
          <w:rFonts w:hint="eastAsia"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0B21197C">
      <w:pPr>
        <w:pStyle w:val="3"/>
        <w:spacing w:line="360" w:lineRule="auto"/>
        <w:ind w:left="0" w:leftChars="0" w:firstLine="482" w:firstLineChars="200"/>
        <w:jc w:val="left"/>
        <w:rPr>
          <w:rFonts w:hint="eastAsia"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0FDB616C">
      <w:pPr>
        <w:pStyle w:val="3"/>
        <w:spacing w:line="360" w:lineRule="auto"/>
        <w:ind w:left="0" w:leftChars="0" w:firstLine="482" w:firstLineChars="200"/>
        <w:jc w:val="left"/>
        <w:rPr>
          <w:rFonts w:hint="eastAsia" w:ascii="宋体" w:hAnsi="宋体" w:cs="宋体"/>
          <w:b/>
          <w:bCs/>
          <w:sz w:val="24"/>
        </w:rPr>
      </w:pPr>
      <w:r>
        <w:rPr>
          <w:rFonts w:hint="eastAsia" w:ascii="宋体" w:hAnsi="宋体" w:cs="宋体"/>
          <w:b/>
          <w:bCs/>
          <w:sz w:val="24"/>
        </w:rPr>
        <w:t xml:space="preserve">（四）采购标的需满足的服务标准、期限、效率等要求 </w:t>
      </w:r>
    </w:p>
    <w:p w14:paraId="6E3528A0">
      <w:pPr>
        <w:pStyle w:val="2"/>
        <w:spacing w:line="360" w:lineRule="auto"/>
        <w:ind w:firstLine="480" w:firstLineChars="200"/>
        <w:rPr>
          <w:rFonts w:hint="eastAsia" w:hAnsi="宋体" w:cs="宋体"/>
          <w:bCs/>
        </w:rPr>
      </w:pPr>
      <w:r>
        <w:rPr>
          <w:rFonts w:hint="eastAsia" w:hAnsi="宋体" w:cs="宋体"/>
          <w:bCs/>
        </w:rPr>
        <w:t>1.质保期≥5年；</w:t>
      </w:r>
    </w:p>
    <w:p w14:paraId="08646B67">
      <w:pPr>
        <w:pStyle w:val="2"/>
        <w:spacing w:line="360" w:lineRule="auto"/>
        <w:ind w:firstLine="480" w:firstLineChars="200"/>
        <w:rPr>
          <w:rFonts w:hint="eastAsia" w:hAnsi="宋体" w:cs="宋体"/>
          <w:bCs/>
        </w:rPr>
      </w:pPr>
      <w:r>
        <w:rPr>
          <w:rFonts w:hint="eastAsia" w:hAnsi="宋体" w:cs="宋体"/>
          <w:bCs/>
        </w:rPr>
        <w:t>2.技术支持：</w:t>
      </w:r>
      <w:r>
        <w:rPr>
          <w:rFonts w:hint="eastAsia" w:hAnsi="宋体" w:cs="宋体"/>
        </w:rPr>
        <w:t>供应商应向采购人提供与使用应用软件相关的技术服务。供应商保证能够提供7*24小时的技术支持和服务的内容包括电话支持、现场服务、设备维修支持、网上咨询支持、远程技术支持和提供系统应急策略等内容</w:t>
      </w:r>
      <w:r>
        <w:rPr>
          <w:rFonts w:hint="eastAsia" w:hAnsi="宋体" w:cs="宋体"/>
          <w:bCs/>
        </w:rPr>
        <w:t>。</w:t>
      </w:r>
    </w:p>
    <w:p w14:paraId="0F7909D7">
      <w:pPr>
        <w:pStyle w:val="2"/>
        <w:spacing w:line="360" w:lineRule="auto"/>
        <w:ind w:firstLine="480" w:firstLineChars="200"/>
        <w:rPr>
          <w:rFonts w:hint="eastAsia" w:hAnsi="宋体" w:cs="宋体"/>
          <w:bCs/>
        </w:rPr>
      </w:pPr>
      <w:r>
        <w:rPr>
          <w:rFonts w:hint="eastAsia" w:hAnsi="宋体" w:cs="宋体"/>
          <w:bCs/>
        </w:rPr>
        <w:t>4.培训：免费提供设备到达现场后的应用培训，直至操作人员掌握为止。</w:t>
      </w:r>
    </w:p>
    <w:p w14:paraId="317B3228">
      <w:pPr>
        <w:pStyle w:val="2"/>
        <w:spacing w:line="360" w:lineRule="auto"/>
        <w:ind w:firstLine="480" w:firstLineChars="200"/>
        <w:rPr>
          <w:rFonts w:hint="eastAsia" w:hAnsi="宋体" w:cs="宋体"/>
          <w:bCs/>
        </w:rPr>
      </w:pPr>
      <w:r>
        <w:rPr>
          <w:rFonts w:hint="eastAsia" w:hAnsi="宋体" w:cs="宋体"/>
          <w:bCs/>
        </w:rPr>
        <w:t>5.项目验收</w:t>
      </w:r>
    </w:p>
    <w:p w14:paraId="5E3FF315">
      <w:pPr>
        <w:pStyle w:val="2"/>
        <w:spacing w:line="360" w:lineRule="auto"/>
        <w:ind w:firstLine="480" w:firstLineChars="200"/>
        <w:rPr>
          <w:rFonts w:hint="eastAsia" w:hAnsi="宋体" w:cs="宋体"/>
          <w:bCs/>
        </w:rPr>
      </w:pPr>
      <w:r>
        <w:rPr>
          <w:rFonts w:hint="eastAsia" w:hAnsi="宋体" w:cs="宋体"/>
          <w:bCs/>
        </w:rPr>
        <w:t>5.1验收标准：采购人依据采购需求中明确的功能模块、性能指标、稳定性要求及供应商提供的产品用户手册作为验收依据。</w:t>
      </w:r>
    </w:p>
    <w:p w14:paraId="565D6291">
      <w:pPr>
        <w:pStyle w:val="2"/>
        <w:spacing w:line="360" w:lineRule="auto"/>
        <w:ind w:firstLine="480" w:firstLineChars="200"/>
        <w:rPr>
          <w:rFonts w:hint="eastAsia" w:hAnsi="宋体" w:cs="宋体"/>
          <w:bCs/>
        </w:rPr>
      </w:pPr>
      <w:r>
        <w:rPr>
          <w:rFonts w:hint="eastAsia" w:hAnsi="宋体" w:cs="宋体"/>
          <w:bCs/>
        </w:rPr>
        <w:t>5.2供应商完成产品交付后7日之内，供应商提出验收申请，采购人有义务进行验收，并出具书面验收报告。</w:t>
      </w:r>
    </w:p>
    <w:p w14:paraId="579B2AC4">
      <w:pPr>
        <w:spacing w:line="360" w:lineRule="auto"/>
        <w:ind w:firstLine="482" w:firstLineChars="200"/>
        <w:rPr>
          <w:rFonts w:hint="eastAsia" w:ascii="宋体" w:hAnsi="宋体" w:cs="宋体"/>
          <w:b/>
          <w:bCs/>
          <w:sz w:val="24"/>
        </w:rPr>
      </w:pPr>
      <w:r>
        <w:rPr>
          <w:rFonts w:hint="eastAsia" w:ascii="宋体" w:hAnsi="宋体" w:cs="宋体"/>
          <w:b/>
          <w:bCs/>
          <w:sz w:val="24"/>
        </w:rPr>
        <w:t>三、技术要求</w:t>
      </w:r>
    </w:p>
    <w:p w14:paraId="76C49617">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（一）基本要求</w:t>
      </w:r>
    </w:p>
    <w:p w14:paraId="6EBED7FB">
      <w:pPr>
        <w:spacing w:line="360" w:lineRule="auto"/>
        <w:ind w:firstLine="482" w:firstLineChars="200"/>
        <w:contextualSpacing/>
        <w:rPr>
          <w:rFonts w:hint="eastAsia" w:ascii="宋体" w:hAnsi="宋体" w:cs="宋体"/>
          <w:kern w:val="0"/>
          <w:sz w:val="24"/>
        </w:rPr>
      </w:pPr>
      <w:r>
        <w:rPr>
          <w:rFonts w:hint="eastAsia" w:ascii="宋体" w:hAnsi="宋体" w:cs="宋体"/>
          <w:b/>
          <w:bCs/>
          <w:sz w:val="24"/>
        </w:rPr>
        <w:t>1.需满足国家相关标准、行业标准、地方标准或者其他标准、规范：</w:t>
      </w:r>
      <w:r>
        <w:rPr>
          <w:rFonts w:hint="eastAsia" w:ascii="宋体" w:hAnsi="宋体" w:cs="宋体"/>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2A709A1E">
      <w:pPr>
        <w:spacing w:line="360" w:lineRule="auto"/>
        <w:ind w:firstLine="482" w:firstLineChars="200"/>
        <w:jc w:val="left"/>
        <w:rPr>
          <w:rFonts w:hint="eastAsia" w:ascii="宋体" w:hAnsi="宋体" w:cs="宋体"/>
          <w:sz w:val="24"/>
        </w:rPr>
      </w:pPr>
      <w:r>
        <w:rPr>
          <w:rFonts w:hint="eastAsia" w:ascii="宋体" w:hAnsi="宋体" w:cs="宋体"/>
          <w:b/>
          <w:bCs/>
          <w:sz w:val="24"/>
        </w:rPr>
        <w:t>（二）具体要求</w:t>
      </w:r>
    </w:p>
    <w:p w14:paraId="3CD533F6">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1.医生临床科室管理系统</w:t>
      </w:r>
    </w:p>
    <w:p w14:paraId="5A372DA5">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1.1各科室（护理单元）拥有独立的管理权限，可审阅名下的用户报告，系统支持医生电子签名。</w:t>
      </w:r>
    </w:p>
    <w:p w14:paraId="11DF0583">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1.2根据科室需求自定义个性化心理评估报告模板。</w:t>
      </w:r>
    </w:p>
    <w:p w14:paraId="33E31BA7">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1.3系统支持智能报表功能，医生管理员可根据实际需要，灵活的组合筛选条件来生成分析报表结果。可对测评结果进行综合分析，可按组织结构来进行数据统计、心理健康数据分析及心理危机干预跟踪。</w:t>
      </w:r>
    </w:p>
    <w:p w14:paraId="2AA89DD3">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1.4系统具备完善的统计分析功能，可满足不同数据统计需要。并支持二次数据挖掘，支持将统计结果导出为excel文件。</w:t>
      </w:r>
    </w:p>
    <w:p w14:paraId="21BB7E6C">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▲1.5支持与院内的第三方管理信息系统进行信息对接，可以支持二维码扫描快速登录。</w:t>
      </w:r>
    </w:p>
    <w:p w14:paraId="30EDB5C0">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2.智能专家诊断报告系统</w:t>
      </w:r>
    </w:p>
    <w:p w14:paraId="2A62494A">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2.1系统支持智能分析生成专业的评测报告，快速获取并打印检查报告。</w:t>
      </w:r>
    </w:p>
    <w:p w14:paraId="17A25AC0">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2.2智能专家分析报告由用户个人信息、报告图表及分数、专家评语、专家建议四个模块构成，界面简洁，文字通俗易懂。</w:t>
      </w:r>
    </w:p>
    <w:p w14:paraId="4A803A70">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2.3个人心理体检报告出具时间支持：即时、延时、不可见。可根据体检中心内部管理流程灵活匹配。</w:t>
      </w:r>
    </w:p>
    <w:p w14:paraId="344EA77D">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2.4支持对用户的心理测评数据、心理报告进行横向比对。</w:t>
      </w:r>
    </w:p>
    <w:p w14:paraId="487C4738">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2.5可根据测评者的个人信息及组织结构、测评时间范围,或测评量表等条件进行用户档案的查询。</w:t>
      </w:r>
    </w:p>
    <w:p w14:paraId="62C4FCE5">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2.6个人报告和档案支持导出和下载，支持pdf、html等电子文档格式。</w:t>
      </w:r>
    </w:p>
    <w:p w14:paraId="3A26B6F5">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3.风险评估预警系统</w:t>
      </w:r>
    </w:p>
    <w:p w14:paraId="7A459FB4">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测评结束后，系统会自动根据危机预警标准，对满足危机预警条件的测评者标记危机标识，并且将对应的测评项及因子也标记上预警标识。管理员可对存在预警标识的测评者记录关注信息和采取相关干预措施。</w:t>
      </w:r>
    </w:p>
    <w:p w14:paraId="5C0CC043">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3.2管理员可根据多个用户和量表条件对预警用户档案或预警测评报告进行查询。</w:t>
      </w:r>
    </w:p>
    <w:p w14:paraId="7038BE8D">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▲3.3管理员可对各量表预警标准进行合理范围内的手动调整。</w:t>
      </w:r>
    </w:p>
    <w:p w14:paraId="4BF31CDC">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4.心身整体评估系统</w:t>
      </w:r>
    </w:p>
    <w:p w14:paraId="48A704A7">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4.1系统提供不少于100个心理测评量表，心理量表需覆盖人格测试、人际关系、婚恋家庭、心理健康、孕产妇、情绪状态、社会行为、职业测试、儿童青少年、智力测验、健康管理等功能分类。</w:t>
      </w:r>
    </w:p>
    <w:p w14:paraId="4A6A679D">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4.2系统支持自定义心理评估套餐, 医生可根据科室患者人群，将系统中的量表分为不同的测评套餐，在分配测评项时可快速勾选不同的测评套餐。</w:t>
      </w:r>
    </w:p>
    <w:p w14:paraId="6F15CFEB">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4.3用户可凭唯一ID号登录心理应用平台，完成心理评估，并支持自行查看个人报告。</w:t>
      </w:r>
    </w:p>
    <w:p w14:paraId="32D65B10">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4.4系统支持文字类量表的语音读题，答题过程中支持智能断点保存。</w:t>
      </w:r>
    </w:p>
    <w:p w14:paraId="647055D8">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5.心身整体干预系统</w:t>
      </w:r>
    </w:p>
    <w:p w14:paraId="449A21ED">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5.1用户完成心理评估后，平台会根据评估结果，匹配评估结果的心理个性化干预训练及心理健康促进方案，方案由音乐治疗、冥想视频、心理电子期刊、心理动漫、心理游戏等丰富的多媒体表现形式组成，可以为其提供多维多级的干预促进及辅助治疗方案。</w:t>
      </w:r>
    </w:p>
    <w:p w14:paraId="68144E7F">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5.2心身动漫干预系列不少于30个，支持每年动态免费升级，并提供升级明细。</w:t>
      </w:r>
    </w:p>
    <w:p w14:paraId="6E145053">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5.3音乐干预治疗系列不少于50个，支持每年动态免费升级，并提供升级明细。</w:t>
      </w:r>
    </w:p>
    <w:p w14:paraId="1C5A7977">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5.4心身视频干预系列不少于30个，支持每年动态免费升级，并提供升级明细。</w:t>
      </w:r>
    </w:p>
    <w:p w14:paraId="55F280B4">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5.5心身电子期刊系列不少于80期，支持每年动态免费升级，并提供升级明细。</w:t>
      </w:r>
    </w:p>
    <w:p w14:paraId="53405540">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5.6心身干预治疗游戏系列不少于20个，支持每年动态免费升级，并提供升级明细。</w:t>
      </w:r>
    </w:p>
    <w:p w14:paraId="66136C9D">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▲5.7对不同的心身问题，提供有针对性的个性化的心身干预包8个（包括情绪调试、压力控制、心理训练、积极幸福、抑郁缓解、焦虑缓解、睡眠障碍、放松减压等功能包）以上。</w:t>
      </w:r>
    </w:p>
    <w:p w14:paraId="123AA040">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5.8系统以上所提供心理治疗产品有自主知识产权；提供心理干预治疗产品定时更新后续可升级。</w:t>
      </w:r>
    </w:p>
    <w:p w14:paraId="6E22693A">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6.心身整体护理系统</w:t>
      </w:r>
    </w:p>
    <w:p w14:paraId="392BB5D4">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6.1心理护理系统采用国内HEI专业评估问卷，量表根据经典心理测量理论和项目反应理论（Item Response Theory，IRT）编制而成，由9个条目组成，具有良好的信效度。</w:t>
      </w:r>
    </w:p>
    <w:p w14:paraId="5CEB653F">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6.2能够实现对HEI的自动化预警功能，可根据不同的时间段、不同的个人信息进行组合查询，支持对预警数据的批量导出（需提供系统截图证明）。</w:t>
      </w:r>
    </w:p>
    <w:p w14:paraId="4D981CEB">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6.3实现对患者的HEI报告分级处理，分为四个不同的处理区间（无、轻度、中度、重度）。</w:t>
      </w:r>
    </w:p>
    <w:p w14:paraId="5F9A46F3">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6.4支持信息的转诊推送，并将分级处理的建议发送给相关会诊科室（如心理科）。</w:t>
      </w:r>
    </w:p>
    <w:p w14:paraId="3CA0C17A">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7.心身问题移动端宣教系统</w:t>
      </w:r>
    </w:p>
    <w:p w14:paraId="7E2B400E">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7.1该系统支持对接医院公众号，进行链接服务，也可以通过制作张贴二维码形式贴于床旁进行使用，其中平台功能需包含心身常识、慢病管理、积极心理、妇幼心理、中医促进等知识宣传栏目，支持病人通过手机进行音乐治疗、冥想训练等相关心理健康宣教。</w:t>
      </w:r>
    </w:p>
    <w:p w14:paraId="5C455803">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7.2宣传动漫视频应包含多科室的内容宣传，须包含《消化系统的心身疾病》、《内分泌系统心身疾病》、《肿瘤与心理》、《皮肤与心理》、《手术前心理护理》、《解密产后抑郁》、《慢性非传染性疾病》等动漫视频教程。</w:t>
      </w:r>
    </w:p>
    <w:p w14:paraId="6B4E5FE7">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8.医护人员培训及远程支持系统</w:t>
      </w:r>
    </w:p>
    <w:p w14:paraId="38C20194">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▲8.1为医护人员提供包含视频、文章、音频等多种形式于一体的在线学习平台，拥有全国知名心理学、临床医学与健康管理领域专家关于心理问题与心身疾病的课件，提升医护人员诊疗水平与能力。</w:t>
      </w:r>
    </w:p>
    <w:p w14:paraId="05C34A89">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8.2系统支持院内院外的远程会诊功能，可以使用此功能实现其他科室或者院外专家远程查看用户档案，审阅、解读测评报告的功能。</w:t>
      </w:r>
    </w:p>
    <w:p w14:paraId="300F0CFD">
      <w:pPr>
        <w:numPr>
          <w:ilvl w:val="0"/>
          <w:numId w:val="2"/>
        </w:num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3D医学诊疗技术及临床心理健康大数据平台</w:t>
      </w:r>
    </w:p>
    <w:p w14:paraId="4C72079F">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9.1以现代医学模式与3D整合医学为指导，运用心身整体医学诊疗技术路径,集临床医学诊疗、心理评估干预、中医体质评估与心身整体干预为一体的诊疗模式。</w:t>
      </w:r>
    </w:p>
    <w:p w14:paraId="4D9B4410">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9.2系统支持大规模数据的智能化分析、用于各类心身疾病与心理问题的学术研究，系统在全国使用医疗客户不少于50家，心理大数据平台库建设级别不低于100万原始数据。</w:t>
      </w:r>
    </w:p>
    <w:p w14:paraId="588F09D4">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10.移动心身整体护理车</w:t>
      </w:r>
    </w:p>
    <w:p w14:paraId="0278F910">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由训练系统及移动推车构成，训练系统可为住院病人提供全方位、多维度的心理训练服务。病人可在病床上享受心理平衡训练，将专业的心理训练方法图像化、音乐化、动漫化，提升住院病人身心健康水平，促进其身心康复。推车支持倾仰角正负90度调节；连接头横向正负15度旋转；支持360度自由移动；集成打印报告设备。</w:t>
      </w:r>
    </w:p>
    <w:p w14:paraId="75F795A1">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11.心身无线智能干预终端</w:t>
      </w:r>
    </w:p>
    <w:p w14:paraId="363431E2">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处理器：8核心,ARM架构；存储容量：≥64GB；系统内存：≥4GB；显示屏：屏幕尺寸≥10英寸，支持多点触控。</w:t>
      </w:r>
    </w:p>
    <w:p w14:paraId="0B6A8758">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12.配置清单</w:t>
      </w:r>
    </w:p>
    <w:p w14:paraId="10D6DF16">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12.1软件系统</w:t>
      </w:r>
    </w:p>
    <w:p w14:paraId="1E39179A">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12.1.1医生临床科室管理系统：1套</w:t>
      </w:r>
      <w:r>
        <w:rPr>
          <w:rFonts w:hint="eastAsia" w:asciiTheme="minorEastAsia" w:hAnsiTheme="minorEastAsia" w:eastAsiaTheme="minorEastAsia" w:cstheme="minorEastAsia"/>
          <w:sz w:val="24"/>
        </w:rPr>
        <w:tab/>
      </w:r>
    </w:p>
    <w:p w14:paraId="0F4B22CD">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12.1.2智能专家诊断报告系统：1套</w:t>
      </w:r>
      <w:r>
        <w:rPr>
          <w:rFonts w:hint="eastAsia" w:asciiTheme="minorEastAsia" w:hAnsiTheme="minorEastAsia" w:eastAsiaTheme="minorEastAsia" w:cstheme="minorEastAsia"/>
          <w:sz w:val="24"/>
        </w:rPr>
        <w:tab/>
      </w:r>
    </w:p>
    <w:p w14:paraId="5082BA42">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12.1.3风险评估预警系统：1套</w:t>
      </w:r>
      <w:r>
        <w:rPr>
          <w:rFonts w:hint="eastAsia" w:asciiTheme="minorEastAsia" w:hAnsiTheme="minorEastAsia" w:eastAsiaTheme="minorEastAsia" w:cstheme="minorEastAsia"/>
          <w:sz w:val="24"/>
        </w:rPr>
        <w:tab/>
      </w:r>
    </w:p>
    <w:p w14:paraId="42306120">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12.1.4心身整体评估系统：1套</w:t>
      </w:r>
      <w:r>
        <w:rPr>
          <w:rFonts w:hint="eastAsia" w:asciiTheme="minorEastAsia" w:hAnsiTheme="minorEastAsia" w:eastAsiaTheme="minorEastAsia" w:cstheme="minorEastAsia"/>
          <w:sz w:val="24"/>
        </w:rPr>
        <w:tab/>
      </w:r>
    </w:p>
    <w:p w14:paraId="550AD8B9">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12.1.5心身整体干预系统：1套</w:t>
      </w:r>
      <w:r>
        <w:rPr>
          <w:rFonts w:hint="eastAsia" w:asciiTheme="minorEastAsia" w:hAnsiTheme="minorEastAsia" w:eastAsiaTheme="minorEastAsia" w:cstheme="minorEastAsia"/>
          <w:sz w:val="24"/>
        </w:rPr>
        <w:tab/>
      </w:r>
    </w:p>
    <w:p w14:paraId="1C2911B8">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12.1.6心身整体护理系统：1套</w:t>
      </w:r>
      <w:r>
        <w:rPr>
          <w:rFonts w:hint="eastAsia" w:asciiTheme="minorEastAsia" w:hAnsiTheme="minorEastAsia" w:eastAsiaTheme="minorEastAsia" w:cstheme="minorEastAsia"/>
          <w:sz w:val="24"/>
        </w:rPr>
        <w:tab/>
      </w:r>
    </w:p>
    <w:p w14:paraId="6E997185">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12.1.7心身问题移动端宣教系统：1套</w:t>
      </w:r>
      <w:r>
        <w:rPr>
          <w:rFonts w:hint="eastAsia" w:asciiTheme="minorEastAsia" w:hAnsiTheme="minorEastAsia" w:eastAsiaTheme="minorEastAsia" w:cstheme="minorEastAsia"/>
          <w:sz w:val="24"/>
        </w:rPr>
        <w:tab/>
      </w:r>
    </w:p>
    <w:p w14:paraId="0FA4E591">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12.1.8医护人员培训及远程支持系统：1套</w:t>
      </w:r>
      <w:r>
        <w:rPr>
          <w:rFonts w:hint="eastAsia" w:asciiTheme="minorEastAsia" w:hAnsiTheme="minorEastAsia" w:eastAsiaTheme="minorEastAsia" w:cstheme="minorEastAsia"/>
          <w:sz w:val="24"/>
        </w:rPr>
        <w:tab/>
      </w:r>
    </w:p>
    <w:p w14:paraId="4407B508">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12.2系统平台内容</w:t>
      </w:r>
    </w:p>
    <w:p w14:paraId="76B8C713">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12.2.1心理测评量表系列：100个</w:t>
      </w:r>
      <w:r>
        <w:rPr>
          <w:rFonts w:hint="eastAsia" w:asciiTheme="minorEastAsia" w:hAnsiTheme="minorEastAsia" w:eastAsiaTheme="minorEastAsia" w:cstheme="minorEastAsia"/>
          <w:sz w:val="24"/>
        </w:rPr>
        <w:tab/>
      </w:r>
    </w:p>
    <w:p w14:paraId="29BA1592">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12.2.2心身动漫干预系列：30个</w:t>
      </w:r>
      <w:r>
        <w:rPr>
          <w:rFonts w:hint="eastAsia" w:asciiTheme="minorEastAsia" w:hAnsiTheme="minorEastAsia" w:eastAsiaTheme="minorEastAsia" w:cstheme="minorEastAsia"/>
          <w:sz w:val="24"/>
        </w:rPr>
        <w:tab/>
      </w:r>
    </w:p>
    <w:p w14:paraId="62DA4AA5">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12.2.3音乐干预治疗系列：50个</w:t>
      </w:r>
      <w:r>
        <w:rPr>
          <w:rFonts w:hint="eastAsia" w:asciiTheme="minorEastAsia" w:hAnsiTheme="minorEastAsia" w:eastAsiaTheme="minorEastAsia" w:cstheme="minorEastAsia"/>
          <w:sz w:val="24"/>
        </w:rPr>
        <w:tab/>
      </w:r>
    </w:p>
    <w:p w14:paraId="6B6E7627">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12.2.4心身视频干预系列：30个</w:t>
      </w:r>
      <w:r>
        <w:rPr>
          <w:rFonts w:hint="eastAsia" w:asciiTheme="minorEastAsia" w:hAnsiTheme="minorEastAsia" w:eastAsiaTheme="minorEastAsia" w:cstheme="minorEastAsia"/>
          <w:sz w:val="24"/>
        </w:rPr>
        <w:tab/>
      </w:r>
    </w:p>
    <w:p w14:paraId="07B7AAAF">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12.2.5心身电子期刊系列：80期</w:t>
      </w:r>
      <w:r>
        <w:rPr>
          <w:rFonts w:hint="eastAsia" w:asciiTheme="minorEastAsia" w:hAnsiTheme="minorEastAsia" w:eastAsiaTheme="minorEastAsia" w:cstheme="minorEastAsia"/>
          <w:sz w:val="24"/>
        </w:rPr>
        <w:tab/>
      </w:r>
    </w:p>
    <w:p w14:paraId="2C1BC06F">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12.2.6心身干预治疗游戏系列：20个</w:t>
      </w:r>
      <w:r>
        <w:rPr>
          <w:rFonts w:hint="eastAsia" w:asciiTheme="minorEastAsia" w:hAnsiTheme="minorEastAsia" w:eastAsiaTheme="minorEastAsia" w:cstheme="minorEastAsia"/>
          <w:sz w:val="24"/>
        </w:rPr>
        <w:tab/>
      </w:r>
    </w:p>
    <w:p w14:paraId="3FB23964">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12.3心身个性化干预包</w:t>
      </w:r>
    </w:p>
    <w:p w14:paraId="33508DB7">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12.3.1情绪调试：1套</w:t>
      </w:r>
      <w:r>
        <w:rPr>
          <w:rFonts w:hint="eastAsia" w:asciiTheme="minorEastAsia" w:hAnsiTheme="minorEastAsia" w:eastAsiaTheme="minorEastAsia" w:cstheme="minorEastAsia"/>
          <w:sz w:val="24"/>
        </w:rPr>
        <w:tab/>
      </w:r>
    </w:p>
    <w:p w14:paraId="34597DE6">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12.3.2压力控制：1套</w:t>
      </w:r>
      <w:r>
        <w:rPr>
          <w:rFonts w:hint="eastAsia" w:asciiTheme="minorEastAsia" w:hAnsiTheme="minorEastAsia" w:eastAsiaTheme="minorEastAsia" w:cstheme="minorEastAsia"/>
          <w:sz w:val="24"/>
        </w:rPr>
        <w:tab/>
      </w:r>
    </w:p>
    <w:p w14:paraId="683FA0EA">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12.3.3心理训练：1套</w:t>
      </w:r>
      <w:r>
        <w:rPr>
          <w:rFonts w:hint="eastAsia" w:asciiTheme="minorEastAsia" w:hAnsiTheme="minorEastAsia" w:eastAsiaTheme="minorEastAsia" w:cstheme="minorEastAsia"/>
          <w:sz w:val="24"/>
        </w:rPr>
        <w:tab/>
      </w:r>
    </w:p>
    <w:p w14:paraId="6C0D3255">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12.3.4积极幸福：1套</w:t>
      </w:r>
      <w:r>
        <w:rPr>
          <w:rFonts w:hint="eastAsia" w:asciiTheme="minorEastAsia" w:hAnsiTheme="minorEastAsia" w:eastAsiaTheme="minorEastAsia" w:cstheme="minorEastAsia"/>
          <w:sz w:val="24"/>
        </w:rPr>
        <w:tab/>
      </w:r>
    </w:p>
    <w:p w14:paraId="5150D459">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12.3.5抑郁缓解：1套</w:t>
      </w:r>
      <w:r>
        <w:rPr>
          <w:rFonts w:hint="eastAsia" w:asciiTheme="minorEastAsia" w:hAnsiTheme="minorEastAsia" w:eastAsiaTheme="minorEastAsia" w:cstheme="minorEastAsia"/>
          <w:sz w:val="24"/>
        </w:rPr>
        <w:tab/>
      </w:r>
    </w:p>
    <w:p w14:paraId="24EF42B6">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12.3.6焦虑缓解：1套</w:t>
      </w:r>
      <w:r>
        <w:rPr>
          <w:rFonts w:hint="eastAsia" w:asciiTheme="minorEastAsia" w:hAnsiTheme="minorEastAsia" w:eastAsiaTheme="minorEastAsia" w:cstheme="minorEastAsia"/>
          <w:sz w:val="24"/>
        </w:rPr>
        <w:tab/>
      </w:r>
    </w:p>
    <w:p w14:paraId="09DEF492">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12.3.7睡眠障碍：1套</w:t>
      </w:r>
      <w:r>
        <w:rPr>
          <w:rFonts w:hint="eastAsia" w:asciiTheme="minorEastAsia" w:hAnsiTheme="minorEastAsia" w:eastAsiaTheme="minorEastAsia" w:cstheme="minorEastAsia"/>
          <w:sz w:val="24"/>
        </w:rPr>
        <w:tab/>
      </w:r>
    </w:p>
    <w:p w14:paraId="49593E36">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12.3.8放松减压：1套</w:t>
      </w:r>
      <w:r>
        <w:rPr>
          <w:rFonts w:hint="eastAsia" w:asciiTheme="minorEastAsia" w:hAnsiTheme="minorEastAsia" w:eastAsiaTheme="minorEastAsia" w:cstheme="minorEastAsia"/>
          <w:sz w:val="24"/>
        </w:rPr>
        <w:tab/>
      </w:r>
    </w:p>
    <w:p w14:paraId="7FB467CB">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12.4硬件部分 </w:t>
      </w:r>
    </w:p>
    <w:p w14:paraId="46FED034">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12.4.1移动心身整体护理车：1台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 xml:space="preserve">          </w:t>
      </w:r>
    </w:p>
    <w:p w14:paraId="388645AA">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12.4.2心身无线智能干预终端：2台</w:t>
      </w:r>
      <w:r>
        <w:rPr>
          <w:rFonts w:hint="eastAsia" w:asciiTheme="minorEastAsia" w:hAnsiTheme="minorEastAsia" w:eastAsiaTheme="minorEastAsia" w:cstheme="minorEastAsia"/>
          <w:sz w:val="24"/>
        </w:rPr>
        <w:tab/>
      </w:r>
    </w:p>
    <w:p w14:paraId="122B5E62">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12.4.3报告打印机：1台</w:t>
      </w:r>
      <w:r>
        <w:rPr>
          <w:rFonts w:hint="eastAsia" w:asciiTheme="minorEastAsia" w:hAnsiTheme="minorEastAsia" w:eastAsiaTheme="minorEastAsia" w:cstheme="minorEastAsia"/>
          <w:sz w:val="24"/>
        </w:rPr>
        <w:tab/>
      </w:r>
    </w:p>
    <w:p w14:paraId="24D07DFD">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12.4.4配件（动态口令牌、无线路由、耳机、转椅）：1套</w:t>
      </w:r>
    </w:p>
    <w:p w14:paraId="33D9EC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2707E"/>
    <w:multiLevelType w:val="singleLevel"/>
    <w:tmpl w:val="D212707E"/>
    <w:lvl w:ilvl="0" w:tentative="0">
      <w:start w:val="9"/>
      <w:numFmt w:val="decimal"/>
      <w:suff w:val="space"/>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FC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2025-12-31T02:06:27Z</dcterms:created>
  <dc:creator>Luna</dc:creator>
  <cp:lastModifiedBy>HP</cp:lastModifiedBy>
  <dcterms:modified xsi:type="dcterms:W3CDTF">2025-12-31T02:06:55Z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eyJoZGlkIjoiMDU4MWRkZDVlYzU1YTFjMjhlMGU0YTU1YzE5NWNiY2QiLCJ1c2VySWQiOiIxNjUzNTUzNDU2In0=</vt:lpwstr>
  </property>
  <property fmtid="{D5CDD505-2E9C-101B-9397-08002B2CF9AE}" pid="4" name="ICV">
    <vt:lpwstr>37F1223CA60C4A8CBDE6A7CC56B1BE61_12</vt:lpwstr>
  </property>
</Properties>
</file>