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36D9F3">
      <w:pPr>
        <w:spacing w:line="360" w:lineRule="auto"/>
        <w:jc w:val="center"/>
        <w:outlineLvl w:val="0"/>
        <w:rPr>
          <w:b/>
          <w:sz w:val="36"/>
          <w:szCs w:val="36"/>
          <w:highlight w:val="none"/>
        </w:rPr>
      </w:pPr>
      <w:r>
        <w:rPr>
          <w:b/>
          <w:sz w:val="36"/>
          <w:szCs w:val="36"/>
          <w:highlight w:val="none"/>
        </w:rPr>
        <w:t xml:space="preserve"> 采购需求</w:t>
      </w:r>
    </w:p>
    <w:p w14:paraId="2AC1EDE1">
      <w:pPr>
        <w:spacing w:line="360" w:lineRule="auto"/>
        <w:contextualSpacing/>
        <w:rPr>
          <w:sz w:val="24"/>
          <w:highlight w:val="none"/>
        </w:rPr>
      </w:pPr>
    </w:p>
    <w:p w14:paraId="20443590">
      <w:pPr>
        <w:jc w:val="center"/>
        <w:rPr>
          <w:rFonts w:ascii="仿宋" w:hAnsi="仿宋" w:eastAsia="仿宋" w:cs="仿宋"/>
          <w:sz w:val="28"/>
          <w:szCs w:val="28"/>
          <w:highlight w:val="none"/>
        </w:rPr>
      </w:pPr>
      <w:bookmarkStart w:id="0" w:name="_Toc483665782"/>
      <w:r>
        <w:rPr>
          <w:rFonts w:hint="eastAsia" w:ascii="仿宋" w:hAnsi="仿宋" w:eastAsia="仿宋" w:cs="仿宋"/>
          <w:b/>
          <w:bCs/>
          <w:sz w:val="28"/>
          <w:szCs w:val="28"/>
          <w:highlight w:val="none"/>
        </w:rPr>
        <w:t>物业服</w:t>
      </w:r>
      <w:bookmarkStart w:id="68" w:name="_GoBack"/>
      <w:bookmarkEnd w:id="68"/>
      <w:r>
        <w:rPr>
          <w:rFonts w:hint="eastAsia" w:ascii="仿宋" w:hAnsi="仿宋" w:eastAsia="仿宋" w:cs="仿宋"/>
          <w:b/>
          <w:bCs/>
          <w:sz w:val="28"/>
          <w:szCs w:val="28"/>
          <w:highlight w:val="none"/>
        </w:rPr>
        <w:t>务内容及要求</w:t>
      </w:r>
      <w:bookmarkEnd w:id="0"/>
    </w:p>
    <w:p w14:paraId="6D2570D2">
      <w:pPr>
        <w:spacing w:line="577" w:lineRule="exact"/>
        <w:ind w:firstLine="482" w:firstLineChars="200"/>
        <w:rPr>
          <w:rFonts w:ascii="仿宋" w:hAnsi="仿宋" w:eastAsia="仿宋" w:cs="仿宋"/>
          <w:b/>
          <w:bCs/>
          <w:sz w:val="24"/>
          <w:highlight w:val="none"/>
        </w:rPr>
      </w:pPr>
      <w:bookmarkStart w:id="1" w:name="_Toc424488089"/>
      <w:bookmarkStart w:id="2" w:name="_Toc17802066"/>
      <w:r>
        <w:rPr>
          <w:rFonts w:hint="eastAsia" w:ascii="仿宋" w:hAnsi="仿宋" w:eastAsia="仿宋" w:cs="仿宋"/>
          <w:b/>
          <w:bCs/>
          <w:sz w:val="24"/>
          <w:highlight w:val="none"/>
        </w:rPr>
        <w:t>一、物业项目概况</w:t>
      </w:r>
    </w:p>
    <w:p w14:paraId="62E56200">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1.项目名称：北京农业职业学院2026年香山校区、清河校区物业服务采购项目</w:t>
      </w:r>
    </w:p>
    <w:p w14:paraId="1460A538">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2.项目金额：18</w:t>
      </w:r>
      <w:r>
        <w:rPr>
          <w:rFonts w:ascii="仿宋" w:hAnsi="仿宋" w:eastAsia="仿宋" w:cs="仿宋"/>
          <w:sz w:val="24"/>
          <w:highlight w:val="none"/>
        </w:rPr>
        <w:t>0</w:t>
      </w:r>
      <w:r>
        <w:rPr>
          <w:rFonts w:hint="eastAsia" w:ascii="仿宋" w:hAnsi="仿宋" w:eastAsia="仿宋" w:cs="仿宋"/>
          <w:sz w:val="24"/>
          <w:highlight w:val="none"/>
        </w:rPr>
        <w:t>万元/年</w:t>
      </w:r>
    </w:p>
    <w:p w14:paraId="3C2B59FD">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3.项目位置：两校区坐落位置分别为</w:t>
      </w:r>
    </w:p>
    <w:p w14:paraId="6657A596">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香山校区：北京市海淀区香山普安店29号</w:t>
      </w:r>
    </w:p>
    <w:p w14:paraId="12FA7846">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清河校区：北京市昌平区二拨子村南</w:t>
      </w:r>
    </w:p>
    <w:p w14:paraId="0F41D021">
      <w:pPr>
        <w:numPr>
          <w:ilvl w:val="0"/>
          <w:numId w:val="1"/>
        </w:numPr>
        <w:spacing w:line="577" w:lineRule="exact"/>
        <w:ind w:firstLine="0" w:firstLineChars="0"/>
        <w:rPr>
          <w:rFonts w:ascii="仿宋" w:hAnsi="仿宋" w:eastAsia="仿宋" w:cs="仿宋"/>
          <w:sz w:val="24"/>
          <w:highlight w:val="none"/>
        </w:rPr>
      </w:pPr>
      <w:r>
        <w:rPr>
          <w:rFonts w:hint="eastAsia" w:ascii="仿宋" w:hAnsi="仿宋" w:eastAsia="仿宋" w:cs="仿宋"/>
          <w:sz w:val="24"/>
          <w:highlight w:val="none"/>
        </w:rPr>
        <w:t>服务内容：包括室内（含教室）、外保洁与消毒、校园绿化与养护、生活垃圾分类管理与外运、化肥池清掏与外运、电梯维护与年检、水电维修服务等内容。</w:t>
      </w:r>
      <w:bookmarkEnd w:id="1"/>
      <w:bookmarkEnd w:id="2"/>
    </w:p>
    <w:p w14:paraId="51B6EFA6">
      <w:pPr>
        <w:keepNext/>
        <w:keepLines/>
        <w:spacing w:before="10" w:after="10" w:line="360" w:lineRule="auto"/>
        <w:outlineLvl w:val="0"/>
        <w:rPr>
          <w:rFonts w:eastAsia="黑体"/>
          <w:b/>
          <w:kern w:val="44"/>
          <w:sz w:val="24"/>
          <w:highlight w:val="none"/>
        </w:rPr>
      </w:pPr>
      <w:bookmarkStart w:id="3" w:name="_Toc10878"/>
      <w:r>
        <w:rPr>
          <w:rFonts w:hint="eastAsia" w:eastAsia="黑体"/>
          <w:b/>
          <w:kern w:val="44"/>
          <w:sz w:val="24"/>
          <w:highlight w:val="none"/>
        </w:rPr>
        <w:t>　　</w:t>
      </w:r>
    </w:p>
    <w:p w14:paraId="1C1E105B">
      <w:pPr>
        <w:keepNext/>
        <w:keepLines/>
        <w:spacing w:before="10" w:after="10" w:line="360" w:lineRule="auto"/>
        <w:outlineLvl w:val="0"/>
        <w:rPr>
          <w:rFonts w:eastAsia="黑体"/>
          <w:b/>
          <w:kern w:val="44"/>
          <w:sz w:val="24"/>
          <w:highlight w:val="none"/>
        </w:rPr>
      </w:pPr>
      <w:r>
        <w:rPr>
          <w:rFonts w:hint="eastAsia" w:eastAsia="黑体"/>
          <w:b/>
          <w:kern w:val="44"/>
          <w:sz w:val="24"/>
          <w:highlight w:val="none"/>
        </w:rPr>
        <w:t>　　</w:t>
      </w:r>
      <w:r>
        <w:rPr>
          <w:rFonts w:hint="eastAsia" w:ascii="仿宋" w:hAnsi="仿宋" w:eastAsia="仿宋" w:cs="仿宋"/>
          <w:b/>
          <w:bCs/>
          <w:kern w:val="2"/>
          <w:sz w:val="24"/>
          <w:highlight w:val="none"/>
        </w:rPr>
        <w:t>二、规范性引用文件</w:t>
      </w:r>
      <w:bookmarkEnd w:id="3"/>
    </w:p>
    <w:p w14:paraId="182364AB">
      <w:pPr>
        <w:keepNext/>
        <w:keepLines/>
        <w:snapToGrid w:val="0"/>
        <w:spacing w:before="120" w:after="120" w:line="360" w:lineRule="auto"/>
        <w:ind w:firstLine="482" w:firstLineChars="200"/>
        <w:outlineLvl w:val="1"/>
        <w:rPr>
          <w:rFonts w:ascii="楷体_GB2312" w:eastAsia="楷体_GB2312"/>
          <w:b/>
          <w:sz w:val="24"/>
          <w:highlight w:val="none"/>
        </w:rPr>
      </w:pPr>
      <w:bookmarkStart w:id="4" w:name="_Toc4747"/>
      <w:r>
        <w:rPr>
          <w:rFonts w:hint="eastAsia" w:ascii="楷体_GB2312" w:eastAsia="楷体"/>
          <w:b/>
          <w:sz w:val="24"/>
          <w:highlight w:val="none"/>
        </w:rPr>
        <w:t>（一）国家及北京市有关政策</w:t>
      </w:r>
      <w:bookmarkEnd w:id="4"/>
    </w:p>
    <w:p w14:paraId="6E7F5E2F">
      <w:pPr>
        <w:widowControl/>
        <w:spacing w:line="360" w:lineRule="auto"/>
        <w:ind w:firstLine="480" w:firstLineChars="200"/>
        <w:rPr>
          <w:rFonts w:ascii="宋体" w:hAnsi="宋体"/>
          <w:sz w:val="24"/>
          <w:highlight w:val="none"/>
        </w:rPr>
      </w:pPr>
      <w:r>
        <w:rPr>
          <w:rFonts w:hint="eastAsia" w:ascii="宋体" w:hAnsi="宋体"/>
          <w:sz w:val="24"/>
          <w:highlight w:val="none"/>
        </w:rPr>
        <w:t>1.《中华人民共和国消防法》中华人民共和国主席令第六号</w:t>
      </w:r>
    </w:p>
    <w:p w14:paraId="1CB82AE9">
      <w:pPr>
        <w:snapToGrid w:val="0"/>
        <w:spacing w:line="360" w:lineRule="auto"/>
        <w:ind w:firstLine="480" w:firstLineChars="200"/>
        <w:rPr>
          <w:rFonts w:ascii="宋体" w:hAnsi="宋体"/>
          <w:sz w:val="24"/>
          <w:highlight w:val="none"/>
        </w:rPr>
      </w:pPr>
      <w:r>
        <w:rPr>
          <w:rFonts w:hint="eastAsia" w:ascii="宋体" w:hAnsi="宋体"/>
          <w:sz w:val="24"/>
          <w:highlight w:val="none"/>
        </w:rPr>
        <w:t>2.《中华人民共和国特种设备安全法》中华人民共和国主席令第四号</w:t>
      </w:r>
    </w:p>
    <w:p w14:paraId="1398047E">
      <w:pPr>
        <w:spacing w:line="360" w:lineRule="auto"/>
        <w:ind w:firstLine="480" w:firstLineChars="200"/>
        <w:rPr>
          <w:rFonts w:ascii="宋体" w:hAnsi="宋体"/>
          <w:sz w:val="24"/>
          <w:highlight w:val="none"/>
        </w:rPr>
      </w:pPr>
      <w:r>
        <w:rPr>
          <w:rFonts w:hint="eastAsia" w:ascii="宋体" w:hAnsi="宋体"/>
          <w:sz w:val="24"/>
          <w:highlight w:val="none"/>
        </w:rPr>
        <w:t>3.《物业管理条例》中华人民共和国国务院令第379号</w:t>
      </w:r>
    </w:p>
    <w:p w14:paraId="7C01DF36">
      <w:pPr>
        <w:spacing w:line="360" w:lineRule="auto"/>
        <w:ind w:firstLine="480" w:firstLineChars="200"/>
        <w:rPr>
          <w:rFonts w:ascii="宋体" w:hAnsi="宋体"/>
          <w:sz w:val="24"/>
          <w:highlight w:val="none"/>
        </w:rPr>
      </w:pPr>
      <w:r>
        <w:rPr>
          <w:rFonts w:hint="eastAsia" w:ascii="宋体" w:hAnsi="宋体"/>
          <w:sz w:val="24"/>
          <w:highlight w:val="none"/>
        </w:rPr>
        <w:t>4.《保安服务管理条例》中华人民共和国国务院令第564号</w:t>
      </w:r>
    </w:p>
    <w:p w14:paraId="3507DA34">
      <w:pPr>
        <w:spacing w:line="360" w:lineRule="auto"/>
        <w:ind w:firstLine="480" w:firstLineChars="200"/>
        <w:rPr>
          <w:rFonts w:ascii="宋体" w:hAnsi="宋体"/>
          <w:sz w:val="24"/>
          <w:highlight w:val="none"/>
        </w:rPr>
      </w:pPr>
      <w:r>
        <w:rPr>
          <w:rFonts w:hint="eastAsia" w:ascii="宋体" w:hAnsi="宋体"/>
          <w:sz w:val="24"/>
          <w:highlight w:val="none"/>
        </w:rPr>
        <w:t>5.《机关、团体、企业、事业单位消防安全管理规定》中华人民共和国公安部第61号令</w:t>
      </w:r>
    </w:p>
    <w:p w14:paraId="69689881">
      <w:pPr>
        <w:spacing w:line="360" w:lineRule="auto"/>
        <w:ind w:firstLine="480" w:firstLineChars="200"/>
        <w:rPr>
          <w:rFonts w:ascii="宋体" w:hAnsi="宋体"/>
          <w:sz w:val="24"/>
          <w:highlight w:val="none"/>
        </w:rPr>
      </w:pPr>
      <w:r>
        <w:rPr>
          <w:rFonts w:hint="eastAsia" w:ascii="宋体" w:hAnsi="宋体"/>
          <w:sz w:val="24"/>
          <w:highlight w:val="none"/>
        </w:rPr>
        <w:t>6.《消防监督检查规定》中华人民共和国公安部令第107号</w:t>
      </w:r>
    </w:p>
    <w:p w14:paraId="23242355">
      <w:pPr>
        <w:spacing w:line="360" w:lineRule="auto"/>
        <w:ind w:firstLine="480" w:firstLineChars="200"/>
        <w:rPr>
          <w:rFonts w:ascii="宋体" w:hAnsi="宋体"/>
          <w:sz w:val="24"/>
          <w:highlight w:val="none"/>
        </w:rPr>
      </w:pPr>
      <w:r>
        <w:rPr>
          <w:rFonts w:hint="eastAsia" w:ascii="宋体" w:hAnsi="宋体"/>
          <w:sz w:val="24"/>
          <w:highlight w:val="none"/>
        </w:rPr>
        <w:t>7.《城市生活垃圾管理办法》中华人民共和国建设部令第157号</w:t>
      </w:r>
    </w:p>
    <w:p w14:paraId="43B18262">
      <w:pPr>
        <w:spacing w:line="360" w:lineRule="auto"/>
        <w:ind w:firstLine="480" w:firstLineChars="200"/>
        <w:rPr>
          <w:rFonts w:ascii="宋体" w:hAnsi="宋体"/>
          <w:sz w:val="24"/>
          <w:highlight w:val="none"/>
        </w:rPr>
      </w:pPr>
      <w:r>
        <w:rPr>
          <w:rFonts w:hint="eastAsia" w:ascii="宋体" w:hAnsi="宋体"/>
          <w:sz w:val="24"/>
          <w:highlight w:val="none"/>
        </w:rPr>
        <w:t>8.《政府采购需求管理办法》(财库〔2021〕22号)</w:t>
      </w:r>
    </w:p>
    <w:p w14:paraId="7B3CCC6C">
      <w:pPr>
        <w:spacing w:line="360" w:lineRule="auto"/>
        <w:ind w:firstLine="480" w:firstLineChars="200"/>
        <w:rPr>
          <w:rFonts w:ascii="宋体" w:hAnsi="宋体"/>
          <w:sz w:val="24"/>
          <w:highlight w:val="none"/>
        </w:rPr>
      </w:pPr>
      <w:r>
        <w:rPr>
          <w:rFonts w:hint="eastAsia" w:ascii="宋体" w:hAnsi="宋体"/>
          <w:sz w:val="24"/>
          <w:highlight w:val="none"/>
        </w:rPr>
        <w:t>9.《关于促进政府采购公平竞争优化营商环境的通知》（财库〔2019〕38号）</w:t>
      </w:r>
    </w:p>
    <w:p w14:paraId="03AF17B7">
      <w:pPr>
        <w:spacing w:line="360" w:lineRule="auto"/>
        <w:ind w:firstLine="480" w:firstLineChars="200"/>
        <w:rPr>
          <w:rFonts w:ascii="宋体" w:hAnsi="宋体"/>
          <w:sz w:val="24"/>
          <w:highlight w:val="none"/>
        </w:rPr>
      </w:pPr>
      <w:r>
        <w:rPr>
          <w:rFonts w:hint="eastAsia" w:ascii="宋体" w:hAnsi="宋体"/>
          <w:sz w:val="24"/>
          <w:highlight w:val="none"/>
        </w:rPr>
        <w:t>10.《关于进一步提高政府采购透明度和采购效率相关事项的通知》（财办库〔2023〕243号）</w:t>
      </w:r>
    </w:p>
    <w:p w14:paraId="588079D0">
      <w:pPr>
        <w:spacing w:line="360" w:lineRule="auto"/>
        <w:ind w:firstLine="480" w:firstLineChars="200"/>
        <w:rPr>
          <w:rFonts w:eastAsia="仿宋"/>
          <w:sz w:val="24"/>
          <w:highlight w:val="none"/>
        </w:rPr>
      </w:pPr>
      <w:r>
        <w:rPr>
          <w:rFonts w:hint="eastAsia" w:ascii="宋体" w:hAnsi="宋体"/>
          <w:sz w:val="24"/>
          <w:highlight w:val="none"/>
        </w:rPr>
        <w:t>11.《北京市物业管理条例》（2024修正）</w:t>
      </w:r>
    </w:p>
    <w:p w14:paraId="05BBA75F">
      <w:pPr>
        <w:spacing w:line="360" w:lineRule="auto"/>
        <w:ind w:firstLine="480" w:firstLineChars="200"/>
        <w:rPr>
          <w:rFonts w:ascii="宋体" w:hAnsi="宋体"/>
          <w:sz w:val="24"/>
          <w:highlight w:val="none"/>
        </w:rPr>
      </w:pPr>
      <w:r>
        <w:rPr>
          <w:rFonts w:hint="eastAsia" w:ascii="宋体" w:hAnsi="宋体"/>
          <w:sz w:val="24"/>
          <w:highlight w:val="none"/>
        </w:rPr>
        <w:t>12.《北京市财政局关于印发&lt;北京市政府采购负面清单&gt;的通知》（京财采购〔2020〕1345号）</w:t>
      </w:r>
    </w:p>
    <w:p w14:paraId="4BDD637E">
      <w:pPr>
        <w:spacing w:line="360" w:lineRule="auto"/>
        <w:ind w:firstLine="480" w:firstLineChars="200"/>
        <w:rPr>
          <w:rFonts w:ascii="宋体" w:hAnsi="宋体"/>
          <w:sz w:val="24"/>
          <w:highlight w:val="none"/>
        </w:rPr>
      </w:pPr>
      <w:r>
        <w:rPr>
          <w:rFonts w:hint="eastAsia" w:ascii="宋体" w:hAnsi="宋体"/>
          <w:sz w:val="24"/>
          <w:highlight w:val="none"/>
        </w:rPr>
        <w:t>13.《北京市财政局关于落实好政府采购支持中小企业发展的通知》（京财采购〔2022〕1143号）</w:t>
      </w:r>
    </w:p>
    <w:p w14:paraId="4392316F">
      <w:pPr>
        <w:spacing w:line="360" w:lineRule="auto"/>
        <w:ind w:firstLine="480" w:firstLineChars="200"/>
        <w:rPr>
          <w:rFonts w:ascii="宋体" w:hAnsi="宋体"/>
          <w:sz w:val="24"/>
          <w:highlight w:val="none"/>
        </w:rPr>
      </w:pPr>
      <w:r>
        <w:rPr>
          <w:rFonts w:hint="eastAsia" w:ascii="宋体" w:hAnsi="宋体"/>
          <w:sz w:val="24"/>
          <w:highlight w:val="none"/>
        </w:rPr>
        <w:t>14.《北京市教育委员会关于&lt;印发北京高校标准化公寓、食堂和物业标准（2016版）进一步推进高校后勤标准化建设工作&gt;的通知》（京教勤〔2016〕6号）</w:t>
      </w:r>
    </w:p>
    <w:p w14:paraId="0A98D6AC">
      <w:pPr>
        <w:spacing w:line="360" w:lineRule="auto"/>
        <w:ind w:firstLine="480" w:firstLineChars="200"/>
        <w:rPr>
          <w:rFonts w:ascii="宋体" w:hAnsi="宋体"/>
          <w:sz w:val="24"/>
          <w:highlight w:val="none"/>
        </w:rPr>
      </w:pPr>
      <w:r>
        <w:rPr>
          <w:rFonts w:hint="eastAsia" w:ascii="宋体" w:hAnsi="宋体"/>
          <w:sz w:val="24"/>
          <w:highlight w:val="none"/>
        </w:rPr>
        <w:t>15.《北京市教育委员会关于印发&lt;2024年度本市教育系统工程建设领域安全管理工作要点&gt;的通知》（京教建〔2024〕4号）</w:t>
      </w:r>
    </w:p>
    <w:p w14:paraId="2C879D51">
      <w:pPr>
        <w:snapToGrid w:val="0"/>
        <w:spacing w:line="360" w:lineRule="auto"/>
        <w:ind w:firstLine="480" w:firstLineChars="200"/>
        <w:rPr>
          <w:rFonts w:ascii="宋体" w:hAnsi="宋体"/>
          <w:sz w:val="24"/>
          <w:highlight w:val="none"/>
        </w:rPr>
      </w:pPr>
      <w:r>
        <w:rPr>
          <w:rFonts w:hint="eastAsia" w:ascii="宋体" w:hAnsi="宋体"/>
          <w:sz w:val="24"/>
          <w:highlight w:val="none"/>
        </w:rPr>
        <w:t>16.《北京市教育委员会北京市消防救援总队转发教育部办公厅国家消防救援局办公室关于印发&lt;中小学校、幼儿园消防安全十项规定&gt;的通知》（京教勤〔2024〕10号）</w:t>
      </w:r>
    </w:p>
    <w:p w14:paraId="532E2742">
      <w:pPr>
        <w:spacing w:line="360" w:lineRule="auto"/>
        <w:ind w:firstLine="480" w:firstLineChars="200"/>
        <w:rPr>
          <w:rFonts w:ascii="宋体" w:hAnsi="宋体"/>
          <w:sz w:val="24"/>
          <w:highlight w:val="none"/>
        </w:rPr>
      </w:pPr>
      <w:r>
        <w:rPr>
          <w:rFonts w:hint="eastAsia" w:ascii="宋体" w:hAnsi="宋体"/>
          <w:sz w:val="24"/>
          <w:highlight w:val="none"/>
        </w:rPr>
        <w:t>17.《北京市机关事务管理局北京市财政局等六部门关于印发&lt;北京市节约型机关创建行动方案&gt;的通知》（京机管发〔2020〕15号）</w:t>
      </w:r>
    </w:p>
    <w:p w14:paraId="1DABDDD9">
      <w:pPr>
        <w:spacing w:line="360" w:lineRule="auto"/>
        <w:ind w:firstLine="480" w:firstLineChars="200"/>
        <w:rPr>
          <w:rFonts w:ascii="宋体" w:hAnsi="宋体"/>
          <w:sz w:val="24"/>
          <w:highlight w:val="none"/>
        </w:rPr>
      </w:pPr>
      <w:r>
        <w:rPr>
          <w:rFonts w:hint="eastAsia" w:ascii="宋体" w:hAnsi="宋体"/>
          <w:sz w:val="24"/>
          <w:highlight w:val="none"/>
        </w:rPr>
        <w:t>18.《北京市住建委关于印发&lt;房屋建筑安全管理员管理办法&gt;的通知》（京建法〔2017〕30号）</w:t>
      </w:r>
    </w:p>
    <w:p w14:paraId="5F948444">
      <w:pPr>
        <w:spacing w:line="360" w:lineRule="auto"/>
        <w:ind w:firstLine="480" w:firstLineChars="200"/>
        <w:rPr>
          <w:rFonts w:ascii="宋体" w:hAnsi="宋体"/>
          <w:sz w:val="24"/>
          <w:highlight w:val="none"/>
        </w:rPr>
      </w:pPr>
      <w:r>
        <w:rPr>
          <w:rFonts w:hint="eastAsia" w:ascii="宋体" w:hAnsi="宋体"/>
          <w:sz w:val="24"/>
          <w:highlight w:val="none"/>
        </w:rPr>
        <w:t>19.《北京市发展改革委北京市城市管理委员会等四部门&lt;关于印发北京市党政机关、国有企事业单位办公建筑外观照明强化节能导则(试行)&gt;的通知》（京发改〔2022〕88号）</w:t>
      </w:r>
    </w:p>
    <w:p w14:paraId="20829628">
      <w:pPr>
        <w:spacing w:line="360" w:lineRule="auto"/>
        <w:ind w:firstLine="480" w:firstLineChars="200"/>
        <w:rPr>
          <w:rFonts w:ascii="宋体" w:hAnsi="宋体"/>
          <w:sz w:val="24"/>
          <w:highlight w:val="none"/>
        </w:rPr>
      </w:pPr>
      <w:r>
        <w:rPr>
          <w:rFonts w:hint="eastAsia" w:ascii="宋体" w:hAnsi="宋体"/>
          <w:sz w:val="24"/>
          <w:highlight w:val="none"/>
        </w:rPr>
        <w:t>20.《北京市发展改革委北京市住建委等四部门&lt;关于印发北京市公共场所室内温度控制导则（试行）&gt;的通知》（京发改〔2022〕1673号）</w:t>
      </w:r>
    </w:p>
    <w:p w14:paraId="23B880F5">
      <w:pPr>
        <w:spacing w:line="360" w:lineRule="auto"/>
        <w:ind w:firstLine="480" w:firstLineChars="200"/>
        <w:rPr>
          <w:rFonts w:eastAsia="仿宋"/>
          <w:sz w:val="24"/>
          <w:highlight w:val="none"/>
        </w:rPr>
      </w:pPr>
      <w:r>
        <w:rPr>
          <w:rFonts w:hint="eastAsia" w:eastAsia="仿宋"/>
          <w:sz w:val="24"/>
          <w:highlight w:val="none"/>
        </w:rPr>
        <w:t>......</w:t>
      </w:r>
    </w:p>
    <w:p w14:paraId="7E2BF4EB">
      <w:pPr>
        <w:keepNext/>
        <w:keepLines/>
        <w:snapToGrid w:val="0"/>
        <w:spacing w:before="120" w:after="120" w:line="360" w:lineRule="auto"/>
        <w:ind w:firstLine="482" w:firstLineChars="200"/>
        <w:outlineLvl w:val="1"/>
        <w:rPr>
          <w:rFonts w:ascii="楷体_GB2312" w:eastAsia="楷体_GB2312"/>
          <w:b/>
          <w:sz w:val="24"/>
          <w:highlight w:val="none"/>
        </w:rPr>
      </w:pPr>
      <w:bookmarkStart w:id="5" w:name="_Toc26653"/>
      <w:r>
        <w:rPr>
          <w:rFonts w:hint="eastAsia" w:ascii="楷体_GB2312" w:eastAsia="楷体"/>
          <w:b/>
          <w:sz w:val="24"/>
          <w:highlight w:val="none"/>
        </w:rPr>
        <w:t>（二）国家相关标准</w:t>
      </w:r>
      <w:bookmarkEnd w:id="5"/>
    </w:p>
    <w:p w14:paraId="4C57FE1B">
      <w:pPr>
        <w:snapToGrid w:val="0"/>
        <w:spacing w:line="360" w:lineRule="auto"/>
        <w:ind w:firstLine="480" w:firstLineChars="200"/>
        <w:rPr>
          <w:rFonts w:ascii="宋体" w:hAnsi="宋体"/>
          <w:sz w:val="24"/>
          <w:highlight w:val="none"/>
        </w:rPr>
      </w:pPr>
      <w:r>
        <w:rPr>
          <w:rFonts w:hint="eastAsia" w:ascii="宋体" w:hAnsi="宋体"/>
          <w:sz w:val="24"/>
          <w:highlight w:val="none"/>
        </w:rPr>
        <w:t>1.国家标准《学校卫生综合评价》GB/T 18205-2000</w:t>
      </w:r>
    </w:p>
    <w:p w14:paraId="72BF1A5A">
      <w:pPr>
        <w:snapToGrid w:val="0"/>
        <w:spacing w:line="360" w:lineRule="auto"/>
        <w:ind w:firstLine="480" w:firstLineChars="200"/>
        <w:rPr>
          <w:rFonts w:ascii="宋体" w:hAnsi="宋体"/>
          <w:sz w:val="24"/>
          <w:highlight w:val="none"/>
        </w:rPr>
      </w:pPr>
      <w:r>
        <w:rPr>
          <w:rFonts w:hint="eastAsia" w:ascii="宋体" w:hAnsi="宋体"/>
          <w:sz w:val="24"/>
          <w:highlight w:val="none"/>
        </w:rPr>
        <w:t>2.国家标准《二次供水设施卫生规范》GB17051-1997</w:t>
      </w:r>
    </w:p>
    <w:p w14:paraId="343B8056">
      <w:pPr>
        <w:snapToGrid w:val="0"/>
        <w:spacing w:line="360" w:lineRule="auto"/>
        <w:ind w:firstLine="480" w:firstLineChars="200"/>
        <w:rPr>
          <w:rFonts w:ascii="宋体" w:hAnsi="宋体"/>
          <w:sz w:val="24"/>
          <w:highlight w:val="none"/>
        </w:rPr>
      </w:pPr>
      <w:r>
        <w:rPr>
          <w:rFonts w:hint="eastAsia" w:ascii="宋体" w:hAnsi="宋体"/>
          <w:sz w:val="24"/>
          <w:highlight w:val="none"/>
        </w:rPr>
        <w:t>3.国家标准《建筑消防设施的维护管理》GB25201-2010</w:t>
      </w:r>
    </w:p>
    <w:p w14:paraId="7FA95CDF">
      <w:pPr>
        <w:snapToGrid w:val="0"/>
        <w:spacing w:line="360" w:lineRule="auto"/>
        <w:ind w:firstLine="480" w:firstLineChars="200"/>
        <w:rPr>
          <w:rFonts w:ascii="宋体" w:hAnsi="宋体"/>
          <w:sz w:val="24"/>
          <w:highlight w:val="none"/>
        </w:rPr>
      </w:pPr>
      <w:r>
        <w:rPr>
          <w:rFonts w:hint="eastAsia" w:ascii="宋体" w:hAnsi="宋体"/>
          <w:sz w:val="24"/>
          <w:highlight w:val="none"/>
        </w:rPr>
        <w:t>4.国家标准《公共图书馆服务规范GB/T28220-2023》</w:t>
      </w:r>
    </w:p>
    <w:p w14:paraId="6BDA0F04">
      <w:pPr>
        <w:snapToGrid w:val="0"/>
        <w:spacing w:line="360" w:lineRule="auto"/>
        <w:ind w:firstLine="480" w:firstLineChars="200"/>
        <w:rPr>
          <w:rFonts w:ascii="宋体" w:hAnsi="宋体"/>
          <w:sz w:val="24"/>
          <w:highlight w:val="none"/>
        </w:rPr>
      </w:pPr>
      <w:r>
        <w:rPr>
          <w:rFonts w:hint="eastAsia" w:ascii="宋体" w:hAnsi="宋体"/>
          <w:sz w:val="24"/>
          <w:highlight w:val="none"/>
        </w:rPr>
        <w:t>5.国家标准《体育场馆公共安全通用要求GB/T22185-2008》</w:t>
      </w:r>
    </w:p>
    <w:p w14:paraId="6F2D8DB2">
      <w:pPr>
        <w:snapToGrid w:val="0"/>
        <w:spacing w:line="360" w:lineRule="auto"/>
        <w:ind w:firstLine="480" w:firstLineChars="200"/>
        <w:rPr>
          <w:rFonts w:ascii="宋体" w:hAnsi="宋体"/>
          <w:sz w:val="24"/>
          <w:highlight w:val="none"/>
        </w:rPr>
      </w:pPr>
      <w:r>
        <w:rPr>
          <w:rFonts w:hint="eastAsia" w:ascii="宋体" w:hAnsi="宋体"/>
          <w:sz w:val="24"/>
          <w:highlight w:val="none"/>
        </w:rPr>
        <w:t>6.国家标准《普通高等学校健康教育规范》GB/T 34858-2017</w:t>
      </w:r>
    </w:p>
    <w:p w14:paraId="7816CD38">
      <w:pPr>
        <w:snapToGrid w:val="0"/>
        <w:spacing w:line="360" w:lineRule="auto"/>
        <w:ind w:firstLine="480" w:firstLineChars="200"/>
        <w:rPr>
          <w:rFonts w:ascii="宋体" w:hAnsi="宋体"/>
          <w:sz w:val="24"/>
          <w:highlight w:val="none"/>
        </w:rPr>
      </w:pPr>
      <w:r>
        <w:rPr>
          <w:rFonts w:hint="eastAsia" w:ascii="宋体" w:hAnsi="宋体"/>
          <w:sz w:val="24"/>
          <w:highlight w:val="none"/>
        </w:rPr>
        <w:t>7.国家标准《中小学合成材料面层运动场地》GB36246-2018</w:t>
      </w:r>
    </w:p>
    <w:p w14:paraId="1100FE6A">
      <w:pPr>
        <w:snapToGrid w:val="0"/>
        <w:spacing w:line="360" w:lineRule="auto"/>
        <w:ind w:firstLine="480" w:firstLineChars="200"/>
        <w:rPr>
          <w:rFonts w:ascii="宋体" w:hAnsi="宋体"/>
          <w:sz w:val="24"/>
          <w:highlight w:val="none"/>
        </w:rPr>
      </w:pPr>
      <w:r>
        <w:rPr>
          <w:rFonts w:hint="eastAsia" w:ascii="宋体" w:hAnsi="宋体"/>
          <w:sz w:val="24"/>
          <w:highlight w:val="none"/>
        </w:rPr>
        <w:t>8.国家标准《中小学校建筑设计规范》GBJ99-1986</w:t>
      </w:r>
    </w:p>
    <w:p w14:paraId="2E64F16B">
      <w:pPr>
        <w:snapToGrid w:val="0"/>
        <w:spacing w:line="360" w:lineRule="auto"/>
        <w:ind w:firstLine="480" w:firstLineChars="200"/>
        <w:rPr>
          <w:rFonts w:ascii="宋体" w:hAnsi="宋体"/>
          <w:sz w:val="24"/>
          <w:highlight w:val="none"/>
        </w:rPr>
      </w:pPr>
      <w:r>
        <w:rPr>
          <w:rFonts w:hint="eastAsia" w:ascii="宋体" w:hAnsi="宋体"/>
          <w:sz w:val="24"/>
          <w:highlight w:val="none"/>
        </w:rPr>
        <w:t>9.国家标准《学生宿舍卫生要求及管理规范》GB 31177-2014</w:t>
      </w:r>
    </w:p>
    <w:p w14:paraId="146A5A08">
      <w:pPr>
        <w:snapToGrid w:val="0"/>
        <w:spacing w:line="360" w:lineRule="auto"/>
        <w:ind w:firstLine="480" w:firstLineChars="200"/>
        <w:rPr>
          <w:rFonts w:ascii="宋体" w:hAnsi="宋体"/>
          <w:sz w:val="24"/>
          <w:highlight w:val="none"/>
        </w:rPr>
      </w:pPr>
      <w:r>
        <w:rPr>
          <w:rFonts w:hint="eastAsia" w:ascii="宋体" w:hAnsi="宋体"/>
          <w:sz w:val="24"/>
          <w:highlight w:val="none"/>
        </w:rPr>
        <w:t>10.国家标准《学校卫生综合评价》GB/T 18205-2012</w:t>
      </w:r>
    </w:p>
    <w:p w14:paraId="3481B9C5">
      <w:pPr>
        <w:snapToGrid w:val="0"/>
        <w:spacing w:line="360" w:lineRule="auto"/>
        <w:ind w:firstLine="480" w:firstLineChars="200"/>
        <w:rPr>
          <w:rFonts w:ascii="宋体" w:hAnsi="宋体"/>
          <w:sz w:val="24"/>
          <w:highlight w:val="none"/>
        </w:rPr>
      </w:pPr>
      <w:r>
        <w:rPr>
          <w:rFonts w:hint="eastAsia" w:ascii="宋体" w:hAnsi="宋体"/>
          <w:sz w:val="24"/>
          <w:highlight w:val="none"/>
        </w:rPr>
        <w:t>11.国家标准《中小学校设计规范》GB 50099-2011</w:t>
      </w:r>
    </w:p>
    <w:p w14:paraId="0262ACF3">
      <w:pPr>
        <w:snapToGrid w:val="0"/>
        <w:spacing w:line="360" w:lineRule="auto"/>
        <w:ind w:firstLine="480" w:firstLineChars="200"/>
        <w:rPr>
          <w:rFonts w:ascii="宋体" w:hAnsi="宋体"/>
          <w:sz w:val="24"/>
          <w:highlight w:val="none"/>
        </w:rPr>
      </w:pPr>
      <w:r>
        <w:rPr>
          <w:rFonts w:hint="eastAsia" w:ascii="宋体" w:hAnsi="宋体"/>
          <w:sz w:val="24"/>
          <w:highlight w:val="none"/>
        </w:rPr>
        <w:t>12.国家标准《机关办公区域物业服务监管和评价规范》GBT 43542-2023</w:t>
      </w:r>
    </w:p>
    <w:p w14:paraId="771881FE">
      <w:pPr>
        <w:snapToGrid w:val="0"/>
        <w:spacing w:line="360" w:lineRule="auto"/>
        <w:ind w:firstLine="480" w:firstLineChars="200"/>
        <w:rPr>
          <w:rFonts w:ascii="宋体" w:hAnsi="宋体"/>
          <w:sz w:val="24"/>
          <w:highlight w:val="none"/>
        </w:rPr>
      </w:pPr>
      <w:r>
        <w:rPr>
          <w:rFonts w:hint="eastAsia" w:ascii="宋体" w:hAnsi="宋体"/>
          <w:sz w:val="24"/>
          <w:highlight w:val="none"/>
        </w:rPr>
        <w:t>13.国家标准《二次供水设施卫生规范》GB17051-1997</w:t>
      </w:r>
    </w:p>
    <w:p w14:paraId="638AFA09">
      <w:pPr>
        <w:snapToGrid w:val="0"/>
        <w:spacing w:line="360" w:lineRule="auto"/>
        <w:ind w:firstLine="480" w:firstLineChars="200"/>
        <w:rPr>
          <w:rFonts w:ascii="宋体" w:hAnsi="宋体"/>
          <w:sz w:val="24"/>
          <w:highlight w:val="none"/>
        </w:rPr>
      </w:pPr>
      <w:r>
        <w:rPr>
          <w:rFonts w:hint="eastAsia" w:ascii="宋体" w:hAnsi="宋体"/>
          <w:sz w:val="24"/>
          <w:highlight w:val="none"/>
        </w:rPr>
        <w:t>14.国家标准《建筑消防设施的维护管理》GB25201-2010</w:t>
      </w:r>
    </w:p>
    <w:p w14:paraId="2565E4DC">
      <w:pPr>
        <w:snapToGrid w:val="0"/>
        <w:spacing w:line="360" w:lineRule="auto"/>
        <w:ind w:firstLine="480" w:firstLineChars="200"/>
        <w:rPr>
          <w:rFonts w:ascii="宋体" w:hAnsi="宋体"/>
          <w:sz w:val="24"/>
          <w:highlight w:val="none"/>
        </w:rPr>
      </w:pPr>
      <w:r>
        <w:rPr>
          <w:rFonts w:hint="eastAsia" w:ascii="宋体" w:hAnsi="宋体"/>
          <w:sz w:val="24"/>
          <w:highlight w:val="none"/>
        </w:rPr>
        <w:t>15.国家标准《空调通风系统清洗规范》GB19210-2003</w:t>
      </w:r>
    </w:p>
    <w:p w14:paraId="4FE685D9">
      <w:pPr>
        <w:snapToGrid w:val="0"/>
        <w:spacing w:line="360" w:lineRule="auto"/>
        <w:ind w:firstLine="480" w:firstLineChars="200"/>
        <w:rPr>
          <w:rFonts w:ascii="宋体" w:hAnsi="宋体"/>
          <w:sz w:val="24"/>
          <w:highlight w:val="none"/>
        </w:rPr>
      </w:pPr>
      <w:r>
        <w:rPr>
          <w:rFonts w:hint="eastAsia" w:ascii="宋体" w:hAnsi="宋体"/>
          <w:sz w:val="24"/>
          <w:highlight w:val="none"/>
        </w:rPr>
        <w:t>16.国家标准《空调通风系统运行管理标准》GB50365-2019</w:t>
      </w:r>
    </w:p>
    <w:p w14:paraId="3CCF81E1">
      <w:pPr>
        <w:snapToGrid w:val="0"/>
        <w:spacing w:line="360" w:lineRule="auto"/>
        <w:ind w:firstLine="480" w:firstLineChars="200"/>
        <w:rPr>
          <w:rFonts w:ascii="宋体" w:hAnsi="宋体"/>
          <w:sz w:val="24"/>
          <w:highlight w:val="none"/>
        </w:rPr>
      </w:pPr>
      <w:r>
        <w:rPr>
          <w:rFonts w:hint="eastAsia" w:ascii="宋体" w:hAnsi="宋体"/>
          <w:sz w:val="24"/>
          <w:highlight w:val="none"/>
        </w:rPr>
        <w:t>17.特种设备安全技术规范《电梯维护保养规则》TSG T5002-2017</w:t>
      </w:r>
    </w:p>
    <w:p w14:paraId="53BA3B53">
      <w:pPr>
        <w:snapToGrid w:val="0"/>
        <w:spacing w:line="360" w:lineRule="auto"/>
        <w:ind w:firstLine="480" w:firstLineChars="200"/>
        <w:rPr>
          <w:rFonts w:ascii="宋体" w:hAnsi="宋体"/>
          <w:sz w:val="24"/>
          <w:highlight w:val="none"/>
        </w:rPr>
      </w:pPr>
      <w:r>
        <w:rPr>
          <w:rFonts w:hint="eastAsia" w:ascii="宋体" w:hAnsi="宋体"/>
          <w:sz w:val="24"/>
          <w:highlight w:val="none"/>
        </w:rPr>
        <w:t xml:space="preserve">18.国家标准《火灾自动报警系统施工及验收规范》GB50166-2007 </w:t>
      </w:r>
    </w:p>
    <w:p w14:paraId="2223183E">
      <w:pPr>
        <w:snapToGrid w:val="0"/>
        <w:spacing w:line="360" w:lineRule="auto"/>
        <w:ind w:firstLine="480" w:firstLineChars="200"/>
        <w:rPr>
          <w:rFonts w:ascii="宋体" w:hAnsi="宋体"/>
          <w:sz w:val="24"/>
          <w:highlight w:val="none"/>
        </w:rPr>
      </w:pPr>
      <w:r>
        <w:rPr>
          <w:rFonts w:hint="eastAsia" w:ascii="宋体" w:hAnsi="宋体"/>
          <w:sz w:val="24"/>
          <w:highlight w:val="none"/>
        </w:rPr>
        <w:t>19.国家标准《泡沫灭火系统施工及验收规范》GB50281-2006</w:t>
      </w:r>
    </w:p>
    <w:p w14:paraId="0DEFD8DA">
      <w:pPr>
        <w:snapToGrid w:val="0"/>
        <w:spacing w:line="360" w:lineRule="auto"/>
        <w:ind w:firstLine="480" w:firstLineChars="200"/>
        <w:rPr>
          <w:rFonts w:ascii="宋体" w:hAnsi="宋体"/>
          <w:sz w:val="24"/>
          <w:highlight w:val="none"/>
        </w:rPr>
      </w:pPr>
      <w:r>
        <w:rPr>
          <w:rFonts w:hint="eastAsia" w:ascii="宋体" w:hAnsi="宋体"/>
          <w:sz w:val="24"/>
          <w:highlight w:val="none"/>
        </w:rPr>
        <w:t>20.国家标准《生活垃圾分类标志》GB/T 19095-2019</w:t>
      </w:r>
    </w:p>
    <w:p w14:paraId="16C19544">
      <w:pPr>
        <w:snapToGrid w:val="0"/>
        <w:spacing w:line="360" w:lineRule="auto"/>
        <w:ind w:firstLine="480" w:firstLineChars="200"/>
        <w:rPr>
          <w:rFonts w:ascii="宋体" w:hAnsi="宋体"/>
          <w:sz w:val="24"/>
          <w:highlight w:val="none"/>
        </w:rPr>
      </w:pPr>
      <w:r>
        <w:rPr>
          <w:rFonts w:hint="eastAsia" w:ascii="宋体" w:hAnsi="宋体"/>
          <w:sz w:val="24"/>
          <w:highlight w:val="none"/>
        </w:rPr>
        <w:t>21.国家标准《道路交通标志和标线》GB5768.2-2022</w:t>
      </w:r>
    </w:p>
    <w:p w14:paraId="06483A2A">
      <w:pPr>
        <w:snapToGrid w:val="0"/>
        <w:spacing w:line="360" w:lineRule="auto"/>
        <w:ind w:firstLine="480" w:firstLineChars="200"/>
        <w:rPr>
          <w:rFonts w:ascii="宋体" w:hAnsi="宋体"/>
          <w:sz w:val="24"/>
          <w:highlight w:val="none"/>
        </w:rPr>
      </w:pPr>
      <w:r>
        <w:rPr>
          <w:rFonts w:hint="eastAsia" w:ascii="宋体" w:hAnsi="宋体"/>
          <w:sz w:val="24"/>
          <w:highlight w:val="none"/>
        </w:rPr>
        <w:t>22.国家标准《室内空气质量标准》GB／T 18883-2002</w:t>
      </w:r>
    </w:p>
    <w:p w14:paraId="621829ED">
      <w:pPr>
        <w:snapToGrid w:val="0"/>
        <w:spacing w:line="360" w:lineRule="auto"/>
        <w:ind w:firstLine="480" w:firstLineChars="200"/>
        <w:rPr>
          <w:rFonts w:ascii="宋体" w:hAnsi="宋体"/>
          <w:sz w:val="24"/>
          <w:highlight w:val="none"/>
        </w:rPr>
      </w:pPr>
      <w:r>
        <w:rPr>
          <w:rFonts w:hint="eastAsia" w:ascii="宋体" w:hAnsi="宋体"/>
          <w:sz w:val="24"/>
          <w:highlight w:val="none"/>
        </w:rPr>
        <w:t>23.国家标准《工业锅炉水质》GB/T1576-2018</w:t>
      </w:r>
    </w:p>
    <w:p w14:paraId="067890FF">
      <w:pPr>
        <w:snapToGrid w:val="0"/>
        <w:spacing w:line="360" w:lineRule="auto"/>
        <w:ind w:firstLine="480" w:firstLineChars="200"/>
        <w:jc w:val="left"/>
        <w:rPr>
          <w:rFonts w:ascii="宋体" w:hAnsi="宋体"/>
          <w:sz w:val="24"/>
          <w:highlight w:val="none"/>
        </w:rPr>
      </w:pPr>
      <w:r>
        <w:rPr>
          <w:rFonts w:hint="eastAsia" w:ascii="宋体" w:hAnsi="宋体"/>
          <w:sz w:val="24"/>
          <w:highlight w:val="none"/>
        </w:rPr>
        <w:t>24.国家标准《公共场所设计卫生规范 第3部分：人工游泳场所GB 37489.3-2019》</w:t>
      </w:r>
    </w:p>
    <w:p w14:paraId="42647EEA">
      <w:pPr>
        <w:adjustRightInd w:val="0"/>
        <w:snapToGrid w:val="0"/>
        <w:spacing w:line="360" w:lineRule="auto"/>
        <w:ind w:firstLine="482" w:firstLineChars="200"/>
        <w:rPr>
          <w:rFonts w:eastAsia="仿宋"/>
          <w:sz w:val="24"/>
          <w:highlight w:val="none"/>
        </w:rPr>
      </w:pPr>
      <w:r>
        <w:rPr>
          <w:rFonts w:hint="eastAsia" w:ascii="宋体" w:hAnsi="宋体"/>
          <w:b/>
          <w:sz w:val="24"/>
          <w:highlight w:val="none"/>
        </w:rPr>
        <w:t>......</w:t>
      </w:r>
    </w:p>
    <w:p w14:paraId="227E3202">
      <w:pPr>
        <w:keepNext/>
        <w:keepLines/>
        <w:snapToGrid w:val="0"/>
        <w:spacing w:before="120" w:after="120" w:line="360" w:lineRule="auto"/>
        <w:ind w:firstLine="482" w:firstLineChars="200"/>
        <w:outlineLvl w:val="1"/>
        <w:rPr>
          <w:rFonts w:ascii="楷体_GB2312" w:eastAsia="楷体_GB2312"/>
          <w:b/>
          <w:sz w:val="24"/>
          <w:highlight w:val="none"/>
        </w:rPr>
      </w:pPr>
      <w:bookmarkStart w:id="6" w:name="_Toc19816"/>
      <w:r>
        <w:rPr>
          <w:rFonts w:hint="eastAsia" w:ascii="楷体_GB2312" w:eastAsia="楷体"/>
          <w:b/>
          <w:sz w:val="24"/>
          <w:highlight w:val="none"/>
        </w:rPr>
        <w:t>（三）北京市相关标准</w:t>
      </w:r>
      <w:bookmarkEnd w:id="6"/>
    </w:p>
    <w:p w14:paraId="508647DA">
      <w:pPr>
        <w:adjustRightInd w:val="0"/>
        <w:snapToGrid w:val="0"/>
        <w:spacing w:line="360" w:lineRule="auto"/>
        <w:ind w:firstLine="482" w:firstLineChars="200"/>
        <w:rPr>
          <w:rFonts w:ascii="宋体" w:hAnsi="宋体"/>
          <w:b/>
          <w:sz w:val="24"/>
          <w:highlight w:val="none"/>
        </w:rPr>
      </w:pPr>
      <w:r>
        <w:rPr>
          <w:rFonts w:hint="eastAsia" w:ascii="宋体" w:hAnsi="宋体"/>
          <w:b/>
          <w:sz w:val="24"/>
          <w:highlight w:val="none"/>
        </w:rPr>
        <w:t>1.物业</w:t>
      </w:r>
    </w:p>
    <w:p w14:paraId="3C1F94B3">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1.1北京市地方标准《住宅物业服务标准》DB11/T751-2010</w:t>
      </w:r>
    </w:p>
    <w:p w14:paraId="0CD37CAD">
      <w:pPr>
        <w:adjustRightInd w:val="0"/>
        <w:snapToGrid w:val="0"/>
        <w:spacing w:line="360" w:lineRule="auto"/>
        <w:ind w:firstLine="482" w:firstLineChars="200"/>
        <w:rPr>
          <w:rFonts w:ascii="宋体" w:hAnsi="宋体"/>
          <w:b/>
          <w:sz w:val="24"/>
          <w:highlight w:val="none"/>
        </w:rPr>
      </w:pPr>
      <w:r>
        <w:rPr>
          <w:rFonts w:hint="eastAsia" w:ascii="宋体" w:hAnsi="宋体"/>
          <w:b/>
          <w:sz w:val="24"/>
          <w:highlight w:val="none"/>
        </w:rPr>
        <w:t>2.保安</w:t>
      </w:r>
    </w:p>
    <w:p w14:paraId="39D7CEED">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2.1北京市地方标准《保安服务规范 住宅物业》DB11/T 487-2022</w:t>
      </w:r>
    </w:p>
    <w:p w14:paraId="4E632948">
      <w:pPr>
        <w:adjustRightInd w:val="0"/>
        <w:snapToGrid w:val="0"/>
        <w:spacing w:line="360" w:lineRule="auto"/>
        <w:ind w:firstLine="482" w:firstLineChars="200"/>
        <w:rPr>
          <w:rFonts w:ascii="宋体" w:hAnsi="宋体"/>
          <w:b/>
          <w:sz w:val="24"/>
          <w:highlight w:val="none"/>
        </w:rPr>
      </w:pPr>
      <w:r>
        <w:rPr>
          <w:rFonts w:hint="eastAsia" w:ascii="宋体" w:hAnsi="宋体"/>
          <w:b/>
          <w:sz w:val="24"/>
          <w:highlight w:val="none"/>
        </w:rPr>
        <w:t>3.给排水</w:t>
      </w:r>
    </w:p>
    <w:p w14:paraId="32C6C6E4">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3.1北京市地方标准《住宅二次供水设施设备运行维护技术规程》DB11/T 118-2016，3.2北京市地方标准《公共建筑给水排水系统节能运行管理技术规程》DB11/T 1248-2015</w:t>
      </w:r>
    </w:p>
    <w:p w14:paraId="6903D3BF">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3.3北京市地方标准《城镇排水泵站运行与维护技术规程》DB11/T 2113-2023</w:t>
      </w:r>
    </w:p>
    <w:p w14:paraId="0DF9B257">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3.4北京市地方标准《城镇排水管道检查技术规程》DB11/T1594-2018</w:t>
      </w:r>
    </w:p>
    <w:p w14:paraId="37625697">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3.5北京市地方标准《城镇排水管道维护技术规程》DB11/T1590-2018</w:t>
      </w:r>
    </w:p>
    <w:p w14:paraId="5F24CD03">
      <w:pPr>
        <w:adjustRightInd w:val="0"/>
        <w:snapToGrid w:val="0"/>
        <w:spacing w:line="360" w:lineRule="auto"/>
        <w:ind w:firstLine="482" w:firstLineChars="200"/>
        <w:rPr>
          <w:rFonts w:ascii="宋体" w:hAnsi="宋体"/>
          <w:b/>
          <w:sz w:val="24"/>
          <w:highlight w:val="none"/>
        </w:rPr>
      </w:pPr>
      <w:r>
        <w:rPr>
          <w:rFonts w:hint="eastAsia" w:ascii="宋体" w:hAnsi="宋体"/>
          <w:b/>
          <w:sz w:val="24"/>
          <w:highlight w:val="none"/>
        </w:rPr>
        <w:t>4.空调维护</w:t>
      </w:r>
    </w:p>
    <w:p w14:paraId="4D761E59">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4.1北京市地方标准《公共建筑空调制冷系统节能运行管理技术规程》DB11/T 1130-2014</w:t>
      </w:r>
    </w:p>
    <w:p w14:paraId="25627725">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4.2北京市地方标准《集中空调通风系统卫生管理规范》DB11/T 485-2020</w:t>
      </w:r>
    </w:p>
    <w:p w14:paraId="0EB24BA6">
      <w:pPr>
        <w:adjustRightInd w:val="0"/>
        <w:snapToGrid w:val="0"/>
        <w:spacing w:line="360" w:lineRule="auto"/>
        <w:ind w:firstLine="482" w:firstLineChars="200"/>
        <w:rPr>
          <w:rFonts w:ascii="宋体" w:hAnsi="宋体"/>
          <w:b/>
          <w:sz w:val="24"/>
          <w:highlight w:val="none"/>
        </w:rPr>
      </w:pPr>
      <w:r>
        <w:rPr>
          <w:rFonts w:hint="eastAsia" w:ascii="宋体" w:hAnsi="宋体"/>
          <w:b/>
          <w:sz w:val="24"/>
          <w:highlight w:val="none"/>
        </w:rPr>
        <w:t>5.电梯维护</w:t>
      </w:r>
    </w:p>
    <w:p w14:paraId="4EF3CA96">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5.1北京市地方标准《电梯日常维护保养规则》DB11/T 418-2019</w:t>
      </w:r>
    </w:p>
    <w:p w14:paraId="197FE049">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5.2北京市地方标准《电梯应急呼叫及应急照明系统技术要求》DB11/T 1656-2019</w:t>
      </w:r>
    </w:p>
    <w:p w14:paraId="73BE95AD">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5.3北京市地方标准《电梯安装、改造、重大修理和维护保养自检规则》DB11/T 420-2019</w:t>
      </w:r>
    </w:p>
    <w:p w14:paraId="73E2787D">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5.4北京市地方标准《电梯节能监测》DB11/T 1161-2015</w:t>
      </w:r>
    </w:p>
    <w:p w14:paraId="0E651A56">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5.5北京市地方标准《在用电梯安全风险评估规范》DB11/T 1520-2022</w:t>
      </w:r>
    </w:p>
    <w:p w14:paraId="313AD40C">
      <w:pPr>
        <w:adjustRightInd w:val="0"/>
        <w:snapToGrid w:val="0"/>
        <w:spacing w:line="360" w:lineRule="auto"/>
        <w:ind w:firstLine="482" w:firstLineChars="200"/>
        <w:rPr>
          <w:rFonts w:ascii="宋体" w:hAnsi="宋体"/>
          <w:b/>
          <w:sz w:val="24"/>
          <w:highlight w:val="none"/>
        </w:rPr>
      </w:pPr>
      <w:r>
        <w:rPr>
          <w:rFonts w:hint="eastAsia" w:ascii="宋体" w:hAnsi="宋体"/>
          <w:b/>
          <w:sz w:val="24"/>
          <w:highlight w:val="none"/>
        </w:rPr>
        <w:t>6.照明</w:t>
      </w:r>
    </w:p>
    <w:p w14:paraId="2C3628C4">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6.1北京市地方标准《公共建筑室内照明系统节能监测》DB11/T 1854-2021</w:t>
      </w:r>
    </w:p>
    <w:p w14:paraId="725F27F9">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6.2北京市地方标准《城市道路照明设施运行维护规范》DB11/T 1876-2021</w:t>
      </w:r>
    </w:p>
    <w:p w14:paraId="0AC26938">
      <w:pPr>
        <w:adjustRightInd w:val="0"/>
        <w:snapToGrid w:val="0"/>
        <w:spacing w:line="360" w:lineRule="auto"/>
        <w:ind w:firstLine="482" w:firstLineChars="200"/>
        <w:rPr>
          <w:rFonts w:ascii="宋体" w:hAnsi="宋体"/>
          <w:b/>
          <w:sz w:val="24"/>
          <w:highlight w:val="none"/>
        </w:rPr>
      </w:pPr>
      <w:r>
        <w:rPr>
          <w:rFonts w:hint="eastAsia" w:ascii="宋体" w:hAnsi="宋体"/>
          <w:b/>
          <w:sz w:val="24"/>
          <w:highlight w:val="none"/>
        </w:rPr>
        <w:t>7.消防</w:t>
      </w:r>
    </w:p>
    <w:p w14:paraId="34EE23B7">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7.1北京市地方标准《建筑消防设施检测服务规范》DB11/T 3034-2023</w:t>
      </w:r>
    </w:p>
    <w:p w14:paraId="0DD9C5D5">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7.2北京市地方标准《消防控制室火警处置规范》DB11/T 2104-2023</w:t>
      </w:r>
    </w:p>
    <w:p w14:paraId="68ECEDDC">
      <w:pPr>
        <w:adjustRightInd w:val="0"/>
        <w:snapToGrid w:val="0"/>
        <w:spacing w:line="360" w:lineRule="auto"/>
        <w:ind w:firstLine="482" w:firstLineChars="200"/>
        <w:rPr>
          <w:rFonts w:ascii="宋体" w:hAnsi="宋体"/>
          <w:b/>
          <w:sz w:val="24"/>
          <w:highlight w:val="none"/>
        </w:rPr>
      </w:pPr>
      <w:r>
        <w:rPr>
          <w:rFonts w:hint="eastAsia" w:ascii="宋体" w:hAnsi="宋体"/>
          <w:b/>
          <w:sz w:val="24"/>
          <w:highlight w:val="none"/>
        </w:rPr>
        <w:t>8.垃圾清运</w:t>
      </w:r>
    </w:p>
    <w:p w14:paraId="07730198">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8.1北京市地方标准《生活垃圾收集运输管理规范》DB11/T 354-2023</w:t>
      </w:r>
    </w:p>
    <w:p w14:paraId="6A1C883F">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8.2北京市地方标准《生活垃圾收集运输节能规范》DB11/T 1694-2019</w:t>
      </w:r>
    </w:p>
    <w:p w14:paraId="3A26C062">
      <w:pPr>
        <w:adjustRightInd w:val="0"/>
        <w:snapToGrid w:val="0"/>
        <w:spacing w:line="360" w:lineRule="auto"/>
        <w:ind w:firstLine="482" w:firstLineChars="200"/>
        <w:rPr>
          <w:rFonts w:ascii="宋体" w:hAnsi="宋体"/>
          <w:b/>
          <w:sz w:val="24"/>
          <w:highlight w:val="none"/>
        </w:rPr>
      </w:pPr>
      <w:r>
        <w:rPr>
          <w:rFonts w:hint="eastAsia" w:ascii="宋体" w:hAnsi="宋体"/>
          <w:b/>
          <w:sz w:val="24"/>
          <w:highlight w:val="none"/>
        </w:rPr>
        <w:t>9园林绿化</w:t>
      </w:r>
    </w:p>
    <w:p w14:paraId="32E7CA9B">
      <w:pPr>
        <w:adjustRightInd w:val="0"/>
        <w:snapToGrid w:val="0"/>
        <w:spacing w:line="360" w:lineRule="auto"/>
        <w:ind w:firstLine="480" w:firstLineChars="200"/>
        <w:rPr>
          <w:rFonts w:eastAsia="仿宋"/>
          <w:sz w:val="24"/>
          <w:highlight w:val="none"/>
        </w:rPr>
      </w:pPr>
      <w:r>
        <w:rPr>
          <w:rFonts w:hint="eastAsia" w:ascii="宋体" w:hAnsi="宋体"/>
          <w:sz w:val="24"/>
          <w:highlight w:val="none"/>
        </w:rPr>
        <w:t>9.1北京市地方标准《北京城市园林绿化养护管理标准》DB11/T2013-2003‎</w:t>
      </w:r>
    </w:p>
    <w:p w14:paraId="790C437C">
      <w:pPr>
        <w:adjustRightInd w:val="0"/>
        <w:snapToGrid w:val="0"/>
        <w:spacing w:line="360" w:lineRule="auto"/>
        <w:ind w:firstLine="482" w:firstLineChars="200"/>
        <w:rPr>
          <w:rFonts w:ascii="宋体" w:hAnsi="宋体"/>
          <w:b/>
          <w:sz w:val="24"/>
          <w:highlight w:val="none"/>
        </w:rPr>
      </w:pPr>
      <w:r>
        <w:rPr>
          <w:rFonts w:hint="eastAsia" w:ascii="宋体" w:hAnsi="宋体"/>
          <w:b/>
          <w:sz w:val="24"/>
          <w:highlight w:val="none"/>
        </w:rPr>
        <w:t>......</w:t>
      </w:r>
    </w:p>
    <w:p w14:paraId="3EA249F6">
      <w:pPr>
        <w:pStyle w:val="2"/>
        <w:numPr>
          <w:ilvl w:val="255"/>
          <w:numId w:val="0"/>
        </w:numPr>
        <w:rPr>
          <w:highlight w:val="none"/>
        </w:rPr>
      </w:pPr>
      <w:r>
        <w:rPr>
          <w:rFonts w:hint="eastAsia" w:ascii="楷体" w:hAnsi="楷体" w:eastAsia="楷体"/>
          <w:b/>
          <w:sz w:val="21"/>
          <w:highlight w:val="none"/>
        </w:rPr>
        <w:t>注：服务标准涉及的国家标准及北京市标准有更新的，执行最新标准。</w:t>
      </w:r>
    </w:p>
    <w:p w14:paraId="04A0C9D1">
      <w:pPr>
        <w:spacing w:line="577" w:lineRule="exact"/>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三、服务范围及面积</w:t>
      </w:r>
    </w:p>
    <w:p w14:paraId="5650485A">
      <w:pPr>
        <w:spacing w:line="577" w:lineRule="exact"/>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（一）室内保洁与消毒</w:t>
      </w:r>
    </w:p>
    <w:tbl>
      <w:tblPr>
        <w:tblStyle w:val="4"/>
        <w:tblW w:w="9819" w:type="dxa"/>
        <w:tblInd w:w="-4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1974"/>
        <w:gridCol w:w="6634"/>
      </w:tblGrid>
      <w:tr w14:paraId="01E96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shd w:val="clear" w:color="auto" w:fill="auto"/>
            <w:vAlign w:val="center"/>
          </w:tcPr>
          <w:p w14:paraId="29CF3E26">
            <w:pPr>
              <w:spacing w:line="577" w:lineRule="exact"/>
              <w:jc w:val="center"/>
              <w:rPr>
                <w:rFonts w:ascii="仿宋" w:hAnsi="仿宋" w:eastAsia="仿宋" w:cs="仿宋"/>
                <w:b/>
                <w:bCs/>
                <w:sz w:val="24"/>
                <w:highlight w:val="none"/>
              </w:rPr>
            </w:pPr>
            <w:r>
              <w:rPr>
                <w:rFonts w:hint="eastAsia" w:ascii="仿宋" w:hAnsi="仿宋" w:eastAsia="仿宋" w:cs="仿宋"/>
                <w:b/>
                <w:bCs/>
                <w:sz w:val="24"/>
                <w:highlight w:val="none"/>
              </w:rPr>
              <w:t>校区</w:t>
            </w:r>
          </w:p>
        </w:tc>
        <w:tc>
          <w:tcPr>
            <w:tcW w:w="1974" w:type="dxa"/>
            <w:shd w:val="clear" w:color="auto" w:fill="auto"/>
            <w:vAlign w:val="center"/>
          </w:tcPr>
          <w:p w14:paraId="66DE9CA2">
            <w:pPr>
              <w:spacing w:line="577" w:lineRule="exact"/>
              <w:jc w:val="center"/>
              <w:rPr>
                <w:rFonts w:ascii="仿宋" w:hAnsi="仿宋" w:eastAsia="仿宋" w:cs="仿宋"/>
                <w:b/>
                <w:bCs/>
                <w:sz w:val="24"/>
                <w:highlight w:val="none"/>
              </w:rPr>
            </w:pPr>
            <w:r>
              <w:rPr>
                <w:rFonts w:hint="eastAsia" w:ascii="仿宋" w:hAnsi="仿宋" w:eastAsia="仿宋" w:cs="仿宋"/>
                <w:b/>
                <w:bCs/>
                <w:sz w:val="24"/>
                <w:highlight w:val="none"/>
              </w:rPr>
              <w:t>保洁面积（平米）</w:t>
            </w:r>
          </w:p>
        </w:tc>
        <w:tc>
          <w:tcPr>
            <w:tcW w:w="6634" w:type="dxa"/>
            <w:shd w:val="clear" w:color="auto" w:fill="auto"/>
            <w:vAlign w:val="center"/>
          </w:tcPr>
          <w:p w14:paraId="5C00B93F">
            <w:pPr>
              <w:spacing w:line="577" w:lineRule="exact"/>
              <w:jc w:val="center"/>
              <w:rPr>
                <w:rFonts w:ascii="仿宋" w:hAnsi="仿宋" w:eastAsia="仿宋" w:cs="仿宋"/>
                <w:b/>
                <w:bCs/>
                <w:sz w:val="24"/>
                <w:highlight w:val="none"/>
              </w:rPr>
            </w:pPr>
            <w:r>
              <w:rPr>
                <w:rFonts w:hint="eastAsia" w:ascii="仿宋" w:hAnsi="仿宋" w:eastAsia="仿宋" w:cs="仿宋"/>
                <w:b/>
                <w:bCs/>
                <w:sz w:val="24"/>
                <w:highlight w:val="none"/>
              </w:rPr>
              <w:t>服务范围</w:t>
            </w:r>
          </w:p>
        </w:tc>
      </w:tr>
      <w:tr w14:paraId="23A98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shd w:val="clear" w:color="auto" w:fill="auto"/>
            <w:vAlign w:val="center"/>
          </w:tcPr>
          <w:p w14:paraId="03DC946A">
            <w:pPr>
              <w:spacing w:line="577" w:lineRule="exact"/>
              <w:jc w:val="center"/>
              <w:rPr>
                <w:rFonts w:ascii="仿宋" w:hAnsi="仿宋" w:eastAsia="仿宋" w:cs="仿宋"/>
                <w:b/>
                <w:bCs/>
                <w:sz w:val="24"/>
                <w:highlight w:val="none"/>
              </w:rPr>
            </w:pPr>
            <w:r>
              <w:rPr>
                <w:rFonts w:hint="eastAsia" w:ascii="仿宋" w:hAnsi="仿宋" w:eastAsia="仿宋" w:cs="仿宋"/>
                <w:b/>
                <w:bCs/>
                <w:sz w:val="24"/>
                <w:highlight w:val="none"/>
              </w:rPr>
              <w:t>清河校区</w:t>
            </w:r>
          </w:p>
        </w:tc>
        <w:tc>
          <w:tcPr>
            <w:tcW w:w="1974" w:type="dxa"/>
            <w:shd w:val="clear" w:color="auto" w:fill="auto"/>
            <w:vAlign w:val="center"/>
          </w:tcPr>
          <w:p w14:paraId="06FD4E8C">
            <w:pPr>
              <w:spacing w:line="577" w:lineRule="exact"/>
              <w:jc w:val="center"/>
              <w:rPr>
                <w:rFonts w:ascii="仿宋" w:hAnsi="仿宋" w:eastAsia="仿宋" w:cs="仿宋"/>
                <w:sz w:val="24"/>
                <w:highlight w:val="none"/>
              </w:rPr>
            </w:pPr>
            <w:r>
              <w:rPr>
                <w:rFonts w:hint="eastAsia" w:ascii="仿宋" w:hAnsi="仿宋" w:eastAsia="仿宋" w:cs="仿宋"/>
                <w:sz w:val="24"/>
                <w:highlight w:val="none"/>
              </w:rPr>
              <w:t>9261.60</w:t>
            </w:r>
          </w:p>
        </w:tc>
        <w:tc>
          <w:tcPr>
            <w:tcW w:w="6634" w:type="dxa"/>
            <w:shd w:val="clear" w:color="auto" w:fill="auto"/>
          </w:tcPr>
          <w:p w14:paraId="068E8A0E">
            <w:pPr>
              <w:spacing w:line="577" w:lineRule="exact"/>
              <w:rPr>
                <w:rFonts w:ascii="仿宋" w:hAnsi="仿宋" w:eastAsia="仿宋" w:cs="仿宋"/>
                <w:sz w:val="24"/>
                <w:highlight w:val="none"/>
              </w:rPr>
            </w:pPr>
            <w:r>
              <w:rPr>
                <w:rFonts w:hint="eastAsia" w:ascii="仿宋" w:hAnsi="仿宋" w:eastAsia="仿宋" w:cs="仿宋"/>
                <w:sz w:val="24"/>
                <w:highlight w:val="none"/>
              </w:rPr>
              <w:t>包括办公楼（含图书馆、会议室、接待室）、教学楼（含教室）、学生公寓1号、2号楼、电子楼、机械楼、社团活动室、活动中心、职工宿舍楼、生活服务楼、礼堂、家属楼1、2号楼（楼道）等楼内公共区域保洁与环境消杀消毒作业等。</w:t>
            </w:r>
          </w:p>
        </w:tc>
      </w:tr>
      <w:tr w14:paraId="03189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shd w:val="clear" w:color="auto" w:fill="auto"/>
            <w:vAlign w:val="center"/>
          </w:tcPr>
          <w:p w14:paraId="3BDA97AA">
            <w:pPr>
              <w:spacing w:line="577" w:lineRule="exact"/>
              <w:jc w:val="center"/>
              <w:rPr>
                <w:rFonts w:ascii="仿宋" w:hAnsi="仿宋" w:eastAsia="仿宋" w:cs="仿宋"/>
                <w:b/>
                <w:bCs/>
                <w:sz w:val="24"/>
                <w:highlight w:val="none"/>
              </w:rPr>
            </w:pPr>
            <w:r>
              <w:rPr>
                <w:rFonts w:hint="eastAsia" w:ascii="仿宋" w:hAnsi="仿宋" w:eastAsia="仿宋" w:cs="仿宋"/>
                <w:b/>
                <w:bCs/>
                <w:sz w:val="24"/>
                <w:highlight w:val="none"/>
              </w:rPr>
              <w:t>香山校区</w:t>
            </w:r>
          </w:p>
        </w:tc>
        <w:tc>
          <w:tcPr>
            <w:tcW w:w="1974" w:type="dxa"/>
            <w:shd w:val="clear" w:color="auto" w:fill="auto"/>
            <w:vAlign w:val="center"/>
          </w:tcPr>
          <w:p w14:paraId="6C92448B">
            <w:pPr>
              <w:spacing w:line="577" w:lineRule="exact"/>
              <w:jc w:val="center"/>
              <w:rPr>
                <w:rFonts w:ascii="仿宋" w:hAnsi="仿宋" w:eastAsia="仿宋" w:cs="仿宋"/>
                <w:sz w:val="24"/>
                <w:highlight w:val="none"/>
              </w:rPr>
            </w:pPr>
            <w:r>
              <w:rPr>
                <w:rFonts w:hint="eastAsia" w:ascii="仿宋" w:hAnsi="仿宋" w:eastAsia="仿宋" w:cs="仿宋"/>
                <w:sz w:val="24"/>
                <w:highlight w:val="none"/>
              </w:rPr>
              <w:t>6909.85</w:t>
            </w:r>
          </w:p>
        </w:tc>
        <w:tc>
          <w:tcPr>
            <w:tcW w:w="6634" w:type="dxa"/>
            <w:shd w:val="clear" w:color="auto" w:fill="auto"/>
          </w:tcPr>
          <w:p w14:paraId="50AEAE68">
            <w:pPr>
              <w:spacing w:line="577" w:lineRule="exact"/>
              <w:rPr>
                <w:rFonts w:ascii="仿宋" w:hAnsi="仿宋" w:eastAsia="仿宋" w:cs="仿宋"/>
                <w:sz w:val="24"/>
                <w:highlight w:val="none"/>
              </w:rPr>
            </w:pPr>
            <w:r>
              <w:rPr>
                <w:rFonts w:hint="eastAsia" w:ascii="仿宋" w:hAnsi="仿宋" w:eastAsia="仿宋" w:cs="仿宋"/>
                <w:sz w:val="24"/>
                <w:highlight w:val="none"/>
              </w:rPr>
              <w:t>包括办公楼（含会议室、接待室）、图书馆、学生公寓A\B栋、礼堂、后勤楼、小白楼、教学楼（含教室）、教师公寓、气膜馆、家属区（楼道）等楼内公共区域保洁与环境消杀消毒作业等。</w:t>
            </w:r>
          </w:p>
        </w:tc>
      </w:tr>
      <w:tr w14:paraId="62462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185" w:type="dxa"/>
            <w:gridSpan w:val="2"/>
            <w:shd w:val="clear" w:color="auto" w:fill="auto"/>
            <w:vAlign w:val="center"/>
          </w:tcPr>
          <w:p w14:paraId="59A87BAE">
            <w:pPr>
              <w:spacing w:line="577" w:lineRule="exact"/>
              <w:jc w:val="center"/>
              <w:rPr>
                <w:rFonts w:ascii="仿宋" w:hAnsi="仿宋" w:eastAsia="仿宋" w:cs="仿宋"/>
                <w:sz w:val="24"/>
                <w:highlight w:val="none"/>
              </w:rPr>
            </w:pPr>
            <w:r>
              <w:rPr>
                <w:rFonts w:hint="eastAsia" w:ascii="仿宋" w:hAnsi="仿宋" w:eastAsia="仿宋" w:cs="仿宋"/>
                <w:b/>
                <w:bCs/>
                <w:sz w:val="24"/>
                <w:highlight w:val="none"/>
              </w:rPr>
              <w:t>含短期或临时性保洁服务</w:t>
            </w:r>
          </w:p>
        </w:tc>
        <w:tc>
          <w:tcPr>
            <w:tcW w:w="6634" w:type="dxa"/>
            <w:shd w:val="clear" w:color="auto" w:fill="auto"/>
          </w:tcPr>
          <w:p w14:paraId="111F4F03">
            <w:pPr>
              <w:spacing w:line="577" w:lineRule="exact"/>
              <w:rPr>
                <w:rFonts w:ascii="仿宋" w:hAnsi="仿宋" w:eastAsia="仿宋" w:cs="仿宋"/>
                <w:sz w:val="24"/>
                <w:highlight w:val="none"/>
              </w:rPr>
            </w:pPr>
            <w:r>
              <w:rPr>
                <w:rFonts w:hint="eastAsia" w:ascii="仿宋" w:hAnsi="仿宋" w:eastAsia="仿宋" w:cs="仿宋"/>
                <w:sz w:val="24"/>
                <w:highlight w:val="none"/>
              </w:rPr>
              <w:t>包括计算机室、特殊设备等教室的清洁与消毒，短期考试、面试、讲座等教室清洁与消毒，临时大型会议或活动场地的清洁与消毒服务等。</w:t>
            </w:r>
          </w:p>
        </w:tc>
      </w:tr>
    </w:tbl>
    <w:p w14:paraId="0095FB83">
      <w:pPr>
        <w:spacing w:line="577" w:lineRule="exact"/>
        <w:ind w:firstLine="723" w:firstLineChars="300"/>
        <w:rPr>
          <w:rFonts w:ascii="仿宋" w:hAnsi="仿宋" w:eastAsia="仿宋" w:cs="仿宋"/>
          <w:b/>
          <w:bCs/>
          <w:sz w:val="24"/>
          <w:highlight w:val="none"/>
        </w:rPr>
      </w:pPr>
      <w:r>
        <w:rPr>
          <w:rFonts w:hint="eastAsia" w:ascii="仿宋" w:hAnsi="仿宋" w:eastAsia="仿宋" w:cs="仿宋"/>
          <w:b/>
          <w:bCs/>
          <w:sz w:val="24"/>
          <w:highlight w:val="none"/>
        </w:rPr>
        <w:t>（二）室外保洁与消杀</w:t>
      </w:r>
    </w:p>
    <w:tbl>
      <w:tblPr>
        <w:tblStyle w:val="4"/>
        <w:tblW w:w="9635" w:type="dxa"/>
        <w:tblInd w:w="-4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7"/>
        <w:gridCol w:w="1938"/>
        <w:gridCol w:w="6450"/>
      </w:tblGrid>
      <w:tr w14:paraId="2C200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47" w:type="dxa"/>
            <w:shd w:val="clear" w:color="auto" w:fill="auto"/>
            <w:vAlign w:val="center"/>
          </w:tcPr>
          <w:p w14:paraId="2C7DF247">
            <w:pPr>
              <w:spacing w:line="577" w:lineRule="exact"/>
              <w:jc w:val="center"/>
              <w:rPr>
                <w:rFonts w:ascii="仿宋" w:hAnsi="仿宋" w:eastAsia="仿宋" w:cs="仿宋"/>
                <w:b/>
                <w:bCs/>
                <w:sz w:val="24"/>
                <w:highlight w:val="none"/>
              </w:rPr>
            </w:pPr>
            <w:r>
              <w:rPr>
                <w:rFonts w:hint="eastAsia" w:ascii="仿宋" w:hAnsi="仿宋" w:eastAsia="仿宋" w:cs="仿宋"/>
                <w:b/>
                <w:bCs/>
                <w:sz w:val="24"/>
                <w:highlight w:val="none"/>
              </w:rPr>
              <w:t>校区</w:t>
            </w:r>
          </w:p>
        </w:tc>
        <w:tc>
          <w:tcPr>
            <w:tcW w:w="1938" w:type="dxa"/>
            <w:shd w:val="clear" w:color="auto" w:fill="auto"/>
            <w:vAlign w:val="center"/>
          </w:tcPr>
          <w:p w14:paraId="74CD6C73">
            <w:pPr>
              <w:spacing w:line="577" w:lineRule="exact"/>
              <w:jc w:val="center"/>
              <w:rPr>
                <w:rFonts w:ascii="仿宋" w:hAnsi="仿宋" w:eastAsia="仿宋" w:cs="仿宋"/>
                <w:b/>
                <w:bCs/>
                <w:sz w:val="24"/>
                <w:highlight w:val="none"/>
              </w:rPr>
            </w:pPr>
            <w:r>
              <w:rPr>
                <w:rFonts w:hint="eastAsia" w:ascii="仿宋" w:hAnsi="仿宋" w:eastAsia="仿宋" w:cs="仿宋"/>
                <w:b/>
                <w:bCs/>
                <w:sz w:val="24"/>
                <w:highlight w:val="none"/>
              </w:rPr>
              <w:t>保洁面积（平米）</w:t>
            </w:r>
          </w:p>
        </w:tc>
        <w:tc>
          <w:tcPr>
            <w:tcW w:w="6450" w:type="dxa"/>
            <w:shd w:val="clear" w:color="auto" w:fill="auto"/>
            <w:vAlign w:val="center"/>
          </w:tcPr>
          <w:p w14:paraId="6742929C">
            <w:pPr>
              <w:spacing w:line="577" w:lineRule="exact"/>
              <w:jc w:val="center"/>
              <w:rPr>
                <w:rFonts w:ascii="仿宋" w:hAnsi="仿宋" w:eastAsia="仿宋" w:cs="仿宋"/>
                <w:b/>
                <w:bCs/>
                <w:sz w:val="24"/>
                <w:highlight w:val="none"/>
              </w:rPr>
            </w:pPr>
            <w:r>
              <w:rPr>
                <w:rFonts w:hint="eastAsia" w:ascii="仿宋" w:hAnsi="仿宋" w:eastAsia="仿宋" w:cs="仿宋"/>
                <w:b/>
                <w:bCs/>
                <w:sz w:val="24"/>
                <w:highlight w:val="none"/>
              </w:rPr>
              <w:t>服务范围</w:t>
            </w:r>
          </w:p>
        </w:tc>
      </w:tr>
      <w:tr w14:paraId="1025F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shd w:val="clear" w:color="auto" w:fill="auto"/>
          </w:tcPr>
          <w:p w14:paraId="49A2BDE1">
            <w:pPr>
              <w:spacing w:line="577" w:lineRule="exact"/>
              <w:jc w:val="center"/>
              <w:rPr>
                <w:rFonts w:ascii="仿宋" w:hAnsi="仿宋" w:eastAsia="仿宋" w:cs="仿宋"/>
                <w:sz w:val="24"/>
                <w:highlight w:val="none"/>
              </w:rPr>
            </w:pPr>
            <w:r>
              <w:rPr>
                <w:rFonts w:hint="eastAsia" w:ascii="仿宋" w:hAnsi="仿宋" w:eastAsia="仿宋" w:cs="仿宋"/>
                <w:sz w:val="24"/>
                <w:highlight w:val="none"/>
              </w:rPr>
              <w:t>清河校区</w:t>
            </w:r>
          </w:p>
        </w:tc>
        <w:tc>
          <w:tcPr>
            <w:tcW w:w="1938" w:type="dxa"/>
            <w:shd w:val="clear" w:color="auto" w:fill="auto"/>
          </w:tcPr>
          <w:p w14:paraId="3CD9723A">
            <w:pPr>
              <w:spacing w:line="577" w:lineRule="exact"/>
              <w:jc w:val="center"/>
              <w:rPr>
                <w:rFonts w:ascii="仿宋" w:hAnsi="仿宋" w:eastAsia="仿宋" w:cs="仿宋"/>
                <w:sz w:val="24"/>
                <w:highlight w:val="none"/>
              </w:rPr>
            </w:pPr>
            <w:r>
              <w:rPr>
                <w:rFonts w:hint="eastAsia" w:ascii="仿宋" w:hAnsi="仿宋" w:eastAsia="仿宋" w:cs="仿宋"/>
                <w:sz w:val="24"/>
                <w:highlight w:val="none"/>
              </w:rPr>
              <w:t>30206.67</w:t>
            </w:r>
          </w:p>
        </w:tc>
        <w:tc>
          <w:tcPr>
            <w:tcW w:w="6450" w:type="dxa"/>
            <w:vMerge w:val="restart"/>
            <w:shd w:val="clear" w:color="auto" w:fill="auto"/>
          </w:tcPr>
          <w:p w14:paraId="40254A74">
            <w:pPr>
              <w:pStyle w:val="2"/>
              <w:spacing w:line="577" w:lineRule="exact"/>
              <w:rPr>
                <w:rFonts w:ascii="仿宋" w:hAnsi="仿宋" w:eastAsia="仿宋" w:cs="仿宋"/>
                <w:highlight w:val="none"/>
              </w:rPr>
            </w:pPr>
            <w:r>
              <w:rPr>
                <w:rFonts w:hint="eastAsia" w:ascii="仿宋" w:hAnsi="仿宋" w:eastAsia="仿宋" w:cs="仿宋"/>
                <w:highlight w:val="none"/>
              </w:rPr>
              <w:t>包括校园内及家属区所有道路、大、小广场、室外运动场所、其它硬化铺装路面、文化宣传设施、生活垃圾驿站设施、果皮箱等日常保洁与消杀作业；以及临时大型活动场地的清洁服务等。</w:t>
            </w:r>
          </w:p>
        </w:tc>
      </w:tr>
      <w:tr w14:paraId="73626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shd w:val="clear" w:color="auto" w:fill="auto"/>
          </w:tcPr>
          <w:p w14:paraId="55DE8FFD">
            <w:pPr>
              <w:spacing w:line="577" w:lineRule="exact"/>
              <w:jc w:val="center"/>
              <w:rPr>
                <w:rFonts w:ascii="仿宋" w:hAnsi="仿宋" w:eastAsia="仿宋" w:cs="仿宋"/>
                <w:sz w:val="24"/>
                <w:highlight w:val="none"/>
              </w:rPr>
            </w:pPr>
            <w:r>
              <w:rPr>
                <w:rFonts w:hint="eastAsia" w:ascii="仿宋" w:hAnsi="仿宋" w:eastAsia="仿宋" w:cs="仿宋"/>
                <w:sz w:val="24"/>
                <w:highlight w:val="none"/>
              </w:rPr>
              <w:t>香山校区</w:t>
            </w:r>
          </w:p>
        </w:tc>
        <w:tc>
          <w:tcPr>
            <w:tcW w:w="1938" w:type="dxa"/>
            <w:shd w:val="clear" w:color="auto" w:fill="auto"/>
          </w:tcPr>
          <w:p w14:paraId="7A2BF27A">
            <w:pPr>
              <w:spacing w:line="577" w:lineRule="exact"/>
              <w:jc w:val="center"/>
              <w:rPr>
                <w:rFonts w:ascii="仿宋" w:hAnsi="仿宋" w:eastAsia="仿宋" w:cs="仿宋"/>
                <w:sz w:val="24"/>
                <w:highlight w:val="none"/>
              </w:rPr>
            </w:pPr>
            <w:r>
              <w:rPr>
                <w:rFonts w:hint="eastAsia" w:ascii="仿宋" w:hAnsi="仿宋" w:eastAsia="仿宋" w:cs="仿宋"/>
                <w:sz w:val="24"/>
                <w:highlight w:val="none"/>
              </w:rPr>
              <w:t>17375.5</w:t>
            </w:r>
          </w:p>
        </w:tc>
        <w:tc>
          <w:tcPr>
            <w:tcW w:w="6450" w:type="dxa"/>
            <w:vMerge w:val="continue"/>
            <w:shd w:val="clear" w:color="auto" w:fill="auto"/>
          </w:tcPr>
          <w:p w14:paraId="518D5AC0">
            <w:pPr>
              <w:spacing w:line="577" w:lineRule="exact"/>
              <w:jc w:val="center"/>
              <w:rPr>
                <w:rFonts w:ascii="仿宋" w:hAnsi="仿宋" w:eastAsia="仿宋" w:cs="仿宋"/>
                <w:sz w:val="24"/>
                <w:highlight w:val="none"/>
              </w:rPr>
            </w:pPr>
          </w:p>
        </w:tc>
      </w:tr>
      <w:tr w14:paraId="584EB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shd w:val="clear" w:color="auto" w:fill="auto"/>
          </w:tcPr>
          <w:p w14:paraId="40B186F0">
            <w:pPr>
              <w:spacing w:line="577" w:lineRule="exact"/>
              <w:jc w:val="center"/>
              <w:rPr>
                <w:rFonts w:ascii="仿宋" w:hAnsi="仿宋" w:eastAsia="仿宋" w:cs="仿宋"/>
                <w:sz w:val="24"/>
                <w:highlight w:val="none"/>
              </w:rPr>
            </w:pPr>
          </w:p>
        </w:tc>
        <w:tc>
          <w:tcPr>
            <w:tcW w:w="1938" w:type="dxa"/>
            <w:shd w:val="clear" w:color="auto" w:fill="auto"/>
          </w:tcPr>
          <w:p w14:paraId="14C54F6E">
            <w:pPr>
              <w:spacing w:line="577" w:lineRule="exact"/>
              <w:jc w:val="center"/>
              <w:rPr>
                <w:rFonts w:ascii="仿宋" w:hAnsi="仿宋" w:eastAsia="仿宋" w:cs="仿宋"/>
                <w:sz w:val="24"/>
                <w:highlight w:val="none"/>
              </w:rPr>
            </w:pPr>
          </w:p>
        </w:tc>
        <w:tc>
          <w:tcPr>
            <w:tcW w:w="6450" w:type="dxa"/>
            <w:vMerge w:val="continue"/>
            <w:shd w:val="clear" w:color="auto" w:fill="auto"/>
          </w:tcPr>
          <w:p w14:paraId="324D4956">
            <w:pPr>
              <w:spacing w:line="577" w:lineRule="exact"/>
              <w:jc w:val="left"/>
              <w:rPr>
                <w:rFonts w:ascii="仿宋" w:hAnsi="仿宋" w:eastAsia="仿宋" w:cs="仿宋"/>
                <w:sz w:val="24"/>
                <w:highlight w:val="none"/>
              </w:rPr>
            </w:pPr>
          </w:p>
        </w:tc>
      </w:tr>
    </w:tbl>
    <w:p w14:paraId="5886A7B8">
      <w:pPr>
        <w:spacing w:line="577" w:lineRule="exact"/>
        <w:ind w:firstLine="241" w:firstLineChars="100"/>
        <w:rPr>
          <w:rFonts w:ascii="仿宋" w:hAnsi="仿宋" w:eastAsia="仿宋" w:cs="仿宋"/>
          <w:b/>
          <w:bCs/>
          <w:sz w:val="24"/>
          <w:highlight w:val="none"/>
        </w:rPr>
      </w:pPr>
      <w:r>
        <w:rPr>
          <w:rFonts w:hint="eastAsia" w:ascii="仿宋" w:hAnsi="仿宋" w:eastAsia="仿宋" w:cs="仿宋"/>
          <w:b/>
          <w:bCs/>
          <w:sz w:val="24"/>
          <w:highlight w:val="none"/>
        </w:rPr>
        <w:t>（三）校园绿化与养护</w:t>
      </w:r>
    </w:p>
    <w:tbl>
      <w:tblPr>
        <w:tblStyle w:val="4"/>
        <w:tblW w:w="9611"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1915"/>
        <w:gridCol w:w="6450"/>
      </w:tblGrid>
      <w:tr w14:paraId="7BEEB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246" w:type="dxa"/>
            <w:shd w:val="clear" w:color="auto" w:fill="auto"/>
            <w:vAlign w:val="center"/>
          </w:tcPr>
          <w:p w14:paraId="109399FF">
            <w:pPr>
              <w:spacing w:line="577" w:lineRule="exact"/>
              <w:jc w:val="center"/>
              <w:rPr>
                <w:rFonts w:ascii="仿宋" w:hAnsi="仿宋" w:eastAsia="仿宋" w:cs="仿宋"/>
                <w:b/>
                <w:bCs/>
                <w:sz w:val="24"/>
                <w:highlight w:val="none"/>
              </w:rPr>
            </w:pPr>
            <w:r>
              <w:rPr>
                <w:rFonts w:hint="eastAsia" w:ascii="仿宋" w:hAnsi="仿宋" w:eastAsia="仿宋" w:cs="仿宋"/>
                <w:b/>
                <w:bCs/>
                <w:sz w:val="24"/>
                <w:highlight w:val="none"/>
              </w:rPr>
              <w:t>校区</w:t>
            </w:r>
          </w:p>
        </w:tc>
        <w:tc>
          <w:tcPr>
            <w:tcW w:w="1915" w:type="dxa"/>
            <w:shd w:val="clear" w:color="auto" w:fill="auto"/>
            <w:vAlign w:val="center"/>
          </w:tcPr>
          <w:p w14:paraId="365333A0">
            <w:pPr>
              <w:spacing w:line="577" w:lineRule="exact"/>
              <w:jc w:val="center"/>
              <w:rPr>
                <w:rFonts w:ascii="仿宋" w:hAnsi="仿宋" w:eastAsia="仿宋" w:cs="仿宋"/>
                <w:b/>
                <w:bCs/>
                <w:sz w:val="24"/>
                <w:highlight w:val="none"/>
              </w:rPr>
            </w:pPr>
            <w:r>
              <w:rPr>
                <w:rFonts w:hint="eastAsia" w:ascii="仿宋" w:hAnsi="仿宋" w:eastAsia="仿宋" w:cs="仿宋"/>
                <w:b/>
                <w:bCs/>
                <w:sz w:val="24"/>
                <w:highlight w:val="none"/>
              </w:rPr>
              <w:t>养护面积（平米）</w:t>
            </w:r>
          </w:p>
        </w:tc>
        <w:tc>
          <w:tcPr>
            <w:tcW w:w="6450" w:type="dxa"/>
            <w:shd w:val="clear" w:color="auto" w:fill="auto"/>
            <w:vAlign w:val="center"/>
          </w:tcPr>
          <w:p w14:paraId="42F9BCAD">
            <w:pPr>
              <w:spacing w:line="577" w:lineRule="exact"/>
              <w:jc w:val="center"/>
              <w:rPr>
                <w:rFonts w:ascii="仿宋" w:hAnsi="仿宋" w:eastAsia="仿宋" w:cs="仿宋"/>
                <w:b/>
                <w:bCs/>
                <w:sz w:val="24"/>
                <w:highlight w:val="none"/>
              </w:rPr>
            </w:pPr>
            <w:r>
              <w:rPr>
                <w:rFonts w:hint="eastAsia" w:ascii="仿宋" w:hAnsi="仿宋" w:eastAsia="仿宋" w:cs="仿宋"/>
                <w:b/>
                <w:bCs/>
                <w:sz w:val="24"/>
                <w:highlight w:val="none"/>
              </w:rPr>
              <w:t>服务范围</w:t>
            </w:r>
          </w:p>
        </w:tc>
      </w:tr>
      <w:tr w14:paraId="42657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shd w:val="clear" w:color="auto" w:fill="auto"/>
          </w:tcPr>
          <w:p w14:paraId="21710913">
            <w:pPr>
              <w:spacing w:line="577" w:lineRule="exact"/>
              <w:jc w:val="center"/>
              <w:rPr>
                <w:rFonts w:ascii="仿宋" w:hAnsi="仿宋" w:eastAsia="仿宋" w:cs="仿宋"/>
                <w:sz w:val="24"/>
                <w:highlight w:val="none"/>
              </w:rPr>
            </w:pPr>
            <w:r>
              <w:rPr>
                <w:rFonts w:hint="eastAsia" w:ascii="仿宋" w:hAnsi="仿宋" w:eastAsia="仿宋" w:cs="仿宋"/>
                <w:sz w:val="24"/>
                <w:highlight w:val="none"/>
              </w:rPr>
              <w:t>清河校区</w:t>
            </w:r>
          </w:p>
        </w:tc>
        <w:tc>
          <w:tcPr>
            <w:tcW w:w="1915" w:type="dxa"/>
            <w:shd w:val="clear" w:color="auto" w:fill="auto"/>
          </w:tcPr>
          <w:p w14:paraId="44A0C052">
            <w:pPr>
              <w:spacing w:line="577" w:lineRule="exact"/>
              <w:jc w:val="center"/>
              <w:rPr>
                <w:rFonts w:ascii="仿宋" w:hAnsi="仿宋" w:eastAsia="仿宋" w:cs="仿宋"/>
                <w:sz w:val="24"/>
                <w:highlight w:val="none"/>
              </w:rPr>
            </w:pPr>
            <w:r>
              <w:rPr>
                <w:rFonts w:hint="eastAsia" w:ascii="仿宋" w:hAnsi="仿宋" w:eastAsia="仿宋" w:cs="仿宋"/>
                <w:sz w:val="24"/>
                <w:highlight w:val="none"/>
              </w:rPr>
              <w:t>2248.00</w:t>
            </w:r>
          </w:p>
        </w:tc>
        <w:tc>
          <w:tcPr>
            <w:tcW w:w="6450" w:type="dxa"/>
            <w:vMerge w:val="restart"/>
            <w:shd w:val="clear" w:color="auto" w:fill="auto"/>
          </w:tcPr>
          <w:p w14:paraId="71B83076">
            <w:pPr>
              <w:spacing w:line="577" w:lineRule="exact"/>
              <w:jc w:val="left"/>
              <w:rPr>
                <w:rFonts w:ascii="仿宋" w:hAnsi="仿宋" w:eastAsia="仿宋" w:cs="仿宋"/>
                <w:sz w:val="24"/>
                <w:highlight w:val="none"/>
              </w:rPr>
            </w:pPr>
            <w:r>
              <w:rPr>
                <w:rFonts w:hint="eastAsia" w:ascii="仿宋" w:hAnsi="仿宋" w:eastAsia="仿宋" w:cs="仿宋"/>
                <w:sz w:val="24"/>
                <w:highlight w:val="none"/>
              </w:rPr>
              <w:t>包括校区内所种植的花草树木的养护，绿化补种、移栽，节假日景观布置等绿化工作。</w:t>
            </w:r>
          </w:p>
        </w:tc>
      </w:tr>
      <w:tr w14:paraId="4D44C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shd w:val="clear" w:color="auto" w:fill="auto"/>
          </w:tcPr>
          <w:p w14:paraId="6AE8B980">
            <w:pPr>
              <w:spacing w:line="577" w:lineRule="exact"/>
              <w:jc w:val="center"/>
              <w:rPr>
                <w:rFonts w:ascii="仿宋" w:hAnsi="仿宋" w:eastAsia="仿宋" w:cs="仿宋"/>
                <w:sz w:val="24"/>
                <w:highlight w:val="none"/>
              </w:rPr>
            </w:pPr>
            <w:r>
              <w:rPr>
                <w:rFonts w:hint="eastAsia" w:ascii="仿宋" w:hAnsi="仿宋" w:eastAsia="仿宋" w:cs="仿宋"/>
                <w:sz w:val="24"/>
                <w:highlight w:val="none"/>
              </w:rPr>
              <w:t>香山校区</w:t>
            </w:r>
          </w:p>
        </w:tc>
        <w:tc>
          <w:tcPr>
            <w:tcW w:w="1915" w:type="dxa"/>
            <w:shd w:val="clear" w:color="auto" w:fill="auto"/>
          </w:tcPr>
          <w:p w14:paraId="4D97D54A">
            <w:pPr>
              <w:spacing w:line="577" w:lineRule="exact"/>
              <w:jc w:val="center"/>
              <w:rPr>
                <w:rFonts w:ascii="仿宋" w:hAnsi="仿宋" w:eastAsia="仿宋" w:cs="仿宋"/>
                <w:sz w:val="24"/>
                <w:highlight w:val="none"/>
              </w:rPr>
            </w:pPr>
            <w:r>
              <w:rPr>
                <w:rFonts w:hint="eastAsia" w:ascii="仿宋" w:hAnsi="仿宋" w:eastAsia="仿宋" w:cs="仿宋"/>
                <w:sz w:val="24"/>
                <w:highlight w:val="none"/>
              </w:rPr>
              <w:t>3450.00</w:t>
            </w:r>
          </w:p>
        </w:tc>
        <w:tc>
          <w:tcPr>
            <w:tcW w:w="6450" w:type="dxa"/>
            <w:vMerge w:val="continue"/>
            <w:shd w:val="clear" w:color="auto" w:fill="auto"/>
          </w:tcPr>
          <w:p w14:paraId="4FB6885B">
            <w:pPr>
              <w:spacing w:line="577" w:lineRule="exact"/>
              <w:jc w:val="center"/>
              <w:rPr>
                <w:rFonts w:ascii="仿宋" w:hAnsi="仿宋" w:eastAsia="仿宋" w:cs="仿宋"/>
                <w:sz w:val="24"/>
                <w:highlight w:val="none"/>
              </w:rPr>
            </w:pPr>
          </w:p>
        </w:tc>
      </w:tr>
      <w:tr w14:paraId="32B17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shd w:val="clear" w:color="auto" w:fill="auto"/>
          </w:tcPr>
          <w:p w14:paraId="5A5C9F31">
            <w:pPr>
              <w:spacing w:line="577" w:lineRule="exact"/>
              <w:jc w:val="center"/>
              <w:rPr>
                <w:rFonts w:ascii="仿宋" w:hAnsi="仿宋" w:eastAsia="仿宋" w:cs="仿宋"/>
                <w:sz w:val="24"/>
                <w:highlight w:val="none"/>
              </w:rPr>
            </w:pPr>
          </w:p>
        </w:tc>
        <w:tc>
          <w:tcPr>
            <w:tcW w:w="1915" w:type="dxa"/>
            <w:shd w:val="clear" w:color="auto" w:fill="auto"/>
          </w:tcPr>
          <w:p w14:paraId="0B191028">
            <w:pPr>
              <w:spacing w:line="577" w:lineRule="exact"/>
              <w:jc w:val="center"/>
              <w:rPr>
                <w:rFonts w:ascii="仿宋" w:hAnsi="仿宋" w:eastAsia="仿宋" w:cs="仿宋"/>
                <w:sz w:val="24"/>
                <w:highlight w:val="none"/>
              </w:rPr>
            </w:pPr>
          </w:p>
        </w:tc>
        <w:tc>
          <w:tcPr>
            <w:tcW w:w="6450" w:type="dxa"/>
            <w:vMerge w:val="continue"/>
            <w:shd w:val="clear" w:color="auto" w:fill="auto"/>
          </w:tcPr>
          <w:p w14:paraId="71FCF1E5">
            <w:pPr>
              <w:spacing w:line="577" w:lineRule="exact"/>
              <w:jc w:val="left"/>
              <w:rPr>
                <w:rFonts w:ascii="仿宋" w:hAnsi="仿宋" w:eastAsia="仿宋" w:cs="仿宋"/>
                <w:sz w:val="24"/>
                <w:highlight w:val="none"/>
              </w:rPr>
            </w:pPr>
          </w:p>
        </w:tc>
      </w:tr>
    </w:tbl>
    <w:p w14:paraId="4B1E2F84">
      <w:pPr>
        <w:spacing w:line="577" w:lineRule="exact"/>
        <w:ind w:firstLine="241" w:firstLineChars="100"/>
        <w:rPr>
          <w:rFonts w:ascii="仿宋" w:hAnsi="仿宋" w:eastAsia="仿宋" w:cs="仿宋"/>
          <w:b/>
          <w:bCs/>
          <w:sz w:val="24"/>
          <w:highlight w:val="none"/>
        </w:rPr>
      </w:pPr>
      <w:r>
        <w:rPr>
          <w:rFonts w:hint="eastAsia" w:ascii="仿宋" w:hAnsi="仿宋" w:eastAsia="仿宋" w:cs="仿宋"/>
          <w:b/>
          <w:bCs/>
          <w:sz w:val="24"/>
          <w:highlight w:val="none"/>
        </w:rPr>
        <w:t>（四）其它托管的项目</w:t>
      </w:r>
    </w:p>
    <w:p w14:paraId="6989EDF1">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生活垃圾分类管理运行与外运：严格执行北京市生活垃圾分类管理条例，参照北京学校生活垃圾分类指引，负责两校区设置的垃圾分类驿站、垃圾桶、转运车辆、转运站的保洁与消毒工作；负责各公寓楼、家属楼前驿站的垃圾分类指引与分拣、校内转运与称重等环节的管理运行，并做好相应记录。负责与北京市环卫部门指定的生活垃圾转运公司和消纳场签订合法合规的清运合同；并按相关规定做好生活垃圾外运工作。</w:t>
      </w:r>
    </w:p>
    <w:p w14:paraId="0524A414">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化粪池清掏与外运：负责两校区所有的化粪池、集污井、隔油池及相关地下管道定期清洗作业，保持干净，负责与北京市环卫部门指定专业公司签订合法合规的清掏与转运消纳合同。并按照相关规定做好外运工作。</w:t>
      </w:r>
    </w:p>
    <w:p w14:paraId="363B4395">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3.电梯维护与年检：香山校区设置2部货运食梯，按照北京市公共场所电梯维护、保养管理办法执行；负责与北京市具有相关资质的电梯维保专业公司签订合法合规的维保协议，并按照相关规定做好电梯的定期保养与年检工作。</w:t>
      </w:r>
    </w:p>
    <w:p w14:paraId="370A59B6">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4.水电维修服务：负责香山、清河校区水电及小型维修服务工作。水电及小型维修服务人员应具有相关工作经验及高低压电工行业证书，现场工作。完成领导交办的其他工作。</w:t>
      </w:r>
      <w:r>
        <w:rPr>
          <w:rFonts w:hint="eastAsia" w:ascii="仿宋" w:hAnsi="仿宋" w:eastAsia="仿宋" w:cs="仿宋"/>
          <w:b/>
          <w:bCs/>
          <w:sz w:val="24"/>
          <w:highlight w:val="none"/>
        </w:rPr>
        <w:t>每个校区各需安排有高压电工资格证电工1名及维修工1名，协助完成校区日常维修、值班等工作内容。</w:t>
      </w:r>
    </w:p>
    <w:p w14:paraId="2214BE9A">
      <w:pPr>
        <w:spacing w:line="577" w:lineRule="exact"/>
        <w:ind w:firstLine="482" w:firstLineChars="200"/>
        <w:rPr>
          <w:rFonts w:ascii="仿宋" w:hAnsi="仿宋" w:eastAsia="仿宋" w:cs="仿宋"/>
          <w:b/>
          <w:bCs/>
          <w:sz w:val="24"/>
          <w:highlight w:val="none"/>
        </w:rPr>
      </w:pPr>
      <w:bookmarkStart w:id="7" w:name="_Hlk15827427"/>
      <w:r>
        <w:rPr>
          <w:rFonts w:hint="eastAsia" w:ascii="仿宋" w:hAnsi="仿宋" w:eastAsia="仿宋" w:cs="仿宋"/>
          <w:b/>
          <w:bCs/>
          <w:sz w:val="24"/>
          <w:highlight w:val="none"/>
        </w:rPr>
        <w:t>（五）其它管理工作</w:t>
      </w:r>
    </w:p>
    <w:p w14:paraId="5BB3A08F">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1.迎新、送旧保洁：在寒暑假期间完成学生宿舍内的卫生清理及开荒工作。</w:t>
      </w:r>
    </w:p>
    <w:p w14:paraId="6A84F817">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2.活动服务保障：学院组织的各种会议接待、重大节日、校庆、招生、考试、运动会等各类集体活动的服务保障工作。</w:t>
      </w:r>
    </w:p>
    <w:p w14:paraId="0D631F1B">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3.档案管理：物业内部管理资料、与校方有关的涉外文件材料的存档。</w:t>
      </w:r>
    </w:p>
    <w:p w14:paraId="185F4D6C">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4.设施设备监督与检查：所管辖区域内的设施设备发生故障时，及时报修，并做好善后工作。</w:t>
      </w:r>
    </w:p>
    <w:p w14:paraId="632485A5">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5.特殊服务：包括四害消杀、白蚁防治、公共洗手间卫生用品配置。</w:t>
      </w:r>
    </w:p>
    <w:p w14:paraId="2402CD8E">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6.防汛工作：配合校方每年做好暑期防汛工作。</w:t>
      </w:r>
    </w:p>
    <w:p w14:paraId="20E3565E">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7.</w:t>
      </w:r>
      <w:bookmarkEnd w:id="7"/>
      <w:bookmarkStart w:id="8" w:name="_Hlk15827597"/>
      <w:r>
        <w:rPr>
          <w:rFonts w:hint="eastAsia" w:ascii="仿宋" w:hAnsi="仿宋" w:eastAsia="仿宋" w:cs="仿宋"/>
          <w:sz w:val="24"/>
          <w:highlight w:val="none"/>
        </w:rPr>
        <w:t>国家法律法规、规范性文件规定由物业公司管理的事项。</w:t>
      </w:r>
    </w:p>
    <w:p w14:paraId="739FA6C1">
      <w:pPr>
        <w:pStyle w:val="2"/>
        <w:rPr>
          <w:rFonts w:eastAsia="仿宋"/>
          <w:highlight w:val="none"/>
        </w:rPr>
      </w:pPr>
      <w:r>
        <w:rPr>
          <w:rFonts w:hint="eastAsia" w:ascii="仿宋" w:hAnsi="仿宋" w:eastAsia="仿宋" w:cs="仿宋"/>
          <w:highlight w:val="none"/>
        </w:rPr>
        <w:t>　　8.配合学校完成对学生的劳动教育工作。</w:t>
      </w:r>
    </w:p>
    <w:bookmarkEnd w:id="8"/>
    <w:p w14:paraId="70DEB689">
      <w:pPr>
        <w:spacing w:line="577" w:lineRule="exact"/>
        <w:ind w:firstLine="482" w:firstLineChars="200"/>
        <w:rPr>
          <w:rFonts w:ascii="仿宋" w:hAnsi="仿宋" w:eastAsia="仿宋" w:cs="仿宋"/>
          <w:b/>
          <w:bCs/>
          <w:sz w:val="24"/>
          <w:highlight w:val="none"/>
        </w:rPr>
      </w:pPr>
      <w:bookmarkStart w:id="9" w:name="_Toc17802067"/>
      <w:bookmarkStart w:id="10" w:name="_Toc424488090"/>
      <w:r>
        <w:rPr>
          <w:rFonts w:hint="eastAsia" w:ascii="仿宋" w:hAnsi="仿宋" w:eastAsia="仿宋" w:cs="仿宋"/>
          <w:b/>
          <w:bCs/>
          <w:sz w:val="24"/>
          <w:highlight w:val="none"/>
        </w:rPr>
        <w:t>四、物业项目招标服务期限</w:t>
      </w:r>
      <w:bookmarkEnd w:id="9"/>
    </w:p>
    <w:p w14:paraId="2A6A2B0C">
      <w:pPr>
        <w:spacing w:line="577" w:lineRule="exact"/>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1.服务期限：2026年1月1日至2026年12月31日。</w:t>
      </w:r>
      <w:bookmarkEnd w:id="10"/>
      <w:bookmarkStart w:id="11" w:name="_Toc424488100"/>
    </w:p>
    <w:p w14:paraId="7A8A6727">
      <w:pPr>
        <w:spacing w:line="577" w:lineRule="exact"/>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五、管理要求</w:t>
      </w:r>
    </w:p>
    <w:p w14:paraId="78E43303">
      <w:pPr>
        <w:spacing w:line="577" w:lineRule="exact"/>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（一）人员管理要求</w:t>
      </w:r>
    </w:p>
    <w:p w14:paraId="3F64AB8F">
      <w:pPr>
        <w:spacing w:line="577" w:lineRule="exact"/>
        <w:ind w:firstLine="720" w:firstLineChars="300"/>
        <w:rPr>
          <w:rFonts w:ascii="仿宋" w:hAnsi="仿宋" w:eastAsia="仿宋" w:cs="仿宋"/>
          <w:sz w:val="24"/>
          <w:highlight w:val="none"/>
        </w:rPr>
      </w:pPr>
      <w:r>
        <w:rPr>
          <w:rFonts w:hint="eastAsia" w:ascii="仿宋" w:hAnsi="仿宋" w:eastAsia="仿宋" w:cs="仿宋"/>
          <w:sz w:val="24"/>
          <w:highlight w:val="none"/>
        </w:rPr>
        <w:t>中标人所招聘的服务人员必须持有</w:t>
      </w:r>
      <w:r>
        <w:rPr>
          <w:rFonts w:hint="eastAsia" w:ascii="仿宋" w:hAnsi="仿宋" w:eastAsia="仿宋" w:cs="仿宋"/>
          <w:b/>
          <w:bCs/>
          <w:sz w:val="24"/>
          <w:highlight w:val="none"/>
        </w:rPr>
        <w:t>身份证、健康证</w:t>
      </w:r>
      <w:r>
        <w:rPr>
          <w:rFonts w:hint="eastAsia" w:ascii="仿宋" w:hAnsi="仿宋" w:eastAsia="仿宋" w:cs="仿宋"/>
          <w:sz w:val="24"/>
          <w:highlight w:val="none"/>
        </w:rPr>
        <w:t>方可入校。专业技术人员须按规定持有专业技术上岗证或资格证。</w:t>
      </w:r>
      <w:r>
        <w:rPr>
          <w:rFonts w:hint="eastAsia" w:ascii="仿宋" w:hAnsi="仿宋" w:eastAsia="仿宋" w:cs="仿宋"/>
          <w:sz w:val="24"/>
          <w:szCs w:val="24"/>
          <w:highlight w:val="none"/>
        </w:rPr>
        <w:t>保洁负责人应具备累计从事过相关物业管理的项目工作经验不低于</w:t>
      </w:r>
      <w:r>
        <w:rPr>
          <w:rFonts w:ascii="仿宋" w:hAnsi="仿宋" w:eastAsia="仿宋" w:cs="仿宋"/>
          <w:sz w:val="24"/>
          <w:szCs w:val="24"/>
          <w:highlight w:val="none"/>
        </w:rPr>
        <w:t>2</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eastAsia="zh-CN"/>
        </w:rPr>
        <w:t>，拟派绿化负责人需持有大学专科及以上学历，拟派维修人员持有特种作业人员操作证（电工）</w:t>
      </w:r>
      <w:r>
        <w:rPr>
          <w:rFonts w:hint="eastAsia" w:ascii="仿宋" w:hAnsi="仿宋" w:eastAsia="仿宋" w:cs="仿宋"/>
          <w:sz w:val="24"/>
          <w:szCs w:val="24"/>
          <w:highlight w:val="none"/>
        </w:rPr>
        <w:t>。</w:t>
      </w:r>
      <w:r>
        <w:rPr>
          <w:rFonts w:hint="eastAsia" w:ascii="仿宋" w:hAnsi="仿宋" w:eastAsia="仿宋" w:cs="仿宋"/>
          <w:sz w:val="24"/>
          <w:highlight w:val="none"/>
        </w:rPr>
        <w:t>所聘人员入校后，须遵守学校的有关规章制度，接受校区治安管理与检查；中标人对所聘用人员要与其签订劳动合同，依法用工，保护员工合法权益。依法支付不低于北京市最低工资标准劳动报酬，按时缴纳社会保险费、提供劳动保护条件，并承担相应的民事责任。根据校方各校区功能变化，两校区人员服从校方统筹调配使用工作。</w:t>
      </w:r>
    </w:p>
    <w:p w14:paraId="2159B2EF">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管理人员责任如下：</w:t>
      </w:r>
    </w:p>
    <w:p w14:paraId="657E682A">
      <w:pPr>
        <w:spacing w:line="577" w:lineRule="exact"/>
        <w:ind w:firstLine="723" w:firstLineChars="300"/>
        <w:rPr>
          <w:rFonts w:ascii="仿宋" w:hAnsi="仿宋" w:eastAsia="仿宋" w:cs="仿宋"/>
          <w:sz w:val="24"/>
          <w:highlight w:val="none"/>
        </w:rPr>
      </w:pPr>
      <w:r>
        <w:rPr>
          <w:rFonts w:hint="eastAsia" w:ascii="仿宋" w:hAnsi="仿宋" w:eastAsia="仿宋" w:cs="仿宋"/>
          <w:b/>
          <w:bCs/>
          <w:sz w:val="24"/>
          <w:highlight w:val="none"/>
        </w:rPr>
        <w:t>1.项目经理责任：项目经理应具有大专学历及以上，</w:t>
      </w:r>
      <w:r>
        <w:rPr>
          <w:rFonts w:hint="eastAsia" w:ascii="仿宋" w:hAnsi="仿宋" w:eastAsia="仿宋" w:cs="仿宋"/>
          <w:sz w:val="24"/>
          <w:highlight w:val="none"/>
        </w:rPr>
        <w:t>负责与校方的沟通协调工作，全面负责两校区物业服务管理工作。</w:t>
      </w:r>
    </w:p>
    <w:p w14:paraId="1CC6E2F6">
      <w:pPr>
        <w:spacing w:line="577" w:lineRule="exact"/>
        <w:ind w:firstLine="723" w:firstLineChars="300"/>
        <w:rPr>
          <w:rFonts w:ascii="仿宋" w:hAnsi="仿宋" w:eastAsia="仿宋" w:cs="仿宋"/>
          <w:sz w:val="24"/>
          <w:highlight w:val="none"/>
        </w:rPr>
      </w:pPr>
      <w:r>
        <w:rPr>
          <w:rFonts w:hint="eastAsia" w:ascii="仿宋" w:hAnsi="仿宋" w:eastAsia="仿宋" w:cs="仿宋"/>
          <w:b/>
          <w:bCs/>
          <w:sz w:val="24"/>
          <w:highlight w:val="none"/>
        </w:rPr>
        <w:t>2.两校区主管责任：</w:t>
      </w:r>
      <w:r>
        <w:rPr>
          <w:rFonts w:hint="eastAsia" w:ascii="仿宋" w:hAnsi="仿宋" w:eastAsia="仿宋" w:cs="仿宋"/>
          <w:sz w:val="24"/>
          <w:highlight w:val="none"/>
        </w:rPr>
        <w:t>在项目经理直接领导下，负责各自校区室内外保洁与环境消毒、生活垃圾分类管理与运行、化粪池清掏等环节日常管理与服务工作；按照北京市园林绿化二级养护标准，负责各自校区花草树木日常绿化养护及移栽、补种指导与管理工作。</w:t>
      </w:r>
    </w:p>
    <w:p w14:paraId="36F59CAE">
      <w:pPr>
        <w:spacing w:line="577" w:lineRule="exact"/>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 xml:space="preserve">（二）合作期间各项服务指标 </w:t>
      </w:r>
    </w:p>
    <w:p w14:paraId="085B0568">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1.杜绝火灾责任事故，杜绝刑事案件；</w:t>
      </w:r>
    </w:p>
    <w:p w14:paraId="6436D216">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2.环境卫生清洁率≥95％；</w:t>
      </w:r>
    </w:p>
    <w:p w14:paraId="78CE4D62">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3.有效投诉率≤1％，有效投诉处理率100％；</w:t>
      </w:r>
    </w:p>
    <w:p w14:paraId="18549F24">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4.校方满意率≥90％ 。</w:t>
      </w:r>
    </w:p>
    <w:p w14:paraId="77BD4977">
      <w:pPr>
        <w:spacing w:line="577" w:lineRule="exact"/>
        <w:ind w:firstLine="482" w:firstLineChars="200"/>
        <w:rPr>
          <w:rFonts w:ascii="仿宋" w:hAnsi="仿宋" w:eastAsia="仿宋" w:cs="仿宋"/>
          <w:sz w:val="24"/>
          <w:highlight w:val="none"/>
        </w:rPr>
      </w:pPr>
      <w:r>
        <w:rPr>
          <w:rFonts w:hint="eastAsia" w:ascii="仿宋" w:hAnsi="仿宋" w:eastAsia="仿宋" w:cs="仿宋"/>
          <w:b/>
          <w:bCs/>
          <w:sz w:val="24"/>
          <w:highlight w:val="none"/>
        </w:rPr>
        <w:t>5.服务考核：</w:t>
      </w:r>
      <w:r>
        <w:rPr>
          <w:rFonts w:hint="eastAsia" w:ascii="仿宋" w:hAnsi="仿宋" w:eastAsia="仿宋" w:cs="仿宋"/>
          <w:sz w:val="24"/>
          <w:highlight w:val="none"/>
        </w:rPr>
        <w:t>合同期内，学校依据</w:t>
      </w:r>
      <w:bookmarkStart w:id="12" w:name="_Hlk16193306"/>
      <w:r>
        <w:rPr>
          <w:rFonts w:hint="eastAsia" w:ascii="仿宋" w:hAnsi="仿宋" w:eastAsia="仿宋" w:cs="仿宋"/>
          <w:sz w:val="24"/>
          <w:highlight w:val="none"/>
        </w:rPr>
        <w:t>《后勤管理处外包项目监督管理办法》</w:t>
      </w:r>
      <w:bookmarkEnd w:id="12"/>
      <w:r>
        <w:rPr>
          <w:rFonts w:hint="eastAsia" w:ascii="仿宋" w:hAnsi="仿宋" w:eastAsia="仿宋" w:cs="仿宋"/>
          <w:sz w:val="24"/>
          <w:highlight w:val="none"/>
        </w:rPr>
        <w:t>对物业公司进行年度考评，考核等级分别为A级、B级、C级三个等级。半年考评一次，考评综合得分在B级（80分以上，含80分），达到合同规定的服务目标，合同继续执行；考评综合得分在B级（80分以上，含80分）以下，学校有权终止本合同；</w:t>
      </w:r>
    </w:p>
    <w:p w14:paraId="64BF0B23">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6.合同期内，如发生不具备北京市市级政采资格，服务协议自动终止。</w:t>
      </w:r>
    </w:p>
    <w:p w14:paraId="599E04F7">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（三）根据上级及学校的有关要求，物业人员在工作中应节电节水。</w:t>
      </w:r>
    </w:p>
    <w:p w14:paraId="2CD9A4F4">
      <w:pPr>
        <w:spacing w:line="577" w:lineRule="exact"/>
        <w:ind w:firstLine="482" w:firstLineChars="200"/>
        <w:rPr>
          <w:rFonts w:ascii="仿宋" w:hAnsi="仿宋" w:eastAsia="仿宋" w:cs="仿宋"/>
          <w:b/>
          <w:bCs/>
          <w:sz w:val="24"/>
          <w:highlight w:val="none"/>
        </w:rPr>
      </w:pPr>
      <w:bookmarkStart w:id="13" w:name="_Toc17802068"/>
      <w:r>
        <w:rPr>
          <w:rFonts w:hint="eastAsia" w:ascii="仿宋" w:hAnsi="仿宋" w:eastAsia="仿宋" w:cs="仿宋"/>
          <w:b/>
          <w:bCs/>
          <w:sz w:val="24"/>
          <w:highlight w:val="none"/>
        </w:rPr>
        <w:t>五、供应商需满足的各项服务日常工作标准</w:t>
      </w:r>
      <w:bookmarkEnd w:id="11"/>
      <w:bookmarkEnd w:id="13"/>
    </w:p>
    <w:p w14:paraId="465E62D3">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不低于《北京市教育委员会关于印发北京高校标准化物业服务标准（试行）的通知》中的要求</w:t>
      </w:r>
    </w:p>
    <w:p w14:paraId="4B4C396E">
      <w:pPr>
        <w:spacing w:line="577" w:lineRule="exact"/>
        <w:ind w:firstLine="482" w:firstLineChars="200"/>
        <w:rPr>
          <w:rFonts w:ascii="仿宋" w:hAnsi="仿宋" w:eastAsia="仿宋" w:cs="仿宋"/>
          <w:b/>
          <w:bCs/>
          <w:sz w:val="24"/>
          <w:highlight w:val="none"/>
        </w:rPr>
      </w:pPr>
      <w:bookmarkStart w:id="14" w:name="_Toc17802069"/>
      <w:r>
        <w:rPr>
          <w:rFonts w:hint="eastAsia" w:ascii="仿宋" w:hAnsi="仿宋" w:eastAsia="仿宋" w:cs="仿宋"/>
          <w:b/>
          <w:bCs/>
          <w:sz w:val="24"/>
          <w:highlight w:val="none"/>
        </w:rPr>
        <w:t>第一部分 室内外保洁服务</w:t>
      </w:r>
    </w:p>
    <w:p w14:paraId="20F2A0EA">
      <w:pPr>
        <w:spacing w:line="577" w:lineRule="exact"/>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（一）保洁服务总则及服务标准</w:t>
      </w:r>
    </w:p>
    <w:p w14:paraId="689C5EE6">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服务总则：</w:t>
      </w:r>
    </w:p>
    <w:p w14:paraId="2F9303F1">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1.环境卫生管理制度和标准完善，有完整工作签到制度和工作质量考核记录。</w:t>
      </w:r>
    </w:p>
    <w:p w14:paraId="4FEF7705">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2.清洁员工在岗态度热情，语言文明，服装整齐，在工作区域动作轻、说话轻；不在工作区域堆放拾荒物资或私人物资。</w:t>
      </w:r>
    </w:p>
    <w:p w14:paraId="73E0DFE0">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3.环卫设施齐全，须配备专门道路清扫和除雪车辆及驾驶人员，定期维护和保证保洁设备及工具完整，工具收纳于指定区域并摆放整齐；按工作程序对范围内的场所进行日常定期清扫或不定期的清扫保洁，做到按制定标准全天候、全方位保洁。</w:t>
      </w:r>
    </w:p>
    <w:p w14:paraId="685C2FDB">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4.监督并及时上报甲方以下工作，包括但不限于：校区室内外四害、蚁害及病媒生物情况。</w:t>
      </w:r>
    </w:p>
    <w:p w14:paraId="1735511B">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5.搞好环境卫生保洁与消毒工作，突发情况保证值班人员及时到位。</w:t>
      </w:r>
    </w:p>
    <w:p w14:paraId="044843B0">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6.若学校规章制度发生变动，应无条件进行相应的管理改进工作。</w:t>
      </w:r>
    </w:p>
    <w:p w14:paraId="2B351D15">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7.根据北京市生活垃圾分类管理条例，进行生活垃圾分类管理，应无条件进行相应的管理改进工作。</w:t>
      </w:r>
    </w:p>
    <w:p w14:paraId="0434FCFB">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服务标准：</w:t>
      </w:r>
    </w:p>
    <w:p w14:paraId="38611C7E">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1.地面、台阶、镜面、洗手盆、无水渍、无污渍、无垃圾、无积尘、光亮。雨雪天气要有防滑、防水措施。</w:t>
      </w:r>
    </w:p>
    <w:p w14:paraId="58AA8906">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2.墙面无灰尘、无乱悬挂、无乱张贴等现象；顶棚目视无灰尘、无蛛网。</w:t>
      </w:r>
    </w:p>
    <w:p w14:paraId="07B38C26">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3.玻璃表面无手印、无积尘、无污渍、明亮。</w:t>
      </w:r>
    </w:p>
    <w:p w14:paraId="6CB41A20">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4.不锈钢表面无手印、无积尘、无污渍、光亮。</w:t>
      </w:r>
    </w:p>
    <w:p w14:paraId="1364C57E">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5.垃圾桶及时清运，并保持垃圾驿站周围区域干净整洁，空气流通无异味。</w:t>
      </w:r>
    </w:p>
    <w:p w14:paraId="61030148">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6.楼梯扶手、栏杆、窗台无污渍、无积尘。</w:t>
      </w:r>
    </w:p>
    <w:p w14:paraId="137B2675">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7.便具洁净无黄渍、下水道畅通无阻塞，垃圾桶随时清理。</w:t>
      </w:r>
    </w:p>
    <w:p w14:paraId="4FB1B8C7">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8.绿植、花盆无积尘、无污渍。</w:t>
      </w:r>
    </w:p>
    <w:p w14:paraId="09C7FD80">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9.其他设施表面无积尘、无污渍、无损坏。</w:t>
      </w:r>
    </w:p>
    <w:p w14:paraId="14A46902">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10.保洁工具及用品要统一放在指定地点。</w:t>
      </w:r>
    </w:p>
    <w:p w14:paraId="00D5822B">
      <w:pPr>
        <w:spacing w:line="577" w:lineRule="exact"/>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（二）室内清洁服务项目及日常服务细则说明</w:t>
      </w:r>
    </w:p>
    <w:p w14:paraId="24A9205C">
      <w:pPr>
        <w:spacing w:line="577" w:lineRule="exact"/>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1.学生公寓</w:t>
      </w:r>
    </w:p>
    <w:p w14:paraId="2458F995">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服务项目说明：公寓所有公共区域（不含宿舍室内）的清洁保洁消毒作业。具体如下：</w:t>
      </w:r>
    </w:p>
    <w:p w14:paraId="2AA6EA12">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（1）负责学生公寓楼道、楼梯、扶手、门把手、水房、卫生间、浴室等公共区域的保洁与消毒及垃圾清运工作；</w:t>
      </w:r>
    </w:p>
    <w:p w14:paraId="4F60D880">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（2）楼内地面干净无杂物，天花板无蜘蛛网，厕所及盥洗室清洁无污垢、无异味；</w:t>
      </w:r>
    </w:p>
    <w:p w14:paraId="054A81B8">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（3）楼门前；每天清扫，垃圾驿站卫生清理与消毒每天三次，保持无果皮、废纸等杂物；</w:t>
      </w:r>
    </w:p>
    <w:p w14:paraId="07BCA2A8">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（4）公共门窗、玻璃、镜子、桌椅保持洁净光亮。</w:t>
      </w:r>
    </w:p>
    <w:p w14:paraId="187EC78D">
      <w:pPr>
        <w:spacing w:line="577" w:lineRule="exact"/>
        <w:ind w:firstLine="482" w:firstLineChars="200"/>
        <w:rPr>
          <w:rFonts w:ascii="仿宋" w:hAnsi="仿宋" w:eastAsia="仿宋" w:cs="仿宋"/>
          <w:sz w:val="24"/>
          <w:highlight w:val="none"/>
        </w:rPr>
      </w:pPr>
      <w:r>
        <w:rPr>
          <w:rFonts w:hint="eastAsia" w:ascii="仿宋" w:hAnsi="仿宋" w:eastAsia="仿宋" w:cs="仿宋"/>
          <w:b/>
          <w:bCs/>
          <w:sz w:val="24"/>
          <w:highlight w:val="none"/>
        </w:rPr>
        <w:t>日常服务细则：</w:t>
      </w:r>
    </w:p>
    <w:p w14:paraId="703F5D87">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（1）每日清洁消毒3次公共洗手间、浴室、通道等公共区域。</w:t>
      </w:r>
    </w:p>
    <w:p w14:paraId="6498ED19">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（2）每日清扫、拖洗3次地面、走道、楼梯等，其中学生公寓包括但不限于首层宿管办公区域、架空层等区域</w:t>
      </w:r>
    </w:p>
    <w:p w14:paraId="136F39D5">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（3）每天擦洗两次扶手、栏杆、指示牌等；</w:t>
      </w:r>
    </w:p>
    <w:p w14:paraId="5B23F98E">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（4）每周一次墙身扫尘和清理过期及不规范张贴物、悬挂物；</w:t>
      </w:r>
    </w:p>
    <w:p w14:paraId="6F8E719D">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（5）每半月清洁一次公共部位的玻璃、天花板；</w:t>
      </w:r>
    </w:p>
    <w:p w14:paraId="45BC665D">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（6）每半月清洁一次公寓天面，包括但不限于天面地面和排水口等方面；</w:t>
      </w:r>
    </w:p>
    <w:p w14:paraId="241EA655">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（7）学生宿舍整体腾空的毕业生房间，按甲方要求及时全方位清洁一次，包括但不限于地面、家具、风扇、窗户、天面、厕所等；</w:t>
      </w:r>
    </w:p>
    <w:p w14:paraId="61ED75A7">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（8）学生宿舍如进行室内维修，在施工完成，配合施工单位做好室内保洁工作。</w:t>
      </w:r>
    </w:p>
    <w:p w14:paraId="64A06977">
      <w:pPr>
        <w:spacing w:line="577" w:lineRule="exact"/>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2.教学楼</w:t>
      </w:r>
    </w:p>
    <w:p w14:paraId="498F4B79">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服务项目说明：教学楼所有公共区域（含教室）的全方位清洁与消毒，包括但不限于教学楼内的通道、楼梯、扶手、公共卫生间等设施设备的清洁与消毒。具体如下：</w:t>
      </w:r>
    </w:p>
    <w:p w14:paraId="70858DD8">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（1）楼道、楼梯、大厅干净整洁、玻璃明亮；地面无污垢、痰迹、纸屑、烟头；窗台无灰尘，窗帘挂放整齐；卫生间无异味、厕坑、镜面无污点；洗手台面无油渍；纸篓随时清理；</w:t>
      </w:r>
    </w:p>
    <w:p w14:paraId="6246956B">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（2）保洁工具与保洁用品要统一放在指定地点，保证楼道、教室、大厅、卫生间整洁；</w:t>
      </w:r>
    </w:p>
    <w:p w14:paraId="28EAC421">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（3）捡拾物品及时上交后勤管理处做失物招领，不许私自处理。</w:t>
      </w:r>
    </w:p>
    <w:p w14:paraId="01FA3A56">
      <w:pPr>
        <w:spacing w:line="577" w:lineRule="exact"/>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日常服务细则：</w:t>
      </w:r>
    </w:p>
    <w:p w14:paraId="131CDF81">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（1）每日两次（周日除外）电梯轿厢内全方位清洁与消毒；</w:t>
      </w:r>
    </w:p>
    <w:p w14:paraId="06B091D2">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（2）洗手间：统一配备纸巾、洗手液、卫生球等卫生用品。</w:t>
      </w:r>
    </w:p>
    <w:p w14:paraId="69732FFA">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要求：</w:t>
      </w:r>
    </w:p>
    <w:p w14:paraId="75D1DDD1">
      <w:pPr>
        <w:spacing w:line="577" w:lineRule="exact"/>
        <w:ind w:firstLine="720" w:firstLineChars="300"/>
        <w:rPr>
          <w:rFonts w:ascii="仿宋" w:hAnsi="仿宋" w:eastAsia="仿宋" w:cs="仿宋"/>
          <w:sz w:val="24"/>
          <w:highlight w:val="none"/>
        </w:rPr>
      </w:pPr>
      <w:r>
        <w:rPr>
          <w:rFonts w:hint="eastAsia" w:ascii="仿宋" w:hAnsi="仿宋" w:eastAsia="仿宋" w:cs="仿宋"/>
          <w:sz w:val="24"/>
          <w:highlight w:val="none"/>
        </w:rPr>
        <w:t>①每日第一节课、第八节课、第十二节课前对所有大小便器、洗手台、隔门、地面等进行全面的清洁与消毒；</w:t>
      </w:r>
    </w:p>
    <w:p w14:paraId="22D0A8A5">
      <w:pPr>
        <w:spacing w:line="577" w:lineRule="exact"/>
        <w:ind w:firstLine="720" w:firstLineChars="300"/>
        <w:rPr>
          <w:rFonts w:ascii="仿宋" w:hAnsi="仿宋" w:eastAsia="仿宋" w:cs="仿宋"/>
          <w:sz w:val="24"/>
          <w:highlight w:val="none"/>
        </w:rPr>
      </w:pPr>
      <w:r>
        <w:rPr>
          <w:rFonts w:hint="eastAsia" w:ascii="仿宋" w:hAnsi="仿宋" w:eastAsia="仿宋" w:cs="仿宋"/>
          <w:sz w:val="24"/>
          <w:highlight w:val="none"/>
        </w:rPr>
        <w:t>②每日至少三次以上的巡回保洁，清理地面垃圾，清理墙面、台面、门上乱张贴的物品，抹干台面水迹，清倒垃圾；</w:t>
      </w:r>
    </w:p>
    <w:p w14:paraId="3C4D0BFB">
      <w:pPr>
        <w:spacing w:line="577" w:lineRule="exact"/>
        <w:ind w:firstLine="720" w:firstLineChars="300"/>
        <w:rPr>
          <w:rFonts w:ascii="仿宋" w:hAnsi="仿宋" w:eastAsia="仿宋" w:cs="仿宋"/>
          <w:sz w:val="24"/>
          <w:highlight w:val="none"/>
        </w:rPr>
      </w:pPr>
      <w:r>
        <w:rPr>
          <w:rFonts w:hint="eastAsia" w:ascii="仿宋" w:hAnsi="仿宋" w:eastAsia="仿宋" w:cs="仿宋"/>
          <w:sz w:val="24"/>
          <w:highlight w:val="none"/>
        </w:rPr>
        <w:t>③洗手间每周用消毒水对洗手盆及大小便器、地板、及蹲位门板进行消毒；配备；</w:t>
      </w:r>
    </w:p>
    <w:p w14:paraId="3A15D361">
      <w:pPr>
        <w:spacing w:line="577" w:lineRule="exact"/>
        <w:ind w:firstLine="720" w:firstLineChars="300"/>
        <w:rPr>
          <w:rFonts w:ascii="仿宋" w:hAnsi="仿宋" w:eastAsia="仿宋" w:cs="仿宋"/>
          <w:sz w:val="24"/>
          <w:highlight w:val="none"/>
        </w:rPr>
      </w:pPr>
      <w:r>
        <w:rPr>
          <w:rFonts w:hint="eastAsia" w:ascii="仿宋" w:hAnsi="仿宋" w:eastAsia="仿宋" w:cs="仿宋"/>
          <w:sz w:val="24"/>
          <w:highlight w:val="none"/>
        </w:rPr>
        <w:t>④每周一次对厕所门窗、灯具、天花板、墙面进行清洁。</w:t>
      </w:r>
    </w:p>
    <w:p w14:paraId="45B4608D">
      <w:pPr>
        <w:spacing w:line="577" w:lineRule="exact"/>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3.办公楼</w:t>
      </w:r>
    </w:p>
    <w:p w14:paraId="7C55D890">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服务项目说明：所有公共区域的全方位清洁与消毒。具体如下：</w:t>
      </w:r>
    </w:p>
    <w:p w14:paraId="536316F4">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（1）大理石墙无灰尘，喷涂墙无污迹。杜绝用酸碱性、及有腐蚀性的液体或物体清洗擦拭；</w:t>
      </w:r>
    </w:p>
    <w:p w14:paraId="43EBC8BF">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（2）地面干净无杂物，大理石地面有光泽，地毯洁净无污渍；</w:t>
      </w:r>
    </w:p>
    <w:p w14:paraId="268B7AF4">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（3）天花板、天棚目视无灰尘、无蜘蛛网，玻璃门窗无明显污迹；</w:t>
      </w:r>
    </w:p>
    <w:p w14:paraId="60CDD5D9">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（4）卫生间无异味，便器无污垢，地面无纸屑、烟头、无积水、无保洁工具，有厕纸、洗手液等； </w:t>
      </w:r>
    </w:p>
    <w:p w14:paraId="60623120">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（5）楼道、楼梯、门、窗、扶手、灯具、风口、消防栓等公用设施擦拭无灰尘、无污迹。每日常态化消毒二次，特殊情况下消毒三次；</w:t>
      </w:r>
    </w:p>
    <w:p w14:paraId="4232A6C7">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（6）地毯一年清洗2次，地面一年保养2次；</w:t>
      </w:r>
    </w:p>
    <w:p w14:paraId="602D7BD4">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（7）10套（每套含3个房间）会客室的卫生保洁工作；</w:t>
      </w:r>
    </w:p>
    <w:p w14:paraId="285772C8">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（8）除上述位置及物品以外的楼内所有场所内的设施、设备、物品的保洁。</w:t>
      </w:r>
    </w:p>
    <w:p w14:paraId="54A70428">
      <w:pPr>
        <w:spacing w:line="577" w:lineRule="exact"/>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日常服务细则：</w:t>
      </w:r>
    </w:p>
    <w:p w14:paraId="03D638C5">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（1）每日（周日除外）一次清洁地面、两次电梯轿厢；</w:t>
      </w:r>
    </w:p>
    <w:p w14:paraId="7E739931">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（2）每周（周日除外）一次擦拭服务区域内的所有家具、门窗；</w:t>
      </w:r>
    </w:p>
    <w:p w14:paraId="0C0F5611">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（3）每月一次清洁服务区域的窗帘、玻璃窗、天花板；</w:t>
      </w:r>
    </w:p>
    <w:p w14:paraId="58DFA4F5">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（4）每日（周日除外）清洁与消毒四次公共洗手间。</w:t>
      </w:r>
    </w:p>
    <w:p w14:paraId="7732874A">
      <w:pPr>
        <w:spacing w:line="577" w:lineRule="exact"/>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4.图书馆、会议室、报告厅包括礼堂等保洁</w:t>
      </w:r>
    </w:p>
    <w:p w14:paraId="7D5973D6">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（1）所有的保洁是由物业统一负责，协助有关部门对会场进行布置及保洁消毒工作。公共区域清洁标准除参照学生公寓公共区域清洁标准外，每日需两次（周日除外）对电梯轿厢内全方位清洁；</w:t>
      </w:r>
    </w:p>
    <w:p w14:paraId="66BADBBB">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（2）公共厕所清洁标准参照教学楼洗手间清洁标准并配备相应卫生用品，包括纸巾、洗手液、卫生球等。</w:t>
      </w:r>
    </w:p>
    <w:p w14:paraId="556AE663">
      <w:pPr>
        <w:spacing w:line="577" w:lineRule="exact"/>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5.以上室内保洁区域消毒标准要求：</w:t>
      </w:r>
    </w:p>
    <w:p w14:paraId="097641CB">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（1）物体表面：可使用含氯消毒剂（有效氯含量 250-500mg/L） 擦拭，作用 30 分钟，再用清水擦净； </w:t>
      </w:r>
    </w:p>
    <w:p w14:paraId="6395C2D4">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（2）地面：可使用含氯消毒剂(有效氯含量 250-500mg/L)用拖布湿式拖拭，作用 30 分钟，再用清水洗净； </w:t>
      </w:r>
    </w:p>
    <w:p w14:paraId="1C9FBD25">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（3）含氯消毒剂的配置和使用以有效氯浓度 500mg/L 的含氯消毒剂配制方法为例：84 消毒液(有效氯含量 5%)：按消毒液：水为 1:99 比例稀释；消毒粉（有效氯含量 12-13%,20 克/包）：1 包消毒粉加 4.8 升水 ；含氯泡腾片（有效氯含量 480mg/片-580mg/片）：1 片溶于1 升水（具体配置应按使用说明操作）。 75%乙醇消毒液可直接使用。</w:t>
      </w:r>
    </w:p>
    <w:p w14:paraId="32E2DEB0">
      <w:pPr>
        <w:spacing w:line="577" w:lineRule="exact"/>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（三）室外清洁服务项目及日常服务细则说明</w:t>
      </w:r>
    </w:p>
    <w:p w14:paraId="68199996">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室外清洁部分包括但不限于道路、排水沟、外墙、绿化带、湖边、果皮箱、宣传栏、标识牌、路灯、候车亭、室外桌椅、垃圾分类驿站、中转站等方面的清洁保洁。</w:t>
      </w:r>
    </w:p>
    <w:p w14:paraId="5588634F">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保持道路、广场、绿化带全天整洁干净，达到“九无”(无果皮、无纸屑、无塑膜、无痰迹、无污水、无暴露垃圾、无烟头、无乱张贴、路牙无泥沙)；“四净”(路面净、果皮箱净、树穴绿化带净、地下通道净)“一通”(下水道口通)。雨雪天气时，保证路面不积水、少结冰（中、大雪保证道路畅通）。具体如下：</w:t>
      </w:r>
    </w:p>
    <w:p w14:paraId="633B066D">
      <w:pPr>
        <w:spacing w:line="577" w:lineRule="exact"/>
        <w:ind w:firstLine="240" w:firstLineChars="100"/>
        <w:rPr>
          <w:rFonts w:ascii="仿宋" w:hAnsi="仿宋" w:eastAsia="仿宋" w:cs="仿宋"/>
          <w:sz w:val="24"/>
          <w:highlight w:val="none"/>
        </w:rPr>
      </w:pPr>
      <w:r>
        <w:rPr>
          <w:rFonts w:hint="eastAsia" w:ascii="仿宋" w:hAnsi="仿宋" w:eastAsia="仿宋" w:cs="仿宋"/>
          <w:sz w:val="24"/>
          <w:highlight w:val="none"/>
        </w:rPr>
        <w:t>1.道路、广场保洁</w:t>
      </w:r>
    </w:p>
    <w:p w14:paraId="671ECEF1">
      <w:pPr>
        <w:spacing w:line="577" w:lineRule="exact"/>
        <w:ind w:firstLine="240" w:firstLineChars="100"/>
        <w:rPr>
          <w:rFonts w:ascii="仿宋" w:hAnsi="仿宋" w:eastAsia="仿宋" w:cs="仿宋"/>
          <w:sz w:val="24"/>
          <w:highlight w:val="none"/>
        </w:rPr>
      </w:pPr>
      <w:r>
        <w:rPr>
          <w:rFonts w:hint="eastAsia" w:ascii="仿宋" w:hAnsi="仿宋" w:eastAsia="仿宋" w:cs="仿宋"/>
          <w:sz w:val="24"/>
          <w:highlight w:val="none"/>
        </w:rPr>
        <w:t>（1）每天在校方作息时间上班前完成各大楼前及校园主要道路、广场保洁工作，随后接着完成其他道路、绿化带的保洁，且巡回保洁，每日清洁2次；</w:t>
      </w:r>
    </w:p>
    <w:p w14:paraId="3F0733FE">
      <w:pPr>
        <w:spacing w:line="577" w:lineRule="exact"/>
        <w:ind w:firstLine="240" w:firstLineChars="100"/>
        <w:rPr>
          <w:rFonts w:ascii="仿宋" w:hAnsi="仿宋" w:eastAsia="仿宋" w:cs="仿宋"/>
          <w:sz w:val="24"/>
          <w:highlight w:val="none"/>
        </w:rPr>
      </w:pPr>
      <w:r>
        <w:rPr>
          <w:rFonts w:hint="eastAsia" w:ascii="仿宋" w:hAnsi="仿宋" w:eastAsia="仿宋" w:cs="仿宋"/>
          <w:sz w:val="24"/>
          <w:highlight w:val="none"/>
        </w:rPr>
        <w:t xml:space="preserve">（2）每日早、中、晚三次将桶站、箱内垃圾集中清运至垃圾楼，做到日产日清，以不存垃圾为原则； </w:t>
      </w:r>
    </w:p>
    <w:p w14:paraId="6F5860D1">
      <w:pPr>
        <w:spacing w:line="577" w:lineRule="exact"/>
        <w:ind w:firstLine="240" w:firstLineChars="100"/>
        <w:rPr>
          <w:rFonts w:ascii="仿宋" w:hAnsi="仿宋" w:eastAsia="仿宋" w:cs="仿宋"/>
          <w:sz w:val="24"/>
          <w:highlight w:val="none"/>
        </w:rPr>
      </w:pPr>
      <w:r>
        <w:rPr>
          <w:rFonts w:hint="eastAsia" w:ascii="仿宋" w:hAnsi="仿宋" w:eastAsia="仿宋" w:cs="仿宋"/>
          <w:sz w:val="24"/>
          <w:highlight w:val="none"/>
        </w:rPr>
        <w:t>（3）遇雨雪天气时，及时组织相关人员清扫，保证路面不积水、少结冰（中、大雪以上负责组织物业各部门共同清扫责任区）；</w:t>
      </w:r>
    </w:p>
    <w:p w14:paraId="4B86E8EA">
      <w:pPr>
        <w:spacing w:line="577" w:lineRule="exact"/>
        <w:ind w:firstLine="240" w:firstLineChars="100"/>
        <w:rPr>
          <w:rFonts w:ascii="仿宋" w:hAnsi="仿宋" w:eastAsia="仿宋" w:cs="仿宋"/>
          <w:sz w:val="24"/>
          <w:highlight w:val="none"/>
        </w:rPr>
      </w:pPr>
      <w:r>
        <w:rPr>
          <w:rFonts w:hint="eastAsia" w:ascii="仿宋" w:hAnsi="仿宋" w:eastAsia="仿宋" w:cs="仿宋"/>
          <w:sz w:val="24"/>
          <w:highlight w:val="none"/>
        </w:rPr>
        <w:t>（4）建筑渣土的处理原则是谁施工谁及时运出，属新的绿化工程中的渣土，清运费用全部包括在工程中；清扫的渣土及杂物和无头渣土由物业公司集中运出学校；</w:t>
      </w:r>
    </w:p>
    <w:p w14:paraId="00BD5BBB">
      <w:pPr>
        <w:spacing w:line="577" w:lineRule="exact"/>
        <w:ind w:firstLine="240" w:firstLineChars="100"/>
        <w:rPr>
          <w:rFonts w:ascii="仿宋" w:hAnsi="仿宋" w:eastAsia="仿宋" w:cs="仿宋"/>
          <w:sz w:val="24"/>
          <w:highlight w:val="none"/>
        </w:rPr>
      </w:pPr>
      <w:r>
        <w:rPr>
          <w:rFonts w:hint="eastAsia" w:ascii="仿宋" w:hAnsi="仿宋" w:eastAsia="仿宋" w:cs="仿宋"/>
          <w:sz w:val="24"/>
          <w:highlight w:val="none"/>
        </w:rPr>
        <w:t>（5）橱窗、小品、灯杆、建（构）筑物清洁；</w:t>
      </w:r>
    </w:p>
    <w:p w14:paraId="0F38D476">
      <w:pPr>
        <w:spacing w:line="577" w:lineRule="exact"/>
        <w:ind w:firstLine="240" w:firstLineChars="100"/>
        <w:rPr>
          <w:rFonts w:ascii="仿宋" w:hAnsi="仿宋" w:eastAsia="仿宋" w:cs="仿宋"/>
          <w:sz w:val="24"/>
          <w:highlight w:val="none"/>
        </w:rPr>
      </w:pPr>
      <w:r>
        <w:rPr>
          <w:rFonts w:hint="eastAsia" w:ascii="仿宋" w:hAnsi="仿宋" w:eastAsia="仿宋" w:cs="仿宋"/>
          <w:sz w:val="24"/>
          <w:highlight w:val="none"/>
        </w:rPr>
        <w:t>（6）重大活动期间实施道路冲洗保湿；主干道每年进行全面清洗至少一次。</w:t>
      </w:r>
    </w:p>
    <w:p w14:paraId="4B2100F6">
      <w:pPr>
        <w:spacing w:line="577" w:lineRule="exact"/>
        <w:ind w:firstLine="241" w:firstLineChars="100"/>
        <w:rPr>
          <w:rFonts w:ascii="仿宋" w:hAnsi="仿宋" w:eastAsia="仿宋" w:cs="仿宋"/>
          <w:b/>
          <w:bCs/>
          <w:sz w:val="24"/>
          <w:highlight w:val="none"/>
        </w:rPr>
      </w:pPr>
      <w:r>
        <w:rPr>
          <w:rFonts w:hint="eastAsia" w:ascii="仿宋" w:hAnsi="仿宋" w:eastAsia="仿宋" w:cs="仿宋"/>
          <w:b/>
          <w:bCs/>
          <w:sz w:val="24"/>
          <w:highlight w:val="none"/>
        </w:rPr>
        <w:t>2.排水沟、雨篦子</w:t>
      </w:r>
    </w:p>
    <w:p w14:paraId="254B43C6">
      <w:pPr>
        <w:spacing w:line="577" w:lineRule="exact"/>
        <w:ind w:firstLine="240" w:firstLineChars="100"/>
        <w:rPr>
          <w:rFonts w:ascii="仿宋" w:hAnsi="仿宋" w:eastAsia="仿宋" w:cs="仿宋"/>
          <w:sz w:val="24"/>
          <w:highlight w:val="none"/>
        </w:rPr>
      </w:pPr>
      <w:r>
        <w:rPr>
          <w:rFonts w:hint="eastAsia" w:ascii="仿宋" w:hAnsi="仿宋" w:eastAsia="仿宋" w:cs="仿宋"/>
          <w:sz w:val="24"/>
          <w:highlight w:val="none"/>
        </w:rPr>
        <w:t>（1）每天巡回检查一次，发现堵塞及时清理；</w:t>
      </w:r>
    </w:p>
    <w:p w14:paraId="7A5F8ECD">
      <w:pPr>
        <w:spacing w:line="577" w:lineRule="exact"/>
        <w:ind w:firstLine="240" w:firstLineChars="100"/>
        <w:rPr>
          <w:rFonts w:ascii="仿宋" w:hAnsi="仿宋" w:eastAsia="仿宋" w:cs="仿宋"/>
          <w:sz w:val="24"/>
          <w:highlight w:val="none"/>
        </w:rPr>
      </w:pPr>
      <w:r>
        <w:rPr>
          <w:rFonts w:hint="eastAsia" w:ascii="仿宋" w:hAnsi="仿宋" w:eastAsia="仿宋" w:cs="仿宋"/>
          <w:sz w:val="24"/>
          <w:highlight w:val="none"/>
        </w:rPr>
        <w:t>（2）每月全面清理、疏通一次；</w:t>
      </w:r>
    </w:p>
    <w:p w14:paraId="3E5F8E3B">
      <w:pPr>
        <w:spacing w:line="577" w:lineRule="exact"/>
        <w:ind w:firstLine="240" w:firstLineChars="100"/>
        <w:rPr>
          <w:rFonts w:ascii="仿宋" w:hAnsi="仿宋" w:eastAsia="仿宋" w:cs="仿宋"/>
          <w:sz w:val="24"/>
          <w:highlight w:val="none"/>
        </w:rPr>
      </w:pPr>
      <w:r>
        <w:rPr>
          <w:rFonts w:hint="eastAsia" w:ascii="仿宋" w:hAnsi="仿宋" w:eastAsia="仿宋" w:cs="仿宋"/>
          <w:sz w:val="24"/>
          <w:highlight w:val="none"/>
        </w:rPr>
        <w:t>（3）每月一次拔除沟里生长的杂草、杂树等植物。</w:t>
      </w:r>
    </w:p>
    <w:p w14:paraId="04B50C0E">
      <w:pPr>
        <w:spacing w:line="577" w:lineRule="exact"/>
        <w:ind w:firstLine="241" w:firstLineChars="100"/>
        <w:rPr>
          <w:rFonts w:ascii="仿宋" w:hAnsi="仿宋" w:eastAsia="仿宋" w:cs="仿宋"/>
          <w:b/>
          <w:bCs/>
          <w:sz w:val="24"/>
          <w:highlight w:val="none"/>
        </w:rPr>
      </w:pPr>
      <w:r>
        <w:rPr>
          <w:rFonts w:hint="eastAsia" w:ascii="仿宋" w:hAnsi="仿宋" w:eastAsia="仿宋" w:cs="仿宋"/>
          <w:b/>
          <w:bCs/>
          <w:sz w:val="24"/>
          <w:highlight w:val="none"/>
        </w:rPr>
        <w:t>3.垃圾桶、果皮箱</w:t>
      </w:r>
    </w:p>
    <w:p w14:paraId="08A8BEA1">
      <w:pPr>
        <w:spacing w:line="577" w:lineRule="exact"/>
        <w:ind w:firstLine="240" w:firstLineChars="100"/>
        <w:rPr>
          <w:rFonts w:ascii="仿宋" w:hAnsi="仿宋" w:eastAsia="仿宋" w:cs="仿宋"/>
          <w:sz w:val="24"/>
          <w:highlight w:val="none"/>
        </w:rPr>
      </w:pPr>
      <w:r>
        <w:rPr>
          <w:rFonts w:hint="eastAsia" w:ascii="仿宋" w:hAnsi="仿宋" w:eastAsia="仿宋" w:cs="仿宋"/>
          <w:sz w:val="24"/>
          <w:highlight w:val="none"/>
        </w:rPr>
        <w:t>（1）每天清运两次，若垃圾桶和果皮箱内垃圾存量超过2/3，应及时清理；</w:t>
      </w:r>
    </w:p>
    <w:p w14:paraId="08EE237D">
      <w:pPr>
        <w:spacing w:line="577" w:lineRule="exact"/>
        <w:ind w:firstLine="240" w:firstLineChars="100"/>
        <w:rPr>
          <w:rFonts w:ascii="仿宋" w:hAnsi="仿宋" w:eastAsia="仿宋" w:cs="仿宋"/>
          <w:sz w:val="24"/>
          <w:highlight w:val="none"/>
        </w:rPr>
      </w:pPr>
      <w:r>
        <w:rPr>
          <w:rFonts w:hint="eastAsia" w:ascii="仿宋" w:hAnsi="仿宋" w:eastAsia="仿宋" w:cs="仿宋"/>
          <w:sz w:val="24"/>
          <w:highlight w:val="none"/>
        </w:rPr>
        <w:t>（2）每天清理冲洗一次；</w:t>
      </w:r>
    </w:p>
    <w:p w14:paraId="094CB848">
      <w:pPr>
        <w:spacing w:line="577" w:lineRule="exact"/>
        <w:ind w:firstLine="240" w:firstLineChars="100"/>
        <w:rPr>
          <w:rFonts w:ascii="仿宋" w:hAnsi="仿宋" w:eastAsia="仿宋" w:cs="仿宋"/>
          <w:sz w:val="24"/>
          <w:highlight w:val="none"/>
        </w:rPr>
      </w:pPr>
      <w:r>
        <w:rPr>
          <w:rFonts w:hint="eastAsia" w:ascii="仿宋" w:hAnsi="仿宋" w:eastAsia="仿宋" w:cs="仿宋"/>
          <w:sz w:val="24"/>
          <w:highlight w:val="none"/>
        </w:rPr>
        <w:t>（3）每天消毒一次；</w:t>
      </w:r>
    </w:p>
    <w:p w14:paraId="145F5400">
      <w:pPr>
        <w:spacing w:line="577" w:lineRule="exact"/>
        <w:ind w:firstLine="240" w:firstLineChars="100"/>
        <w:rPr>
          <w:rFonts w:ascii="仿宋" w:hAnsi="仿宋" w:eastAsia="仿宋" w:cs="仿宋"/>
          <w:sz w:val="24"/>
          <w:highlight w:val="none"/>
        </w:rPr>
      </w:pPr>
      <w:r>
        <w:rPr>
          <w:rFonts w:hint="eastAsia" w:ascii="仿宋" w:hAnsi="仿宋" w:eastAsia="仿宋" w:cs="仿宋"/>
          <w:sz w:val="24"/>
          <w:highlight w:val="none"/>
        </w:rPr>
        <w:t>（4）对损坏的垃圾桶、果皮箱及时更换、补缺。</w:t>
      </w:r>
    </w:p>
    <w:p w14:paraId="07AF5896">
      <w:pPr>
        <w:spacing w:line="577" w:lineRule="exact"/>
        <w:ind w:firstLine="241" w:firstLineChars="100"/>
        <w:rPr>
          <w:rFonts w:ascii="仿宋" w:hAnsi="仿宋" w:eastAsia="仿宋" w:cs="仿宋"/>
          <w:b/>
          <w:bCs/>
          <w:sz w:val="24"/>
          <w:highlight w:val="none"/>
        </w:rPr>
      </w:pPr>
      <w:r>
        <w:rPr>
          <w:rFonts w:hint="eastAsia" w:ascii="仿宋" w:hAnsi="仿宋" w:eastAsia="仿宋" w:cs="仿宋"/>
          <w:b/>
          <w:bCs/>
          <w:sz w:val="24"/>
          <w:highlight w:val="none"/>
        </w:rPr>
        <w:t>4.下水道及化粪池的清理、疏通</w:t>
      </w:r>
    </w:p>
    <w:p w14:paraId="65FE6BDF">
      <w:pPr>
        <w:spacing w:line="577" w:lineRule="exact"/>
        <w:ind w:firstLine="240" w:firstLineChars="100"/>
        <w:rPr>
          <w:rFonts w:ascii="仿宋" w:hAnsi="仿宋" w:eastAsia="仿宋" w:cs="仿宋"/>
          <w:sz w:val="24"/>
          <w:highlight w:val="none"/>
        </w:rPr>
      </w:pPr>
      <w:r>
        <w:rPr>
          <w:rFonts w:hint="eastAsia" w:ascii="仿宋" w:hAnsi="仿宋" w:eastAsia="仿宋" w:cs="仿宋"/>
          <w:sz w:val="24"/>
          <w:highlight w:val="none"/>
        </w:rPr>
        <w:t>（1）每月全面巡查一次，发现堵塞及时上报并处理；</w:t>
      </w:r>
    </w:p>
    <w:p w14:paraId="095F5AB8">
      <w:pPr>
        <w:spacing w:line="577" w:lineRule="exact"/>
        <w:ind w:firstLine="240" w:firstLineChars="100"/>
        <w:rPr>
          <w:rFonts w:ascii="仿宋" w:hAnsi="仿宋" w:eastAsia="仿宋" w:cs="仿宋"/>
          <w:sz w:val="24"/>
          <w:highlight w:val="none"/>
        </w:rPr>
      </w:pPr>
      <w:r>
        <w:rPr>
          <w:rFonts w:hint="eastAsia" w:ascii="仿宋" w:hAnsi="仿宋" w:eastAsia="仿宋" w:cs="仿宋"/>
          <w:sz w:val="24"/>
          <w:highlight w:val="none"/>
        </w:rPr>
        <w:t>（2）对化粪池、集污井、隔油池及相关地下管道每月清理一次，并在出现问题时进行及时处理和疏通，指派专人监督清理过程及工作质量。</w:t>
      </w:r>
    </w:p>
    <w:p w14:paraId="64834D5E">
      <w:pPr>
        <w:spacing w:line="577" w:lineRule="exact"/>
        <w:ind w:firstLine="241" w:firstLineChars="100"/>
        <w:rPr>
          <w:rFonts w:ascii="仿宋" w:hAnsi="仿宋" w:eastAsia="仿宋" w:cs="仿宋"/>
          <w:b/>
          <w:bCs/>
          <w:sz w:val="24"/>
          <w:highlight w:val="none"/>
        </w:rPr>
      </w:pPr>
      <w:r>
        <w:rPr>
          <w:rFonts w:hint="eastAsia" w:ascii="仿宋" w:hAnsi="仿宋" w:eastAsia="仿宋" w:cs="仿宋"/>
          <w:b/>
          <w:bCs/>
          <w:sz w:val="24"/>
          <w:highlight w:val="none"/>
        </w:rPr>
        <w:t>5.绿化带：清理垃圾及枯草烂叶，保洁</w:t>
      </w:r>
    </w:p>
    <w:p w14:paraId="5C7B6937">
      <w:pPr>
        <w:spacing w:line="577" w:lineRule="exact"/>
        <w:ind w:firstLine="240" w:firstLineChars="100"/>
        <w:rPr>
          <w:rFonts w:ascii="仿宋" w:hAnsi="仿宋" w:eastAsia="仿宋" w:cs="仿宋"/>
          <w:sz w:val="24"/>
          <w:highlight w:val="none"/>
        </w:rPr>
      </w:pPr>
      <w:r>
        <w:rPr>
          <w:rFonts w:hint="eastAsia" w:ascii="仿宋" w:hAnsi="仿宋" w:eastAsia="仿宋" w:cs="仿宋"/>
          <w:sz w:val="24"/>
          <w:highlight w:val="none"/>
        </w:rPr>
        <w:t>（1）每日清扫一次草地、绿化带、果皮、纸屑、石块、树叶等垃圾；</w:t>
      </w:r>
    </w:p>
    <w:p w14:paraId="44E01812">
      <w:pPr>
        <w:spacing w:line="577" w:lineRule="exact"/>
        <w:ind w:firstLine="240" w:firstLineChars="100"/>
        <w:rPr>
          <w:rFonts w:ascii="仿宋" w:hAnsi="仿宋" w:eastAsia="仿宋" w:cs="仿宋"/>
          <w:sz w:val="24"/>
          <w:highlight w:val="none"/>
        </w:rPr>
      </w:pPr>
      <w:r>
        <w:rPr>
          <w:rFonts w:hint="eastAsia" w:ascii="仿宋" w:hAnsi="仿宋" w:eastAsia="仿宋" w:cs="仿宋"/>
          <w:sz w:val="24"/>
          <w:highlight w:val="none"/>
        </w:rPr>
        <w:t>（2）秋冬季节或落叶较多时应增加清洁次数；</w:t>
      </w:r>
    </w:p>
    <w:p w14:paraId="47D665B7">
      <w:pPr>
        <w:spacing w:line="577" w:lineRule="exact"/>
        <w:ind w:firstLine="240" w:firstLineChars="100"/>
        <w:rPr>
          <w:rFonts w:ascii="仿宋" w:hAnsi="仿宋" w:eastAsia="仿宋" w:cs="仿宋"/>
          <w:sz w:val="24"/>
          <w:highlight w:val="none"/>
        </w:rPr>
      </w:pPr>
      <w:r>
        <w:rPr>
          <w:rFonts w:hint="eastAsia" w:ascii="仿宋" w:hAnsi="仿宋" w:eastAsia="仿宋" w:cs="仿宋"/>
          <w:sz w:val="24"/>
          <w:highlight w:val="none"/>
        </w:rPr>
        <w:t>（3）对烟头、棉签等用扫把不能打扫起来的小杂物，应用其他工具捡起。</w:t>
      </w:r>
    </w:p>
    <w:p w14:paraId="350C63E9">
      <w:pPr>
        <w:spacing w:line="577" w:lineRule="exact"/>
        <w:ind w:firstLine="241" w:firstLineChars="100"/>
        <w:rPr>
          <w:rFonts w:ascii="仿宋" w:hAnsi="仿宋" w:eastAsia="仿宋" w:cs="仿宋"/>
          <w:b/>
          <w:bCs/>
          <w:sz w:val="24"/>
          <w:highlight w:val="none"/>
        </w:rPr>
      </w:pPr>
      <w:r>
        <w:rPr>
          <w:rFonts w:hint="eastAsia" w:ascii="仿宋" w:hAnsi="仿宋" w:eastAsia="仿宋" w:cs="仿宋"/>
          <w:b/>
          <w:bCs/>
          <w:sz w:val="24"/>
          <w:highlight w:val="none"/>
        </w:rPr>
        <w:t>6.宣传栏、标识牌、和室外桌椅</w:t>
      </w:r>
    </w:p>
    <w:p w14:paraId="5EE3BF02">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每周1次进行全方位清洁，包括但不限于擦拭及去除乱张贴的污渍等；</w:t>
      </w:r>
    </w:p>
    <w:p w14:paraId="1B8DA406">
      <w:pPr>
        <w:spacing w:line="577" w:lineRule="exact"/>
        <w:ind w:firstLine="241" w:firstLineChars="100"/>
        <w:rPr>
          <w:rFonts w:ascii="仿宋" w:hAnsi="仿宋" w:eastAsia="仿宋" w:cs="仿宋"/>
          <w:b/>
          <w:bCs/>
          <w:sz w:val="24"/>
          <w:highlight w:val="none"/>
        </w:rPr>
      </w:pPr>
      <w:r>
        <w:rPr>
          <w:rFonts w:hint="eastAsia" w:ascii="仿宋" w:hAnsi="仿宋" w:eastAsia="仿宋" w:cs="仿宋"/>
          <w:b/>
          <w:bCs/>
          <w:sz w:val="24"/>
          <w:highlight w:val="none"/>
        </w:rPr>
        <w:t>7.路灯</w:t>
      </w:r>
    </w:p>
    <w:p w14:paraId="1FE9F3B8">
      <w:pPr>
        <w:spacing w:line="577" w:lineRule="exact"/>
        <w:ind w:firstLine="240" w:firstLineChars="100"/>
        <w:rPr>
          <w:rFonts w:ascii="仿宋" w:hAnsi="仿宋" w:eastAsia="仿宋" w:cs="仿宋"/>
          <w:sz w:val="24"/>
          <w:highlight w:val="none"/>
        </w:rPr>
      </w:pPr>
      <w:r>
        <w:rPr>
          <w:rFonts w:hint="eastAsia" w:ascii="仿宋" w:hAnsi="仿宋" w:eastAsia="仿宋" w:cs="仿宋"/>
          <w:sz w:val="24"/>
          <w:highlight w:val="none"/>
        </w:rPr>
        <w:t>（1）每月一次清洁灯杆，包括但不限于擦拭及去除乱张贴的污渍等；</w:t>
      </w:r>
    </w:p>
    <w:p w14:paraId="7DEEDE19">
      <w:pPr>
        <w:spacing w:line="577" w:lineRule="exact"/>
        <w:ind w:firstLine="240" w:firstLineChars="100"/>
        <w:rPr>
          <w:rFonts w:ascii="仿宋" w:hAnsi="仿宋" w:eastAsia="仿宋" w:cs="仿宋"/>
          <w:sz w:val="24"/>
          <w:highlight w:val="none"/>
        </w:rPr>
      </w:pPr>
      <w:r>
        <w:rPr>
          <w:rFonts w:hint="eastAsia" w:ascii="仿宋" w:hAnsi="仿宋" w:eastAsia="仿宋" w:cs="仿宋"/>
          <w:sz w:val="24"/>
          <w:highlight w:val="none"/>
        </w:rPr>
        <w:t>（2）每年一次集合灯具维修对灯罩进行内外清洁。</w:t>
      </w:r>
    </w:p>
    <w:p w14:paraId="458A6885">
      <w:pPr>
        <w:spacing w:line="577" w:lineRule="exact"/>
        <w:ind w:firstLine="241" w:firstLineChars="100"/>
        <w:rPr>
          <w:rFonts w:ascii="仿宋" w:hAnsi="仿宋" w:eastAsia="仿宋" w:cs="仿宋"/>
          <w:b/>
          <w:bCs/>
          <w:sz w:val="24"/>
          <w:highlight w:val="none"/>
        </w:rPr>
      </w:pPr>
      <w:r>
        <w:rPr>
          <w:rFonts w:hint="eastAsia" w:ascii="仿宋" w:hAnsi="仿宋" w:eastAsia="仿宋" w:cs="仿宋"/>
          <w:b/>
          <w:bCs/>
          <w:sz w:val="24"/>
          <w:highlight w:val="none"/>
        </w:rPr>
        <w:t>8.垃圾中转站</w:t>
      </w:r>
    </w:p>
    <w:p w14:paraId="5D3B1C2A">
      <w:pPr>
        <w:spacing w:line="577" w:lineRule="exact"/>
        <w:ind w:firstLine="240" w:firstLineChars="100"/>
        <w:rPr>
          <w:rFonts w:ascii="仿宋" w:hAnsi="仿宋" w:eastAsia="仿宋" w:cs="仿宋"/>
          <w:sz w:val="24"/>
          <w:highlight w:val="none"/>
        </w:rPr>
      </w:pPr>
      <w:r>
        <w:rPr>
          <w:rFonts w:hint="eastAsia" w:ascii="仿宋" w:hAnsi="仿宋" w:eastAsia="仿宋" w:cs="仿宋"/>
          <w:sz w:val="24"/>
          <w:highlight w:val="none"/>
        </w:rPr>
        <w:t>（1）垃圾中转站工具摆放整齐，每日对垃圾箱、垃圾场地进行一次清洗消毒，无明显积水，无蚊蝇飞舞；</w:t>
      </w:r>
    </w:p>
    <w:p w14:paraId="019ABB6C">
      <w:pPr>
        <w:spacing w:line="577" w:lineRule="exact"/>
        <w:ind w:firstLine="240" w:firstLineChars="100"/>
        <w:rPr>
          <w:rFonts w:ascii="仿宋" w:hAnsi="仿宋" w:eastAsia="仿宋" w:cs="仿宋"/>
          <w:sz w:val="24"/>
          <w:highlight w:val="none"/>
        </w:rPr>
      </w:pPr>
      <w:r>
        <w:rPr>
          <w:rFonts w:hint="eastAsia" w:ascii="仿宋" w:hAnsi="仿宋" w:eastAsia="仿宋" w:cs="仿宋"/>
          <w:sz w:val="24"/>
          <w:highlight w:val="none"/>
        </w:rPr>
        <w:t>（2）垃圾清运工具应保持清洁无破损，清运过程中不得产生二次污染；</w:t>
      </w:r>
    </w:p>
    <w:p w14:paraId="4E87AA7F">
      <w:pPr>
        <w:spacing w:line="577" w:lineRule="exact"/>
        <w:ind w:firstLine="240" w:firstLineChars="100"/>
        <w:rPr>
          <w:rFonts w:ascii="仿宋" w:hAnsi="仿宋" w:eastAsia="仿宋" w:cs="仿宋"/>
          <w:sz w:val="24"/>
          <w:highlight w:val="none"/>
        </w:rPr>
      </w:pPr>
      <w:r>
        <w:rPr>
          <w:rFonts w:hint="eastAsia" w:ascii="仿宋" w:hAnsi="仿宋" w:eastAsia="仿宋" w:cs="仿宋"/>
          <w:sz w:val="24"/>
          <w:highlight w:val="none"/>
        </w:rPr>
        <w:t>（3）垃圾清运工具属于清洁工具，应由乙方配备及管理；</w:t>
      </w:r>
    </w:p>
    <w:p w14:paraId="7108C936">
      <w:pPr>
        <w:spacing w:line="577" w:lineRule="exact"/>
        <w:ind w:firstLine="240" w:firstLineChars="100"/>
        <w:rPr>
          <w:rFonts w:ascii="仿宋" w:hAnsi="仿宋" w:eastAsia="仿宋" w:cs="仿宋"/>
          <w:sz w:val="24"/>
          <w:highlight w:val="none"/>
        </w:rPr>
      </w:pPr>
      <w:r>
        <w:rPr>
          <w:rFonts w:hint="eastAsia" w:ascii="仿宋" w:hAnsi="仿宋" w:eastAsia="仿宋" w:cs="仿宋"/>
          <w:sz w:val="24"/>
          <w:highlight w:val="none"/>
        </w:rPr>
        <w:t>（4）每日打包垃圾应与当日正午前运至垃圾中转站，不在校区内其他区域堆积。</w:t>
      </w:r>
    </w:p>
    <w:p w14:paraId="2118C0A3">
      <w:pPr>
        <w:spacing w:line="577" w:lineRule="exact"/>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第二部分  园林绿化管理服务项目</w:t>
      </w:r>
    </w:p>
    <w:p w14:paraId="5C07A7B1">
      <w:pPr>
        <w:spacing w:line="577" w:lineRule="exact"/>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（一）园林绿化管理服务总则及服务质量标准</w:t>
      </w:r>
    </w:p>
    <w:p w14:paraId="33B644BD">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服务总则：</w:t>
      </w:r>
    </w:p>
    <w:p w14:paraId="75B04BB9">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建立完善的资料文档记录：包括但不限于绿化固定资产记录（包括但不限于植株种类、特性、病虫害防治方法等）、校区内绿植更替记录、绿植购买台账、工作签到表、防治病虫害记录、施肥记录、主管巡查记录等。</w:t>
      </w:r>
    </w:p>
    <w:p w14:paraId="1DA1A01D">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2.绿化员工在岗工作热情，语言文明，服装整齐，在工作区域动作轻、说话轻；不在工作区域堆放拾荒物资或私人物资。</w:t>
      </w:r>
    </w:p>
    <w:p w14:paraId="51720E3A">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3.绿化设施齐全，定期维护和保证绿化设备及工具完整，工具收纳于指定区域并摆放整齐。</w:t>
      </w:r>
    </w:p>
    <w:p w14:paraId="276C8D7A">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4.进行防治病虫害、施肥、绿地使用、新种植和移除植株等工作，应提前知会甲方。</w:t>
      </w:r>
    </w:p>
    <w:p w14:paraId="37F4D348">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5.大风季节应及时提前做好防风措施，大风过后应及时扶正、清理断枝及树叶等。</w:t>
      </w:r>
    </w:p>
    <w:p w14:paraId="2BD479B4">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6.有完备的《绿化应急工作预案》；如遇突发事件或突发检查时，无条件积极配合校方，搞好绿化工作，突发情况保证值班人员及时到位。</w:t>
      </w:r>
    </w:p>
    <w:p w14:paraId="3EC1FF48">
      <w:pPr>
        <w:spacing w:line="577" w:lineRule="exact"/>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服务质量标准：</w:t>
      </w:r>
    </w:p>
    <w:p w14:paraId="74163F39">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（1）常规绿化养护</w:t>
      </w:r>
    </w:p>
    <w:p w14:paraId="771D3B71">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草坪二级养护与修剪；</w:t>
      </w:r>
    </w:p>
    <w:p w14:paraId="6E343209">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乔灌木二级养护与修剪；</w:t>
      </w:r>
    </w:p>
    <w:p w14:paraId="4D831CEF">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预防病虫害；</w:t>
      </w:r>
    </w:p>
    <w:p w14:paraId="50F8255C">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定期施肥；</w:t>
      </w:r>
    </w:p>
    <w:p w14:paraId="119F4385">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针对现有绿化提出合理化的改进建议。</w:t>
      </w:r>
    </w:p>
    <w:p w14:paraId="11BA178C">
      <w:pPr>
        <w:spacing w:line="577" w:lineRule="exact"/>
        <w:ind w:firstLine="482" w:firstLineChars="200"/>
        <w:rPr>
          <w:rFonts w:ascii="仿宋" w:hAnsi="仿宋" w:eastAsia="仿宋" w:cs="仿宋"/>
          <w:sz w:val="24"/>
          <w:highlight w:val="none"/>
        </w:rPr>
      </w:pPr>
      <w:r>
        <w:rPr>
          <w:rFonts w:hint="eastAsia" w:ascii="仿宋" w:hAnsi="仿宋" w:eastAsia="仿宋" w:cs="仿宋"/>
          <w:b/>
          <w:bCs/>
          <w:sz w:val="24"/>
          <w:highlight w:val="none"/>
        </w:rPr>
        <w:t>（2）常规绿化养护标准</w:t>
      </w:r>
    </w:p>
    <w:p w14:paraId="2A2B72F1">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绿化比较充分，植物配置基本合理，基本达到黄土不露天；</w:t>
      </w:r>
    </w:p>
    <w:p w14:paraId="01F83D7B">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园林植物达到： </w:t>
      </w:r>
    </w:p>
    <w:p w14:paraId="28BDC381">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生长势：正常。生长达到该树种该规格的平均生长量；</w:t>
      </w:r>
    </w:p>
    <w:p w14:paraId="38F8981A">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叶子正常：①叶色、大小、薄厚正常；②较严重黄叶、焦叶、卷叶、带虫尿虫网灰尘的株数在2％以下；③被啃咬的叶片最严重的每株在10％以下；</w:t>
      </w:r>
    </w:p>
    <w:p w14:paraId="625B0089">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枝、干正常：①无明显枯枝、死权；②有蛀干害虫的株数在2％以下(包括2％，以下同)；③介壳虫最严重处主枝主干100平方厘米2头活虫以下，较细枝条每尺长一段上在10头活虫以下，株数都在4％以下；④树冠基本完整：主侧枝分布均称，树冠通风透光；</w:t>
      </w:r>
    </w:p>
    <w:p w14:paraId="12C91BB1">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措施：按二级技术措施要求认真进行养护；</w:t>
      </w:r>
    </w:p>
    <w:p w14:paraId="184C35BE">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行道树缺株在l％以下；</w:t>
      </w:r>
    </w:p>
    <w:p w14:paraId="28498B1C">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草坪覆盖率达95％以上；草坪内杂草控制在20％以内；生长和颜色正常，不枯黄；每年修剪暖地型二次以上，冷地型10次以上；基本无病虫害。</w:t>
      </w:r>
    </w:p>
    <w:p w14:paraId="7056807E">
      <w:pPr>
        <w:spacing w:line="577" w:lineRule="exact"/>
        <w:rPr>
          <w:rFonts w:ascii="仿宋" w:hAnsi="仿宋" w:eastAsia="仿宋" w:cs="仿宋"/>
          <w:sz w:val="24"/>
          <w:highlight w:val="none"/>
        </w:rPr>
      </w:pPr>
      <w:r>
        <w:rPr>
          <w:rFonts w:hint="eastAsia" w:ascii="仿宋" w:hAnsi="仿宋" w:eastAsia="仿宋" w:cs="仿宋"/>
          <w:sz w:val="24"/>
          <w:highlight w:val="none"/>
        </w:rPr>
        <w:t>行道树和绿地内无死树，树木修剪基本合理，树形美观，能较好地解决树木与电线、建筑物、交通等之间的矛盾；</w:t>
      </w:r>
    </w:p>
    <w:p w14:paraId="0C63F3A1">
      <w:pPr>
        <w:spacing w:line="577" w:lineRule="exact"/>
        <w:rPr>
          <w:rFonts w:ascii="仿宋" w:hAnsi="仿宋" w:eastAsia="仿宋" w:cs="仿宋"/>
          <w:sz w:val="24"/>
          <w:highlight w:val="none"/>
        </w:rPr>
      </w:pPr>
      <w:r>
        <w:rPr>
          <w:rFonts w:hint="eastAsia" w:ascii="仿宋" w:hAnsi="仿宋" w:eastAsia="仿宋" w:cs="仿宋"/>
          <w:sz w:val="24"/>
          <w:highlight w:val="none"/>
        </w:rPr>
        <w:t>绿化生产垃圾要做到日产日清，绿地内无明显的废弃物，能坚持在重大节日前进行突击清理；</w:t>
      </w:r>
    </w:p>
    <w:p w14:paraId="11ACE56F">
      <w:pPr>
        <w:spacing w:line="577" w:lineRule="exact"/>
        <w:rPr>
          <w:rFonts w:ascii="仿宋" w:hAnsi="仿宋" w:eastAsia="仿宋" w:cs="仿宋"/>
          <w:sz w:val="24"/>
          <w:highlight w:val="none"/>
        </w:rPr>
      </w:pPr>
      <w:r>
        <w:rPr>
          <w:rFonts w:hint="eastAsia" w:ascii="仿宋" w:hAnsi="仿宋" w:eastAsia="仿宋" w:cs="仿宋"/>
          <w:sz w:val="24"/>
          <w:highlight w:val="none"/>
        </w:rPr>
        <w:t>栏杆、园路、桌椅、井盖和牌饰等园林设施基本完整，基本做到及时维护和油饰；</w:t>
      </w:r>
    </w:p>
    <w:p w14:paraId="78779FA1">
      <w:pPr>
        <w:spacing w:line="577" w:lineRule="exact"/>
        <w:rPr>
          <w:rFonts w:ascii="仿宋" w:hAnsi="仿宋" w:eastAsia="仿宋" w:cs="仿宋"/>
          <w:sz w:val="24"/>
          <w:highlight w:val="none"/>
        </w:rPr>
      </w:pPr>
      <w:r>
        <w:rPr>
          <w:rFonts w:hint="eastAsia" w:ascii="仿宋" w:hAnsi="仿宋" w:eastAsia="仿宋" w:cs="仿宋"/>
          <w:sz w:val="24"/>
          <w:highlight w:val="none"/>
        </w:rPr>
        <w:t>无较重的人为损坏。对轻微或偶尔发生难以控制的人为损坏，能及时发现和处理、绿地、草坪内无堆物堆料、搭棚或侵占等；行道树树干无明显地钉栓刻画现象，树下距树2米以内无影响树木养护管理的堆物堆料、搭棚、圈栏等。</w:t>
      </w:r>
    </w:p>
    <w:p w14:paraId="5647E496">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（3）服务人员身体健康，熟悉绿化养护流程和标准，熟知安全应急预案。</w:t>
      </w:r>
    </w:p>
    <w:p w14:paraId="78FD4EDE">
      <w:pPr>
        <w:spacing w:line="577" w:lineRule="exact"/>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（二）室外绿化管理服务细则</w:t>
      </w:r>
    </w:p>
    <w:p w14:paraId="54CFF6AF">
      <w:pPr>
        <w:spacing w:line="577" w:lineRule="exact"/>
        <w:ind w:firstLine="482" w:firstLineChars="200"/>
        <w:rPr>
          <w:rFonts w:ascii="仿宋" w:hAnsi="仿宋" w:eastAsia="仿宋" w:cs="仿宋"/>
          <w:sz w:val="24"/>
          <w:highlight w:val="none"/>
        </w:rPr>
      </w:pPr>
      <w:bookmarkStart w:id="15" w:name="_Toc424488103"/>
      <w:r>
        <w:rPr>
          <w:rFonts w:hint="eastAsia" w:ascii="仿宋" w:hAnsi="仿宋" w:eastAsia="仿宋" w:cs="仿宋"/>
          <w:b/>
          <w:bCs/>
          <w:sz w:val="24"/>
          <w:highlight w:val="none"/>
        </w:rPr>
        <w:t>（1）乔灌树木</w:t>
      </w:r>
      <w:r>
        <w:rPr>
          <w:rFonts w:hint="eastAsia" w:ascii="仿宋" w:hAnsi="仿宋" w:eastAsia="仿宋" w:cs="仿宋"/>
          <w:sz w:val="24"/>
          <w:highlight w:val="none"/>
        </w:rPr>
        <w:t>：灌木乔木生长良好，树冠丰满，枯死树率小于3%，无萌蘖，无倒伏树木，树体无悬挂物、附着物；无病枝、枯枝、弱枝。适时修剪、整型、除芽、摘心。灌木无枯死株，修剪及时合理；绿篱无明显缺株断条，绿篱下无杂草，绿篱及整形树木修剪及时，整齐美观；垂直绿化植物生长旺盛，整齐美观。</w:t>
      </w:r>
    </w:p>
    <w:p w14:paraId="0002D496">
      <w:pPr>
        <w:spacing w:line="577" w:lineRule="exact"/>
        <w:rPr>
          <w:rFonts w:ascii="仿宋" w:hAnsi="仿宋" w:eastAsia="仿宋" w:cs="仿宋"/>
          <w:sz w:val="24"/>
          <w:highlight w:val="none"/>
        </w:rPr>
      </w:pPr>
      <w:r>
        <w:rPr>
          <w:rFonts w:hint="eastAsia" w:ascii="仿宋" w:hAnsi="仿宋" w:eastAsia="仿宋" w:cs="仿宋"/>
          <w:sz w:val="24"/>
          <w:highlight w:val="none"/>
        </w:rPr>
        <w:t>①修剪：先开花后发叶的种类，将老枝重剪，促进发生强壮枝条；花开于当年新梢的种类，除早春重剪老枝外，在花开后将新梢修剪；观赏枝条及观叶的种类，在秋季进行修剪，使冬枝发挥观赏作用。</w:t>
      </w:r>
    </w:p>
    <w:p w14:paraId="348CFA49">
      <w:pPr>
        <w:spacing w:line="577" w:lineRule="exact"/>
        <w:rPr>
          <w:rFonts w:ascii="仿宋" w:hAnsi="仿宋" w:eastAsia="仿宋" w:cs="仿宋"/>
          <w:sz w:val="24"/>
          <w:highlight w:val="none"/>
        </w:rPr>
      </w:pPr>
      <w:r>
        <w:rPr>
          <w:rFonts w:hint="eastAsia" w:ascii="仿宋" w:hAnsi="仿宋" w:eastAsia="仿宋" w:cs="仿宋"/>
          <w:sz w:val="24"/>
          <w:highlight w:val="none"/>
        </w:rPr>
        <w:t>②整枝：对病枝、枯枝、弱枝及时整理。</w:t>
      </w:r>
    </w:p>
    <w:p w14:paraId="345939A7">
      <w:pPr>
        <w:spacing w:line="577" w:lineRule="exact"/>
        <w:rPr>
          <w:rFonts w:ascii="仿宋" w:hAnsi="仿宋" w:eastAsia="仿宋" w:cs="仿宋"/>
          <w:sz w:val="24"/>
          <w:highlight w:val="none"/>
        </w:rPr>
      </w:pPr>
      <w:r>
        <w:rPr>
          <w:rFonts w:hint="eastAsia" w:ascii="仿宋" w:hAnsi="仿宋" w:eastAsia="仿宋" w:cs="仿宋"/>
          <w:sz w:val="24"/>
          <w:highlight w:val="none"/>
        </w:rPr>
        <w:t>③防治病虫害：每年常规防治春秋各一次，在病虫害发生时随时防治。</w:t>
      </w:r>
    </w:p>
    <w:p w14:paraId="18B9E26F">
      <w:pPr>
        <w:spacing w:line="577" w:lineRule="exact"/>
        <w:rPr>
          <w:rFonts w:ascii="仿宋" w:hAnsi="仿宋" w:eastAsia="仿宋" w:cs="仿宋"/>
          <w:sz w:val="24"/>
          <w:highlight w:val="none"/>
        </w:rPr>
      </w:pPr>
      <w:r>
        <w:rPr>
          <w:rFonts w:hint="eastAsia" w:ascii="仿宋" w:hAnsi="仿宋" w:eastAsia="仿宋" w:cs="仿宋"/>
          <w:sz w:val="24"/>
          <w:highlight w:val="none"/>
        </w:rPr>
        <w:t>④施肥：根据绿地土壤肥力、生理需肥特点、绿地景观需求等情况，每年校园至少需要施肥量3吨有机无机复合肥。</w:t>
      </w:r>
    </w:p>
    <w:p w14:paraId="0C4C311B">
      <w:pPr>
        <w:spacing w:line="577" w:lineRule="exact"/>
        <w:rPr>
          <w:rFonts w:ascii="仿宋" w:hAnsi="仿宋" w:eastAsia="仿宋" w:cs="仿宋"/>
          <w:sz w:val="24"/>
          <w:highlight w:val="none"/>
        </w:rPr>
      </w:pPr>
      <w:r>
        <w:rPr>
          <w:rFonts w:hint="eastAsia" w:ascii="仿宋" w:hAnsi="仿宋" w:eastAsia="仿宋" w:cs="仿宋"/>
          <w:sz w:val="24"/>
          <w:highlight w:val="none"/>
        </w:rPr>
        <w:t>⑤适时浇水、除杂草。</w:t>
      </w:r>
    </w:p>
    <w:p w14:paraId="348D9ABE">
      <w:pPr>
        <w:spacing w:line="577" w:lineRule="exact"/>
        <w:rPr>
          <w:rFonts w:ascii="仿宋" w:hAnsi="仿宋" w:eastAsia="仿宋" w:cs="仿宋"/>
          <w:sz w:val="24"/>
          <w:highlight w:val="none"/>
        </w:rPr>
      </w:pPr>
      <w:r>
        <w:rPr>
          <w:rFonts w:hint="eastAsia" w:ascii="仿宋" w:hAnsi="仿宋" w:eastAsia="仿宋" w:cs="仿宋"/>
          <w:sz w:val="24"/>
          <w:highlight w:val="none"/>
        </w:rPr>
        <w:t>⑥涂白：每年秋季乔木涂白一次。</w:t>
      </w:r>
    </w:p>
    <w:p w14:paraId="100B3B1E">
      <w:pPr>
        <w:spacing w:line="577" w:lineRule="exact"/>
        <w:rPr>
          <w:rFonts w:ascii="仿宋" w:hAnsi="仿宋" w:eastAsia="仿宋" w:cs="仿宋"/>
          <w:sz w:val="24"/>
          <w:highlight w:val="none"/>
        </w:rPr>
      </w:pPr>
      <w:r>
        <w:rPr>
          <w:rFonts w:hint="eastAsia" w:ascii="仿宋" w:hAnsi="仿宋" w:eastAsia="仿宋" w:cs="仿宋"/>
          <w:sz w:val="24"/>
          <w:highlight w:val="none"/>
        </w:rPr>
        <w:t>记录档案：名树古树要有比较完整的档案记录，要定期检查记录，按规定悬挂标志牌。</w:t>
      </w:r>
    </w:p>
    <w:p w14:paraId="521E9912">
      <w:pPr>
        <w:spacing w:line="577" w:lineRule="exact"/>
        <w:ind w:firstLine="482" w:firstLineChars="200"/>
        <w:rPr>
          <w:rFonts w:ascii="仿宋" w:hAnsi="仿宋" w:eastAsia="仿宋" w:cs="仿宋"/>
          <w:sz w:val="24"/>
          <w:highlight w:val="none"/>
        </w:rPr>
      </w:pPr>
      <w:r>
        <w:rPr>
          <w:rFonts w:hint="eastAsia" w:ascii="仿宋" w:hAnsi="仿宋" w:eastAsia="仿宋" w:cs="仿宋"/>
          <w:b/>
          <w:bCs/>
          <w:sz w:val="24"/>
          <w:highlight w:val="none"/>
        </w:rPr>
        <w:t>（2）草坪（地被）</w:t>
      </w:r>
      <w:r>
        <w:rPr>
          <w:rFonts w:hint="eastAsia" w:ascii="仿宋" w:hAnsi="仿宋" w:eastAsia="仿宋" w:cs="仿宋"/>
          <w:sz w:val="24"/>
          <w:highlight w:val="none"/>
        </w:rPr>
        <w:t>：要求生长高度均匀，覆盖度大，无裸露地面。无杂草，无病虫害，色泽正常，绿期长，维持良好的营养水平。草坪和地被植物生长良好，覆盖率95%以上。草坪纯度90%以上，高度低于15cm；自然草地的高度低于20cm。</w:t>
      </w:r>
    </w:p>
    <w:p w14:paraId="1ABBA357">
      <w:pPr>
        <w:spacing w:line="577" w:lineRule="exact"/>
        <w:rPr>
          <w:rFonts w:ascii="仿宋" w:hAnsi="仿宋" w:eastAsia="仿宋" w:cs="仿宋"/>
          <w:sz w:val="24"/>
          <w:highlight w:val="none"/>
        </w:rPr>
      </w:pPr>
      <w:r>
        <w:rPr>
          <w:rFonts w:hint="eastAsia" w:ascii="仿宋" w:hAnsi="仿宋" w:eastAsia="仿宋" w:cs="仿宋"/>
          <w:sz w:val="24"/>
          <w:highlight w:val="none"/>
        </w:rPr>
        <w:t>①修剪：当草坪生长到7公分以上时进行修剪，高度低于15公分，自然草坪高度低于20公分。</w:t>
      </w:r>
    </w:p>
    <w:p w14:paraId="718D7F61">
      <w:pPr>
        <w:spacing w:line="577" w:lineRule="exact"/>
        <w:rPr>
          <w:rFonts w:ascii="仿宋" w:hAnsi="仿宋" w:eastAsia="仿宋" w:cs="仿宋"/>
          <w:sz w:val="24"/>
          <w:highlight w:val="none"/>
        </w:rPr>
      </w:pPr>
      <w:r>
        <w:rPr>
          <w:rFonts w:hint="eastAsia" w:ascii="仿宋" w:hAnsi="仿宋" w:eastAsia="仿宋" w:cs="仿宋"/>
          <w:sz w:val="24"/>
          <w:highlight w:val="none"/>
        </w:rPr>
        <w:t>②防治病虫害：每年常规防治二次，在病虫害发生时随时防治。</w:t>
      </w:r>
    </w:p>
    <w:p w14:paraId="61250757">
      <w:pPr>
        <w:spacing w:line="577" w:lineRule="exact"/>
        <w:rPr>
          <w:rFonts w:ascii="仿宋" w:hAnsi="仿宋" w:eastAsia="仿宋" w:cs="仿宋"/>
          <w:sz w:val="24"/>
          <w:highlight w:val="none"/>
        </w:rPr>
      </w:pPr>
      <w:r>
        <w:rPr>
          <w:rFonts w:hint="eastAsia" w:ascii="仿宋" w:hAnsi="仿宋" w:eastAsia="仿宋" w:cs="仿宋"/>
          <w:sz w:val="24"/>
          <w:highlight w:val="none"/>
        </w:rPr>
        <w:t>③施肥：根据绿地土壤肥力、生理需肥特点、绿地景观需求等情况，合理施肥。</w:t>
      </w:r>
    </w:p>
    <w:p w14:paraId="2CD47561">
      <w:pPr>
        <w:spacing w:line="577" w:lineRule="exact"/>
        <w:rPr>
          <w:rFonts w:ascii="仿宋" w:hAnsi="仿宋" w:eastAsia="仿宋" w:cs="仿宋"/>
          <w:sz w:val="24"/>
          <w:highlight w:val="none"/>
        </w:rPr>
      </w:pPr>
      <w:r>
        <w:rPr>
          <w:rFonts w:hint="eastAsia" w:ascii="仿宋" w:hAnsi="仿宋" w:eastAsia="仿宋" w:cs="仿宋"/>
          <w:sz w:val="24"/>
          <w:highlight w:val="none"/>
        </w:rPr>
        <w:t>④浇水：根据需要及时浇灌。</w:t>
      </w:r>
    </w:p>
    <w:p w14:paraId="151E886C">
      <w:pPr>
        <w:spacing w:line="577" w:lineRule="exact"/>
        <w:rPr>
          <w:rFonts w:ascii="仿宋" w:hAnsi="仿宋" w:eastAsia="仿宋" w:cs="仿宋"/>
          <w:sz w:val="24"/>
          <w:highlight w:val="none"/>
        </w:rPr>
      </w:pPr>
      <w:r>
        <w:rPr>
          <w:rFonts w:hint="eastAsia" w:ascii="仿宋" w:hAnsi="仿宋" w:eastAsia="仿宋" w:cs="仿宋"/>
          <w:sz w:val="24"/>
          <w:highlight w:val="none"/>
        </w:rPr>
        <w:t>⑤除杂：本着除早、除少、除净的原则，及时清除杂草，并及时将除掉的杂草运走。同时及时清除草坪内的残枝落叶。</w:t>
      </w:r>
    </w:p>
    <w:p w14:paraId="475FDE03">
      <w:pPr>
        <w:spacing w:line="577" w:lineRule="exact"/>
        <w:rPr>
          <w:rFonts w:ascii="仿宋" w:hAnsi="仿宋" w:eastAsia="仿宋" w:cs="仿宋"/>
          <w:sz w:val="24"/>
          <w:highlight w:val="none"/>
        </w:rPr>
      </w:pPr>
      <w:r>
        <w:rPr>
          <w:rFonts w:hint="eastAsia" w:ascii="仿宋" w:hAnsi="仿宋" w:eastAsia="仿宋" w:cs="仿宋"/>
          <w:sz w:val="24"/>
          <w:highlight w:val="none"/>
        </w:rPr>
        <w:t>⑥打孔：根据土壤板结情况适时打孔。</w:t>
      </w:r>
    </w:p>
    <w:p w14:paraId="59E1475E">
      <w:pPr>
        <w:spacing w:line="577" w:lineRule="exact"/>
        <w:rPr>
          <w:rFonts w:ascii="仿宋" w:hAnsi="仿宋" w:eastAsia="仿宋" w:cs="仿宋"/>
          <w:sz w:val="24"/>
          <w:highlight w:val="none"/>
        </w:rPr>
      </w:pPr>
      <w:r>
        <w:rPr>
          <w:rFonts w:hint="eastAsia" w:ascii="仿宋" w:hAnsi="仿宋" w:eastAsia="仿宋" w:cs="仿宋"/>
          <w:sz w:val="24"/>
          <w:highlight w:val="none"/>
        </w:rPr>
        <w:t>⑦疏草：根据实际情况适时疏草。</w:t>
      </w:r>
    </w:p>
    <w:p w14:paraId="69617775">
      <w:pPr>
        <w:spacing w:line="577" w:lineRule="exact"/>
        <w:ind w:firstLine="482" w:firstLineChars="200"/>
        <w:rPr>
          <w:rFonts w:ascii="仿宋" w:hAnsi="仿宋" w:eastAsia="仿宋" w:cs="仿宋"/>
          <w:sz w:val="24"/>
          <w:highlight w:val="none"/>
        </w:rPr>
      </w:pPr>
      <w:r>
        <w:rPr>
          <w:rFonts w:hint="eastAsia" w:ascii="仿宋" w:hAnsi="仿宋" w:eastAsia="仿宋" w:cs="仿宋"/>
          <w:b/>
          <w:bCs/>
          <w:sz w:val="24"/>
          <w:highlight w:val="none"/>
        </w:rPr>
        <w:t>（3）灌木花卉：</w:t>
      </w:r>
      <w:r>
        <w:rPr>
          <w:rFonts w:hint="eastAsia" w:ascii="仿宋" w:hAnsi="仿宋" w:eastAsia="仿宋" w:cs="仿宋"/>
          <w:sz w:val="24"/>
          <w:highlight w:val="none"/>
        </w:rPr>
        <w:t>栽摆及时，生长旺盛，花繁叶茂，无明显缺株，无枯死株，无明显残花败叶，无杂草。</w:t>
      </w:r>
    </w:p>
    <w:p w14:paraId="78E89A3B">
      <w:pPr>
        <w:spacing w:line="577" w:lineRule="exact"/>
        <w:rPr>
          <w:rFonts w:ascii="仿宋" w:hAnsi="仿宋" w:eastAsia="仿宋" w:cs="仿宋"/>
          <w:sz w:val="24"/>
          <w:highlight w:val="none"/>
        </w:rPr>
      </w:pPr>
      <w:r>
        <w:rPr>
          <w:rFonts w:hint="eastAsia" w:ascii="仿宋" w:hAnsi="仿宋" w:eastAsia="仿宋" w:cs="仿宋"/>
          <w:sz w:val="24"/>
          <w:highlight w:val="none"/>
        </w:rPr>
        <w:t>①要求及时修剪、浇水、除杂、打药，及时清摘开败的老花残枝、败叶。</w:t>
      </w:r>
    </w:p>
    <w:p w14:paraId="27A65B90">
      <w:pPr>
        <w:spacing w:line="577" w:lineRule="exact"/>
        <w:rPr>
          <w:rFonts w:ascii="仿宋" w:hAnsi="仿宋" w:eastAsia="仿宋" w:cs="仿宋"/>
          <w:sz w:val="24"/>
          <w:highlight w:val="none"/>
        </w:rPr>
      </w:pPr>
      <w:r>
        <w:rPr>
          <w:rFonts w:hint="eastAsia" w:ascii="仿宋" w:hAnsi="仿宋" w:eastAsia="仿宋" w:cs="仿宋"/>
          <w:sz w:val="24"/>
          <w:highlight w:val="none"/>
        </w:rPr>
        <w:t>②及时清理小品中的垃圾、杂物。</w:t>
      </w:r>
    </w:p>
    <w:p w14:paraId="2104C280">
      <w:pPr>
        <w:spacing w:line="577" w:lineRule="exact"/>
        <w:rPr>
          <w:rFonts w:ascii="仿宋" w:hAnsi="仿宋" w:eastAsia="仿宋" w:cs="仿宋"/>
          <w:sz w:val="24"/>
          <w:highlight w:val="none"/>
        </w:rPr>
      </w:pPr>
      <w:r>
        <w:rPr>
          <w:rFonts w:hint="eastAsia" w:ascii="仿宋" w:hAnsi="仿宋" w:eastAsia="仿宋" w:cs="仿宋"/>
          <w:sz w:val="24"/>
          <w:highlight w:val="none"/>
        </w:rPr>
        <w:t>③及时防治病虫害，保持花卉小品内无病虫害，每年常规防治打药二次，病虫害发现及时防治。</w:t>
      </w:r>
    </w:p>
    <w:p w14:paraId="5E926FDD">
      <w:pPr>
        <w:spacing w:line="577" w:lineRule="exact"/>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（4）自然草地：</w:t>
      </w:r>
    </w:p>
    <w:p w14:paraId="3C71A99F">
      <w:pPr>
        <w:spacing w:line="577" w:lineRule="exact"/>
        <w:ind w:firstLine="240" w:firstLineChars="100"/>
        <w:rPr>
          <w:rFonts w:ascii="仿宋" w:hAnsi="仿宋" w:eastAsia="仿宋" w:cs="仿宋"/>
          <w:sz w:val="24"/>
          <w:highlight w:val="none"/>
        </w:rPr>
      </w:pPr>
      <w:r>
        <w:rPr>
          <w:rFonts w:hint="eastAsia" w:ascii="仿宋" w:hAnsi="仿宋" w:eastAsia="仿宋" w:cs="仿宋"/>
          <w:sz w:val="24"/>
          <w:highlight w:val="none"/>
        </w:rPr>
        <w:t>①及时修剪，自然草地的高度不高于20cm。</w:t>
      </w:r>
    </w:p>
    <w:p w14:paraId="620DFE62">
      <w:pPr>
        <w:spacing w:line="577" w:lineRule="exact"/>
        <w:ind w:firstLine="240" w:firstLineChars="100"/>
        <w:rPr>
          <w:rFonts w:ascii="仿宋" w:hAnsi="仿宋" w:eastAsia="仿宋" w:cs="仿宋"/>
          <w:sz w:val="24"/>
          <w:highlight w:val="none"/>
        </w:rPr>
      </w:pPr>
      <w:r>
        <w:rPr>
          <w:rFonts w:hint="eastAsia" w:ascii="仿宋" w:hAnsi="仿宋" w:eastAsia="仿宋" w:cs="仿宋"/>
          <w:sz w:val="24"/>
          <w:highlight w:val="none"/>
        </w:rPr>
        <w:t>②及时清理绿地内的各种砖瓦石块，并排放到学校指定地点。</w:t>
      </w:r>
    </w:p>
    <w:p w14:paraId="1C0AAF8B">
      <w:pPr>
        <w:spacing w:line="577" w:lineRule="exact"/>
        <w:ind w:firstLine="240" w:firstLineChars="100"/>
        <w:rPr>
          <w:rFonts w:ascii="仿宋" w:hAnsi="仿宋" w:eastAsia="仿宋" w:cs="仿宋"/>
          <w:sz w:val="24"/>
          <w:highlight w:val="none"/>
        </w:rPr>
      </w:pPr>
      <w:r>
        <w:rPr>
          <w:rFonts w:hint="eastAsia" w:ascii="仿宋" w:hAnsi="仿宋" w:eastAsia="仿宋" w:cs="仿宋"/>
          <w:sz w:val="24"/>
          <w:highlight w:val="none"/>
        </w:rPr>
        <w:t>③防治病虫害每年常规防治打药二次，病虫害发现及时防治。</w:t>
      </w:r>
    </w:p>
    <w:p w14:paraId="2B999032">
      <w:pPr>
        <w:spacing w:line="577" w:lineRule="exact"/>
        <w:ind w:firstLine="241" w:firstLineChars="100"/>
        <w:rPr>
          <w:rFonts w:ascii="仿宋" w:hAnsi="仿宋" w:eastAsia="仿宋" w:cs="仿宋"/>
          <w:b/>
          <w:bCs/>
          <w:sz w:val="24"/>
          <w:highlight w:val="none"/>
        </w:rPr>
      </w:pPr>
      <w:r>
        <w:rPr>
          <w:rFonts w:hint="eastAsia" w:ascii="仿宋" w:hAnsi="仿宋" w:eastAsia="仿宋" w:cs="仿宋"/>
          <w:b/>
          <w:bCs/>
          <w:sz w:val="24"/>
          <w:highlight w:val="none"/>
        </w:rPr>
        <w:t>卫生要求：</w:t>
      </w:r>
    </w:p>
    <w:p w14:paraId="1DB3FFB0">
      <w:pPr>
        <w:spacing w:line="577" w:lineRule="exact"/>
        <w:ind w:firstLine="240" w:firstLineChars="100"/>
        <w:rPr>
          <w:rFonts w:ascii="仿宋" w:hAnsi="仿宋" w:eastAsia="仿宋" w:cs="仿宋"/>
          <w:sz w:val="24"/>
          <w:highlight w:val="none"/>
        </w:rPr>
      </w:pPr>
      <w:r>
        <w:rPr>
          <w:rFonts w:hint="eastAsia" w:ascii="仿宋" w:hAnsi="仿宋" w:eastAsia="仿宋" w:cs="仿宋"/>
          <w:sz w:val="24"/>
          <w:highlight w:val="none"/>
        </w:rPr>
        <w:t>①绿地内没有垃圾残土。</w:t>
      </w:r>
    </w:p>
    <w:p w14:paraId="63E5A6D3">
      <w:pPr>
        <w:spacing w:line="577" w:lineRule="exact"/>
        <w:ind w:firstLine="240" w:firstLineChars="100"/>
        <w:rPr>
          <w:rFonts w:ascii="仿宋" w:hAnsi="仿宋" w:eastAsia="仿宋" w:cs="仿宋"/>
          <w:sz w:val="24"/>
          <w:highlight w:val="none"/>
        </w:rPr>
      </w:pPr>
      <w:r>
        <w:rPr>
          <w:rFonts w:hint="eastAsia" w:ascii="仿宋" w:hAnsi="仿宋" w:eastAsia="仿宋" w:cs="仿宋"/>
          <w:sz w:val="24"/>
          <w:highlight w:val="none"/>
        </w:rPr>
        <w:t>②秋冬季要及时清理绿地内落叶。</w:t>
      </w:r>
    </w:p>
    <w:p w14:paraId="034CA1A0">
      <w:pPr>
        <w:spacing w:line="577" w:lineRule="exact"/>
        <w:ind w:firstLine="240" w:firstLineChars="100"/>
        <w:rPr>
          <w:rFonts w:ascii="仿宋" w:hAnsi="仿宋" w:eastAsia="仿宋" w:cs="仿宋"/>
          <w:sz w:val="24"/>
          <w:highlight w:val="none"/>
        </w:rPr>
      </w:pPr>
      <w:r>
        <w:rPr>
          <w:rFonts w:hint="eastAsia" w:ascii="仿宋" w:hAnsi="仿宋" w:eastAsia="仿宋" w:cs="仿宋"/>
          <w:sz w:val="24"/>
          <w:highlight w:val="none"/>
        </w:rPr>
        <w:t>③绿化养护过程中清理出来的垃圾杂物、树枝、砖瓦石块和落叶要保证24小时内及时清运出学校，产生的费用包含在投标价格中。</w:t>
      </w:r>
    </w:p>
    <w:p w14:paraId="07190253">
      <w:pPr>
        <w:spacing w:line="577" w:lineRule="exact"/>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（5）绿篱、灌木</w:t>
      </w:r>
    </w:p>
    <w:p w14:paraId="6941CE3B">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绿篱、灌木保持绿篱完整无间断缺口，无死株、断枝现象，植物生长旺盛，叶色浓绿。有病虫害发生时随时防治，树木存活率在90%以上，因病虫害发生死亡的，在1个月内按原有品种和规格补种，加强养护管理。时常清除杂草，保持目视基本无杂草。各物种每年清界3次，保持绿化层次分明。</w:t>
      </w:r>
    </w:p>
    <w:p w14:paraId="168CB0BE">
      <w:pPr>
        <w:spacing w:line="577" w:lineRule="exact"/>
        <w:rPr>
          <w:rFonts w:ascii="仿宋" w:hAnsi="仿宋" w:eastAsia="仿宋" w:cs="仿宋"/>
          <w:b/>
          <w:bCs/>
          <w:sz w:val="24"/>
          <w:highlight w:val="none"/>
        </w:rPr>
      </w:pPr>
      <w:r>
        <w:rPr>
          <w:rFonts w:hint="eastAsia" w:ascii="仿宋" w:hAnsi="仿宋" w:eastAsia="仿宋" w:cs="仿宋"/>
          <w:b/>
          <w:bCs/>
          <w:sz w:val="24"/>
          <w:highlight w:val="none"/>
        </w:rPr>
        <w:t>修剪、浇水、防护：</w:t>
      </w:r>
    </w:p>
    <w:p w14:paraId="73A86B76">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修剪符合植物生长特性，保证各面线条美观、流畅，各造型轮廓形态清晰美观，及时清理修剪下来的枝叶。</w:t>
      </w:r>
    </w:p>
    <w:p w14:paraId="5CE883A2">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按照植物生长特性，天气变化情况适时、适量浇水、追肥，保证植物生长正常、茂盛。一般根据需要适量施肥，不产生“缺素症”。</w:t>
      </w:r>
    </w:p>
    <w:p w14:paraId="523B391D">
      <w:pPr>
        <w:spacing w:line="577" w:lineRule="exact"/>
        <w:rPr>
          <w:rFonts w:ascii="仿宋" w:hAnsi="仿宋" w:eastAsia="仿宋" w:cs="仿宋"/>
          <w:sz w:val="24"/>
          <w:highlight w:val="none"/>
        </w:rPr>
      </w:pPr>
      <w:r>
        <w:rPr>
          <w:rFonts w:hint="eastAsia" w:ascii="仿宋" w:hAnsi="仿宋" w:eastAsia="仿宋" w:cs="仿宋"/>
          <w:b/>
          <w:bCs/>
          <w:sz w:val="24"/>
          <w:highlight w:val="none"/>
        </w:rPr>
        <w:t>病虫害防治：</w:t>
      </w:r>
      <w:r>
        <w:rPr>
          <w:rFonts w:hint="eastAsia" w:ascii="仿宋" w:hAnsi="仿宋" w:eastAsia="仿宋" w:cs="仿宋"/>
          <w:sz w:val="24"/>
          <w:highlight w:val="none"/>
        </w:rPr>
        <w:t>有病虫害发生时随时喷杀防除，因病虫害发生死亡，在1个月内按原有品种补种。</w:t>
      </w:r>
    </w:p>
    <w:p w14:paraId="65D30992">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记录档案：有比较完整的档案记录，要定期检查记录，按规定悬挂标志牌。</w:t>
      </w:r>
    </w:p>
    <w:p w14:paraId="0C7465C0">
      <w:pPr>
        <w:spacing w:line="577" w:lineRule="exact"/>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（6）宿根花卉</w:t>
      </w:r>
    </w:p>
    <w:p w14:paraId="2DFE1D2E">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植物生长茂盛，叶色浓绿，无缺株，无枯黄叶。</w:t>
      </w:r>
    </w:p>
    <w:p w14:paraId="3F4F7734">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修剪、浇水、防护：</w:t>
      </w:r>
    </w:p>
    <w:p w14:paraId="6C450EC3">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根据植物生长特性，需要修剪的植物，根据需要随时修剪。每季度进行一次松土，施肥。随时保持土壤疏松、无板结现象。</w:t>
      </w:r>
    </w:p>
    <w:p w14:paraId="6F0A98B6">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根据不同生长季节的天气情况、不同植物种类和生长情况随时浇水。</w:t>
      </w:r>
    </w:p>
    <w:p w14:paraId="2D0F25FB">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病虫害防治：及时防治病虫害，因病虫害发生死亡，在1个月内按原有品种补种。</w:t>
      </w:r>
    </w:p>
    <w:p w14:paraId="54900F91">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记录档案：有比较完整的档案记录，要定期检查记录，按规定悬挂标志牌。</w:t>
      </w:r>
    </w:p>
    <w:p w14:paraId="765D7D58">
      <w:pPr>
        <w:spacing w:line="577" w:lineRule="exact"/>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7.临时性工作任务</w:t>
      </w:r>
    </w:p>
    <w:p w14:paraId="5E8C6A51">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如遇学校有迎新、迎检、参观学习、毕业生离校、校庆和运动会等大型活动和冬季校园除雪，以及校爱卫会病媒生物防控、疾病防控、控烟时，物业公司应随叫随到无条件配合服务保障，并不收任何费用（服务质量纳入考核）。</w:t>
      </w:r>
    </w:p>
    <w:bookmarkEnd w:id="15"/>
    <w:p w14:paraId="0B544CDA">
      <w:pPr>
        <w:spacing w:line="577" w:lineRule="exact"/>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第三部分 专项物业服务项目及标准</w:t>
      </w:r>
    </w:p>
    <w:p w14:paraId="0DA9C5EA">
      <w:pPr>
        <w:spacing w:line="577" w:lineRule="exact"/>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（一）除四害服务</w:t>
      </w:r>
    </w:p>
    <w:p w14:paraId="6C5C5B9B">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四害消杀质量标准：</w:t>
      </w:r>
    </w:p>
    <w:p w14:paraId="6A179088">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1.根据学校的实际情况，每月除四害不少于一次，有特殊需求除外（预防登革热消杀除外）。 </w:t>
      </w:r>
    </w:p>
    <w:p w14:paraId="762F4DF5">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2.配合市爱国卫生委员会的工作安排，进行灭鼠、灭蟑、灭蝇、灭蚊等消杀工作。</w:t>
      </w:r>
    </w:p>
    <w:p w14:paraId="56750F76">
      <w:pPr>
        <w:spacing w:line="577" w:lineRule="exact"/>
        <w:ind w:firstLine="482" w:firstLineChars="200"/>
        <w:rPr>
          <w:rFonts w:ascii="仿宋" w:hAnsi="仿宋" w:eastAsia="仿宋" w:cs="仿宋"/>
          <w:sz w:val="24"/>
          <w:highlight w:val="none"/>
        </w:rPr>
      </w:pPr>
      <w:r>
        <w:rPr>
          <w:rFonts w:hint="eastAsia" w:ascii="仿宋" w:hAnsi="仿宋" w:eastAsia="仿宋" w:cs="仿宋"/>
          <w:b/>
          <w:bCs/>
          <w:sz w:val="24"/>
          <w:highlight w:val="none"/>
        </w:rPr>
        <w:t>3.室内外灭蚊灭蝇：</w:t>
      </w:r>
      <w:r>
        <w:rPr>
          <w:rFonts w:hint="eastAsia" w:ascii="仿宋" w:hAnsi="仿宋" w:eastAsia="仿宋" w:cs="仿宋"/>
          <w:sz w:val="24"/>
          <w:highlight w:val="none"/>
        </w:rPr>
        <w:t>对所有学生宿舍内部，在一年四季定期分别进行全面消杀，用多飞剋或用氯氟、速杀威1：40稀释药物喷杀。</w:t>
      </w:r>
    </w:p>
    <w:p w14:paraId="2B92BB1A">
      <w:pPr>
        <w:spacing w:line="577" w:lineRule="exact"/>
        <w:ind w:firstLine="482" w:firstLineChars="200"/>
        <w:rPr>
          <w:rFonts w:ascii="仿宋" w:hAnsi="仿宋" w:eastAsia="仿宋" w:cs="仿宋"/>
          <w:sz w:val="24"/>
          <w:highlight w:val="none"/>
        </w:rPr>
      </w:pPr>
      <w:r>
        <w:rPr>
          <w:rFonts w:hint="eastAsia" w:ascii="仿宋" w:hAnsi="仿宋" w:eastAsia="仿宋" w:cs="仿宋"/>
          <w:b/>
          <w:bCs/>
          <w:sz w:val="24"/>
          <w:highlight w:val="none"/>
        </w:rPr>
        <w:t>4.灭鼠</w:t>
      </w:r>
      <w:r>
        <w:rPr>
          <w:rFonts w:hint="eastAsia" w:ascii="仿宋" w:hAnsi="仿宋" w:eastAsia="仿宋" w:cs="仿宋"/>
          <w:sz w:val="24"/>
          <w:highlight w:val="none"/>
        </w:rPr>
        <w:t>：化学灭鼠，及时清检死鼠，并做好适当消毒，发现死鼠应随叫随到，及时清理；药物投放要做到三“率”，即覆盖率100%，到位率100%，保留率100%。</w:t>
      </w:r>
    </w:p>
    <w:p w14:paraId="5B9281E8">
      <w:pPr>
        <w:spacing w:line="577" w:lineRule="exact"/>
        <w:ind w:firstLine="482" w:firstLineChars="200"/>
        <w:rPr>
          <w:rFonts w:ascii="仿宋" w:hAnsi="仿宋" w:eastAsia="仿宋" w:cs="仿宋"/>
          <w:sz w:val="24"/>
          <w:highlight w:val="none"/>
        </w:rPr>
      </w:pPr>
      <w:r>
        <w:rPr>
          <w:rFonts w:hint="eastAsia" w:ascii="仿宋" w:hAnsi="仿宋" w:eastAsia="仿宋" w:cs="仿宋"/>
          <w:b/>
          <w:bCs/>
          <w:sz w:val="24"/>
          <w:highlight w:val="none"/>
        </w:rPr>
        <w:t>5.灭蟑：</w:t>
      </w:r>
      <w:r>
        <w:rPr>
          <w:rFonts w:hint="eastAsia" w:ascii="仿宋" w:hAnsi="仿宋" w:eastAsia="仿宋" w:cs="仿宋"/>
          <w:sz w:val="24"/>
          <w:highlight w:val="none"/>
        </w:rPr>
        <w:t>对蟑螂栖息的孔洞、缝隙内使用高效氯氰菊脂药剂进行灭杀；用高效灭蟑铒上海特灵等药物，进行全面投放；</w:t>
      </w:r>
    </w:p>
    <w:p w14:paraId="561A0205">
      <w:pPr>
        <w:spacing w:line="577" w:lineRule="exact"/>
        <w:ind w:firstLine="482" w:firstLineChars="200"/>
        <w:rPr>
          <w:rFonts w:ascii="仿宋" w:hAnsi="仿宋" w:eastAsia="仿宋" w:cs="仿宋"/>
          <w:sz w:val="24"/>
          <w:highlight w:val="none"/>
        </w:rPr>
      </w:pPr>
      <w:r>
        <w:rPr>
          <w:rFonts w:hint="eastAsia" w:ascii="仿宋" w:hAnsi="仿宋" w:eastAsia="仿宋" w:cs="仿宋"/>
          <w:b/>
          <w:bCs/>
          <w:sz w:val="24"/>
          <w:highlight w:val="none"/>
        </w:rPr>
        <w:t>6.防蛇：</w:t>
      </w:r>
      <w:r>
        <w:rPr>
          <w:rFonts w:hint="eastAsia" w:ascii="仿宋" w:hAnsi="仿宋" w:eastAsia="仿宋" w:cs="仿宋"/>
          <w:sz w:val="24"/>
          <w:highlight w:val="none"/>
        </w:rPr>
        <w:t>全校范围内每季度定期检查防蛇器，补充硫磺粉，做好防蛇工作，防止师生蛇伤。沿学生宿舍安装30个防蛇器。</w:t>
      </w:r>
    </w:p>
    <w:p w14:paraId="4CA60253">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7.按《全国爱卫发（1997）第五号》文件的有关要求，确保在承包期内所有服务的项目，其相关指标都控制在国家或市标准范围内。其中：</w:t>
      </w:r>
    </w:p>
    <w:p w14:paraId="30DC514A">
      <w:pPr>
        <w:spacing w:line="577" w:lineRule="exact"/>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(1)灭鼠标准：</w:t>
      </w:r>
    </w:p>
    <w:p w14:paraId="7992F795">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①在20个标准房间内鼠迹阳性率不超过3%，鼠洞、鼠粪、鼠咬等痕迹的房间不超过2%，重点单位防鼠设施不合处不超过5%。</w:t>
      </w:r>
    </w:p>
    <w:p w14:paraId="1D0E76A7">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②外环境累计2000m，鼠迹不超过5处。</w:t>
      </w:r>
    </w:p>
    <w:p w14:paraId="3C795765">
      <w:pPr>
        <w:spacing w:line="577" w:lineRule="exact"/>
        <w:ind w:firstLine="482" w:firstLineChars="200"/>
        <w:rPr>
          <w:rFonts w:ascii="仿宋" w:hAnsi="仿宋" w:eastAsia="仿宋" w:cs="仿宋"/>
          <w:sz w:val="24"/>
          <w:highlight w:val="none"/>
        </w:rPr>
      </w:pPr>
      <w:r>
        <w:rPr>
          <w:rFonts w:hint="eastAsia" w:ascii="仿宋" w:hAnsi="仿宋" w:eastAsia="仿宋" w:cs="仿宋"/>
          <w:b/>
          <w:bCs/>
          <w:sz w:val="24"/>
          <w:highlight w:val="none"/>
        </w:rPr>
        <w:t>(2)灭蚊标准：（</w:t>
      </w:r>
      <w:r>
        <w:rPr>
          <w:rFonts w:hint="eastAsia" w:ascii="仿宋" w:hAnsi="仿宋" w:eastAsia="仿宋" w:cs="仿宋"/>
          <w:sz w:val="24"/>
          <w:highlight w:val="none"/>
        </w:rPr>
        <w:t>蚊密度监测）</w:t>
      </w:r>
    </w:p>
    <w:p w14:paraId="306FD2E0">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①标准：外环境各种存水容器和积水中有无蚊幼虫及蛹，阳性率不超过3%。阳性勺内幼虫或蛹的平均数不超过6—10只。</w:t>
      </w:r>
    </w:p>
    <w:p w14:paraId="4A5F5A94">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②特殊场所白天人诱蚊30分钟，平均每人次诱获成蚊不超过1—2只。</w:t>
      </w:r>
    </w:p>
    <w:p w14:paraId="32AFE7ED">
      <w:pPr>
        <w:spacing w:line="577" w:lineRule="exact"/>
        <w:ind w:firstLine="482" w:firstLineChars="200"/>
        <w:rPr>
          <w:rFonts w:ascii="仿宋" w:hAnsi="仿宋" w:eastAsia="仿宋" w:cs="仿宋"/>
          <w:sz w:val="24"/>
          <w:highlight w:val="none"/>
        </w:rPr>
      </w:pPr>
      <w:r>
        <w:rPr>
          <w:rFonts w:hint="eastAsia" w:ascii="仿宋" w:hAnsi="仿宋" w:eastAsia="仿宋" w:cs="仿宋"/>
          <w:b/>
          <w:bCs/>
          <w:sz w:val="24"/>
          <w:highlight w:val="none"/>
        </w:rPr>
        <w:t>(3)灭蝇标准</w:t>
      </w:r>
      <w:r>
        <w:rPr>
          <w:rFonts w:hint="eastAsia" w:ascii="仿宋" w:hAnsi="仿宋" w:eastAsia="仿宋" w:cs="仿宋"/>
          <w:sz w:val="24"/>
          <w:highlight w:val="none"/>
        </w:rPr>
        <w:t>（蝇密度监测）</w:t>
      </w:r>
    </w:p>
    <w:p w14:paraId="47F706CE">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①室外标准为每个笼捕获蝇数、家蝇不趈过20个，大头金蝇不趈过10个，丝光绿蝇不趈过10个；室内标准为生产单位有蝇房间不超过1%，其它单位不超过3%，平均每阳性房间不超过3只；重点生产单位防蝇设施不合格房间不超过5%；捕获做蝇数为蝇密度指数。</w:t>
      </w:r>
    </w:p>
    <w:p w14:paraId="0A80DFD4">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②蝇类孳生地得到有效治理，幼虫和蛹的检出率不超过3%。</w:t>
      </w:r>
    </w:p>
    <w:p w14:paraId="208E8CD0">
      <w:pPr>
        <w:spacing w:line="577" w:lineRule="exact"/>
        <w:ind w:firstLine="482" w:firstLineChars="200"/>
        <w:rPr>
          <w:rFonts w:ascii="仿宋" w:hAnsi="仿宋" w:eastAsia="仿宋" w:cs="仿宋"/>
          <w:sz w:val="24"/>
          <w:highlight w:val="none"/>
        </w:rPr>
      </w:pPr>
      <w:r>
        <w:rPr>
          <w:rFonts w:hint="eastAsia" w:ascii="仿宋" w:hAnsi="仿宋" w:eastAsia="仿宋" w:cs="仿宋"/>
          <w:b/>
          <w:bCs/>
          <w:sz w:val="24"/>
          <w:highlight w:val="none"/>
        </w:rPr>
        <w:t>(4)灭蟑螂标准：（</w:t>
      </w:r>
      <w:r>
        <w:rPr>
          <w:rFonts w:hint="eastAsia" w:ascii="仿宋" w:hAnsi="仿宋" w:eastAsia="仿宋" w:cs="仿宋"/>
          <w:sz w:val="24"/>
          <w:highlight w:val="none"/>
        </w:rPr>
        <w:t>蟑螂密度监测）</w:t>
      </w:r>
    </w:p>
    <w:p w14:paraId="5C2AD2AD">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①方法：室内有蟑螂成虫或若虫阳性房间不超过3%，平均每间房大蠊不超过5只，小蠊不超过10只。</w:t>
      </w:r>
    </w:p>
    <w:p w14:paraId="75BA4B45">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②有活蟑螂卵鞘房间不超过2%，平均每间房不超过4只。</w:t>
      </w:r>
    </w:p>
    <w:p w14:paraId="6D8B5BF3">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③有蟑螂粪便蜕皮等蟑迹的房间不超过5%。</w:t>
      </w:r>
    </w:p>
    <w:p w14:paraId="0EB9B605">
      <w:pPr>
        <w:spacing w:line="577" w:lineRule="exact"/>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（二）垃圾清运</w:t>
      </w:r>
    </w:p>
    <w:p w14:paraId="4CE31C81">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学院内所有垃圾（不含建筑施工产生的垃圾）均按学院后勤要求，清理运送至校园内指定地点，以不存垃圾为原则.再转运到校外北京市环卫部门指定的垃圾消化场；</w:t>
      </w:r>
    </w:p>
    <w:p w14:paraId="60B87C2B">
      <w:pPr>
        <w:spacing w:line="577" w:lineRule="exact"/>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（三）化粪池清淘</w:t>
      </w:r>
    </w:p>
    <w:p w14:paraId="7489C785">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化粪池管理人员应加强对化粪池的有效管理，定期对化粪池进行巡查维护管理（五一、国庆及春节期前），发现淤堵及其他有碍化粪池排污或存在环境安全隐患时，应及时进行清掏、处理。保证粪便排污管道的畅通，防止堵塞，有利于环境卫生。</w:t>
      </w:r>
    </w:p>
    <w:p w14:paraId="18DF7A88">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2.不得将垃圾、污物、杂物倒入化粪池内，不得在化粪池上堆放杂物、搭建房屋，不得擅自改建排污管道。</w:t>
      </w:r>
    </w:p>
    <w:p w14:paraId="7E752131">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3.应做到化粪池的定期清运、清渣，并经常检查和及时维修，确保粪污管道、粪管连接井、化粪池的畅通和完好，保证化粪池能正常发挥作用。</w:t>
      </w:r>
    </w:p>
    <w:p w14:paraId="7CB57C0D">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4.化粪池不得出现过厚板结、满溢等现象，化粪池内皮厚，即板结，不得超过 40 厘米。</w:t>
      </w:r>
    </w:p>
    <w:p w14:paraId="1FC874F0">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5.化粪池盖板平时应盖严，防止发生意外事故。</w:t>
      </w:r>
    </w:p>
    <w:p w14:paraId="49FEC9F6">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6.在化粪池旁应禁止明火作业，严禁吸烟，以免引起火灾或爆炸事故。</w:t>
      </w:r>
    </w:p>
    <w:p w14:paraId="493772E9">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7.清掏化粪池前，应事先设立警示标志，排除池面障碍物，保证道路畅通，揭开池盖前，应疏散非操作人员。</w:t>
      </w:r>
    </w:p>
    <w:p w14:paraId="2ADDBCE6">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8.作业人员下池清淤前，应用风机通风或利用自然通风，排放出一氧化碳、二氧化碳、硫化氢、甲烷等有毒有害气体，并利用仪器等进行测试，确定无害、安全后，方可下池清淤。</w:t>
      </w:r>
    </w:p>
    <w:p w14:paraId="2B62E964">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9.下池操作人员，应持有相应的操作证书。应穿防静电衣物，严禁带钥匙等硬金属物下池，应系好安全带、戴好安全帽。</w:t>
      </w:r>
    </w:p>
    <w:p w14:paraId="209988A3">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10.池面操作人员应手持安全带，随时与下池人员保持联系。清掏完毕后，及时将池盖、沟盖复原或修缮，如当日不能完工的应设立警示标志或设置保护围栏。</w:t>
      </w:r>
    </w:p>
    <w:p w14:paraId="16ADBB14">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11.清掏完工后，应做到三通二无一净，即进、出口通，排水管道通，无块状粪渣，无沉积物，清掏作业场地干净。完工后，池内应留有三分之一流体作为发酵剂，沼气池清掏完后，应更换滤料，盖好活动盖板及其它封闭物，将盖板之间间隙填实堵牢。</w:t>
      </w:r>
    </w:p>
    <w:p w14:paraId="71E0D757">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12. 清掏运出的粪水、粪渣，须运到市环卫主管部门指定的专业处理场处理，经过处理排放的水质，须达到规定的排放标准，粪渣堆放须有专人管理并做好处理记录，避免造成交叉污染。</w:t>
      </w:r>
    </w:p>
    <w:p w14:paraId="123C3A84">
      <w:pPr>
        <w:spacing w:line="577" w:lineRule="exact"/>
        <w:rPr>
          <w:rFonts w:ascii="仿宋" w:hAnsi="仿宋" w:eastAsia="仿宋" w:cs="仿宋"/>
          <w:sz w:val="24"/>
          <w:highlight w:val="none"/>
        </w:rPr>
      </w:pPr>
      <w:r>
        <w:rPr>
          <w:rFonts w:hint="eastAsia" w:ascii="仿宋" w:hAnsi="仿宋" w:eastAsia="仿宋" w:cs="仿宋"/>
          <w:sz w:val="24"/>
          <w:highlight w:val="none"/>
        </w:rPr>
        <w:t>记录档案：化粪池维护管理人员对每次进行化粪进行清理时，应做好相应的清掏或处理记录。每月一次，</w:t>
      </w:r>
      <w:bookmarkStart w:id="16" w:name="_Hlk17877288"/>
      <w:r>
        <w:rPr>
          <w:rFonts w:hint="eastAsia" w:ascii="仿宋" w:hAnsi="仿宋" w:eastAsia="仿宋" w:cs="仿宋"/>
          <w:sz w:val="24"/>
          <w:highlight w:val="none"/>
        </w:rPr>
        <w:t>每次需通知后勤管理处相关科室，进行现场监督。</w:t>
      </w:r>
      <w:bookmarkEnd w:id="16"/>
      <w:r>
        <w:rPr>
          <w:rFonts w:hint="eastAsia" w:ascii="仿宋" w:hAnsi="仿宋" w:eastAsia="仿宋" w:cs="仿宋"/>
          <w:sz w:val="24"/>
          <w:highlight w:val="none"/>
        </w:rPr>
        <w:t>清掏记录按月交后勤管理处保管。</w:t>
      </w:r>
    </w:p>
    <w:p w14:paraId="33521663">
      <w:pPr>
        <w:spacing w:line="577" w:lineRule="exact"/>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（四）电梯维护</w:t>
      </w:r>
    </w:p>
    <w:p w14:paraId="58C76E01">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电梯数量：香山校区2部食梯</w:t>
      </w:r>
    </w:p>
    <w:p w14:paraId="2108615F">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管理要求：</w:t>
      </w:r>
    </w:p>
    <w:p w14:paraId="562C193D">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1.香山校区，设置一位兼职电梯安全员，安全员需持有效《特种设备安全员证》。</w:t>
      </w:r>
    </w:p>
    <w:p w14:paraId="0FFE10B3">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2.电梯轿厢内地面干净，无垃圾杂物；电梯门内槽无垃圾杂物；操作面板定期消毒。</w:t>
      </w:r>
    </w:p>
    <w:p w14:paraId="330F0742">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3.电梯门、厢壁、天花板、灯具及开关、监控器探头无积尘、无污渍、无粘贴物。</w:t>
      </w:r>
    </w:p>
    <w:p w14:paraId="49BDF95A">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4.负责电梯的报修。</w:t>
      </w:r>
    </w:p>
    <w:p w14:paraId="4D5A9FF2">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5.按维保服务合同督促维保单位实施电梯及其安全设施检查（标准按校方与维保单位合同规定办）。确保电梯及安全设施完好、齐全，通风、照明等附属设施完好。</w:t>
      </w:r>
    </w:p>
    <w:p w14:paraId="4003C0C6">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6.在电梯维修时应配合做好临时警示管理。</w:t>
      </w:r>
    </w:p>
    <w:p w14:paraId="763DC96C">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7.制定紧急救援方案和操作程序，在接到报警信号应立即设法解救乘客，同时迅速通知维保单位派人排除设备故障。</w:t>
      </w:r>
    </w:p>
    <w:p w14:paraId="728C0B5D">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8.专业维保公司进行的定期维保、维修，应提供工作联系单及相关服务资料，这些材料由合作方收取保管，全部维保、维修工作由合作方参与并组织验收，对其维保工作做出服务评价。电梯维护保养服务，每半月保养一次，每次需通知后勤管理处相关科室，进行现场监督，遇紧急情况随时维护。</w:t>
      </w:r>
    </w:p>
    <w:p w14:paraId="21623AAC">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9.配合完成每年电梯年检工作，并将年检相关资料上交后勤管理处。</w:t>
      </w:r>
    </w:p>
    <w:p w14:paraId="334D6C3D">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10.保证电梯的正常运转，无因保养维修不到位造成的困人、溜梯、冲顶、夹人和伤人等事故，最大限度的保障乘客的人身安全以及设备安全；</w:t>
      </w:r>
    </w:p>
    <w:p w14:paraId="68D60FFD">
      <w:pPr>
        <w:spacing w:line="577"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记录档案：留存相关保养、维修记录。电梯安全员签字确认。年检记录及合格证交后勤管理处保存。</w:t>
      </w:r>
      <w:bookmarkEnd w:id="14"/>
      <w:bookmarkStart w:id="17" w:name="_Toc205612715"/>
      <w:bookmarkStart w:id="18" w:name="_Toc177817357"/>
      <w:bookmarkStart w:id="19" w:name="_Toc486089925"/>
      <w:bookmarkStart w:id="20" w:name="_Toc194888465"/>
      <w:bookmarkStart w:id="21" w:name="_Toc11434_WPSOffice_Level1"/>
      <w:bookmarkStart w:id="22" w:name="_Toc181864913"/>
      <w:bookmarkStart w:id="23" w:name="_Toc176882565"/>
      <w:bookmarkStart w:id="24" w:name="_Toc177995496"/>
      <w:bookmarkStart w:id="25" w:name="_Toc194883191"/>
      <w:bookmarkStart w:id="26" w:name="_Toc181504489"/>
      <w:bookmarkStart w:id="27" w:name="_Toc70687213"/>
      <w:bookmarkStart w:id="28" w:name="_Toc177189258"/>
      <w:bookmarkStart w:id="29" w:name="_Toc182205343"/>
      <w:bookmarkStart w:id="30" w:name="_Toc449646782"/>
      <w:bookmarkStart w:id="31" w:name="_Toc53722878"/>
      <w:bookmarkStart w:id="32" w:name="_Toc178491536"/>
      <w:bookmarkStart w:id="33" w:name="_Toc182802768"/>
      <w:bookmarkStart w:id="34" w:name="_Toc182802968"/>
      <w:bookmarkStart w:id="35" w:name="_Toc202069432"/>
      <w:bookmarkStart w:id="36" w:name="_Toc182802852"/>
      <w:bookmarkStart w:id="37" w:name="_Toc4175"/>
      <w:bookmarkStart w:id="38" w:name="_Toc205612644"/>
      <w:bookmarkStart w:id="39" w:name="_Toc201995954"/>
      <w:bookmarkStart w:id="40" w:name="_Toc182205200"/>
    </w:p>
    <w:p w14:paraId="15AC6A44">
      <w:pPr>
        <w:pStyle w:val="3"/>
        <w:rPr>
          <w:highlight w:val="none"/>
        </w:rPr>
      </w:pPr>
      <w:r>
        <w:rPr>
          <w:rFonts w:hint="eastAsia" w:ascii="宋体" w:hAnsi="宋体" w:cs="宋体"/>
          <w:sz w:val="24"/>
          <w:szCs w:val="24"/>
          <w:highlight w:val="none"/>
        </w:rPr>
        <w:t>　　五</w:t>
      </w:r>
      <w:r>
        <w:rPr>
          <w:rFonts w:ascii="宋体" w:hAnsi="宋体" w:cs="宋体"/>
          <w:sz w:val="24"/>
          <w:szCs w:val="24"/>
          <w:highlight w:val="none"/>
        </w:rPr>
        <w:t>、验收标准</w:t>
      </w:r>
      <w:r>
        <w:rPr>
          <w:rFonts w:ascii="宋体" w:hAnsi="宋体" w:cs="宋体"/>
          <w:sz w:val="24"/>
          <w:szCs w:val="24"/>
          <w:highlight w:val="none"/>
        </w:rPr>
        <w:br w:type="textWrapping"/>
      </w:r>
      <w:r>
        <w:rPr>
          <w:rFonts w:ascii="宋体" w:hAnsi="宋体" w:cs="宋体"/>
          <w:sz w:val="24"/>
          <w:szCs w:val="24"/>
          <w:highlight w:val="none"/>
        </w:rPr>
        <w:t>　　按照相关行业标准及本项目的具体要求进行验收。</w:t>
      </w:r>
    </w:p>
    <w:p w14:paraId="52145439">
      <w:pPr>
        <w:pStyle w:val="2"/>
        <w:rPr>
          <w:highlight w:val="none"/>
        </w:rPr>
      </w:pPr>
    </w:p>
    <w:p w14:paraId="43836F25">
      <w:pPr>
        <w:ind w:firstLine="480" w:firstLineChars="200"/>
        <w:rPr>
          <w:rFonts w:ascii="仿宋" w:hAnsi="仿宋" w:eastAsia="仿宋" w:cs="仿宋"/>
          <w:sz w:val="24"/>
          <w:highlight w:val="none"/>
        </w:rPr>
      </w:pPr>
      <w:r>
        <w:rPr>
          <w:rFonts w:hint="eastAsia" w:ascii="仿宋" w:hAnsi="仿宋" w:eastAsia="仿宋" w:cs="仿宋"/>
          <w:sz w:val="24"/>
          <w:highlight w:val="none"/>
        </w:rPr>
        <w:t>附件8-1  合作项目实施团队所有人员名单</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tbl>
      <w:tblPr>
        <w:tblStyle w:val="4"/>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865"/>
        <w:gridCol w:w="716"/>
        <w:gridCol w:w="1912"/>
        <w:gridCol w:w="825"/>
        <w:gridCol w:w="1209"/>
        <w:gridCol w:w="1211"/>
        <w:gridCol w:w="1886"/>
      </w:tblGrid>
      <w:tr w14:paraId="5D5E8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63" w:type="dxa"/>
            <w:vAlign w:val="center"/>
          </w:tcPr>
          <w:p w14:paraId="401ABFEB">
            <w:pPr>
              <w:rPr>
                <w:rFonts w:ascii="仿宋" w:hAnsi="仿宋" w:eastAsia="仿宋" w:cs="仿宋"/>
                <w:sz w:val="24"/>
                <w:highlight w:val="none"/>
              </w:rPr>
            </w:pPr>
            <w:r>
              <w:rPr>
                <w:rFonts w:hint="eastAsia" w:ascii="仿宋" w:hAnsi="仿宋" w:eastAsia="仿宋" w:cs="仿宋"/>
                <w:sz w:val="24"/>
                <w:highlight w:val="none"/>
              </w:rPr>
              <w:t>序号</w:t>
            </w:r>
          </w:p>
        </w:tc>
        <w:tc>
          <w:tcPr>
            <w:tcW w:w="865" w:type="dxa"/>
            <w:vAlign w:val="center"/>
          </w:tcPr>
          <w:p w14:paraId="196B38B6">
            <w:pPr>
              <w:rPr>
                <w:rFonts w:ascii="仿宋" w:hAnsi="仿宋" w:eastAsia="仿宋" w:cs="仿宋"/>
                <w:sz w:val="24"/>
                <w:highlight w:val="none"/>
              </w:rPr>
            </w:pPr>
            <w:r>
              <w:rPr>
                <w:rFonts w:hint="eastAsia" w:ascii="仿宋" w:hAnsi="仿宋" w:eastAsia="仿宋" w:cs="仿宋"/>
                <w:sz w:val="24"/>
                <w:highlight w:val="none"/>
              </w:rPr>
              <w:t>姓名</w:t>
            </w:r>
          </w:p>
        </w:tc>
        <w:tc>
          <w:tcPr>
            <w:tcW w:w="716" w:type="dxa"/>
            <w:vAlign w:val="center"/>
          </w:tcPr>
          <w:p w14:paraId="12496718">
            <w:pPr>
              <w:rPr>
                <w:rFonts w:ascii="仿宋" w:hAnsi="仿宋" w:eastAsia="仿宋" w:cs="仿宋"/>
                <w:sz w:val="24"/>
                <w:highlight w:val="none"/>
              </w:rPr>
            </w:pPr>
            <w:r>
              <w:rPr>
                <w:rFonts w:hint="eastAsia" w:ascii="仿宋" w:hAnsi="仿宋" w:eastAsia="仿宋" w:cs="仿宋"/>
                <w:sz w:val="24"/>
                <w:highlight w:val="none"/>
              </w:rPr>
              <w:t>性别</w:t>
            </w:r>
          </w:p>
        </w:tc>
        <w:tc>
          <w:tcPr>
            <w:tcW w:w="1912" w:type="dxa"/>
            <w:vAlign w:val="center"/>
          </w:tcPr>
          <w:p w14:paraId="71E233EC">
            <w:pPr>
              <w:rPr>
                <w:rFonts w:ascii="仿宋" w:hAnsi="仿宋" w:eastAsia="仿宋" w:cs="仿宋"/>
                <w:sz w:val="24"/>
                <w:highlight w:val="none"/>
              </w:rPr>
            </w:pPr>
            <w:r>
              <w:rPr>
                <w:rFonts w:hint="eastAsia" w:ascii="仿宋" w:hAnsi="仿宋" w:eastAsia="仿宋" w:cs="仿宋"/>
                <w:sz w:val="24"/>
                <w:highlight w:val="none"/>
              </w:rPr>
              <w:t>身份证号</w:t>
            </w:r>
          </w:p>
        </w:tc>
        <w:tc>
          <w:tcPr>
            <w:tcW w:w="825" w:type="dxa"/>
            <w:vAlign w:val="center"/>
          </w:tcPr>
          <w:p w14:paraId="2530D6E9">
            <w:pPr>
              <w:rPr>
                <w:rFonts w:ascii="仿宋" w:hAnsi="仿宋" w:eastAsia="仿宋" w:cs="仿宋"/>
                <w:sz w:val="24"/>
                <w:highlight w:val="none"/>
              </w:rPr>
            </w:pPr>
            <w:r>
              <w:rPr>
                <w:rFonts w:hint="eastAsia" w:ascii="仿宋" w:hAnsi="仿宋" w:eastAsia="仿宋" w:cs="仿宋"/>
                <w:sz w:val="24"/>
                <w:highlight w:val="none"/>
              </w:rPr>
              <w:t>学历</w:t>
            </w:r>
          </w:p>
        </w:tc>
        <w:tc>
          <w:tcPr>
            <w:tcW w:w="1209" w:type="dxa"/>
            <w:vAlign w:val="center"/>
          </w:tcPr>
          <w:p w14:paraId="44D3F1DB">
            <w:pPr>
              <w:rPr>
                <w:rFonts w:ascii="仿宋" w:hAnsi="仿宋" w:eastAsia="仿宋" w:cs="仿宋"/>
                <w:sz w:val="24"/>
                <w:highlight w:val="none"/>
              </w:rPr>
            </w:pPr>
            <w:r>
              <w:rPr>
                <w:rFonts w:hint="eastAsia" w:ascii="仿宋" w:hAnsi="仿宋" w:eastAsia="仿宋" w:cs="仿宋"/>
                <w:sz w:val="24"/>
                <w:highlight w:val="none"/>
              </w:rPr>
              <w:t>聘任岗位</w:t>
            </w:r>
          </w:p>
        </w:tc>
        <w:tc>
          <w:tcPr>
            <w:tcW w:w="1211" w:type="dxa"/>
            <w:vAlign w:val="center"/>
          </w:tcPr>
          <w:p w14:paraId="0FA99A5D">
            <w:pPr>
              <w:rPr>
                <w:rFonts w:ascii="仿宋" w:hAnsi="仿宋" w:eastAsia="仿宋" w:cs="仿宋"/>
                <w:sz w:val="24"/>
                <w:highlight w:val="none"/>
              </w:rPr>
            </w:pPr>
            <w:r>
              <w:rPr>
                <w:rFonts w:hint="eastAsia" w:ascii="仿宋" w:hAnsi="仿宋" w:eastAsia="仿宋" w:cs="仿宋"/>
                <w:sz w:val="24"/>
                <w:highlight w:val="none"/>
              </w:rPr>
              <w:t>电话号码</w:t>
            </w:r>
          </w:p>
        </w:tc>
        <w:tc>
          <w:tcPr>
            <w:tcW w:w="1886" w:type="dxa"/>
            <w:vAlign w:val="center"/>
          </w:tcPr>
          <w:p w14:paraId="7B810312">
            <w:pPr>
              <w:rPr>
                <w:rFonts w:ascii="仿宋" w:hAnsi="仿宋" w:eastAsia="仿宋" w:cs="仿宋"/>
                <w:sz w:val="24"/>
                <w:highlight w:val="none"/>
              </w:rPr>
            </w:pPr>
            <w:r>
              <w:rPr>
                <w:rFonts w:hint="eastAsia" w:ascii="仿宋" w:hAnsi="仿宋" w:eastAsia="仿宋" w:cs="仿宋"/>
                <w:sz w:val="24"/>
                <w:highlight w:val="none"/>
              </w:rPr>
              <w:t>相关工作年限</w:t>
            </w:r>
          </w:p>
        </w:tc>
      </w:tr>
      <w:tr w14:paraId="22FE5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63" w:type="dxa"/>
            <w:vAlign w:val="center"/>
          </w:tcPr>
          <w:p w14:paraId="5FDAE1E2">
            <w:pPr>
              <w:rPr>
                <w:rFonts w:ascii="仿宋" w:hAnsi="仿宋" w:eastAsia="仿宋" w:cs="仿宋"/>
                <w:sz w:val="24"/>
                <w:highlight w:val="none"/>
              </w:rPr>
            </w:pPr>
          </w:p>
        </w:tc>
        <w:tc>
          <w:tcPr>
            <w:tcW w:w="865" w:type="dxa"/>
            <w:vAlign w:val="center"/>
          </w:tcPr>
          <w:p w14:paraId="21B3EE6A">
            <w:pPr>
              <w:rPr>
                <w:rFonts w:ascii="仿宋" w:hAnsi="仿宋" w:eastAsia="仿宋" w:cs="仿宋"/>
                <w:sz w:val="24"/>
                <w:highlight w:val="none"/>
              </w:rPr>
            </w:pPr>
          </w:p>
        </w:tc>
        <w:tc>
          <w:tcPr>
            <w:tcW w:w="716" w:type="dxa"/>
            <w:vAlign w:val="center"/>
          </w:tcPr>
          <w:p w14:paraId="0B7BE64A">
            <w:pPr>
              <w:rPr>
                <w:rFonts w:ascii="仿宋" w:hAnsi="仿宋" w:eastAsia="仿宋" w:cs="仿宋"/>
                <w:sz w:val="24"/>
                <w:highlight w:val="none"/>
              </w:rPr>
            </w:pPr>
          </w:p>
        </w:tc>
        <w:tc>
          <w:tcPr>
            <w:tcW w:w="1912" w:type="dxa"/>
          </w:tcPr>
          <w:p w14:paraId="77429A2D">
            <w:pPr>
              <w:rPr>
                <w:rFonts w:ascii="仿宋" w:hAnsi="仿宋" w:eastAsia="仿宋" w:cs="仿宋"/>
                <w:sz w:val="24"/>
                <w:highlight w:val="none"/>
              </w:rPr>
            </w:pPr>
          </w:p>
        </w:tc>
        <w:tc>
          <w:tcPr>
            <w:tcW w:w="825" w:type="dxa"/>
            <w:vAlign w:val="center"/>
          </w:tcPr>
          <w:p w14:paraId="7F864B1B">
            <w:pPr>
              <w:rPr>
                <w:rFonts w:ascii="仿宋" w:hAnsi="仿宋" w:eastAsia="仿宋" w:cs="仿宋"/>
                <w:sz w:val="24"/>
                <w:highlight w:val="none"/>
              </w:rPr>
            </w:pPr>
          </w:p>
        </w:tc>
        <w:tc>
          <w:tcPr>
            <w:tcW w:w="1209" w:type="dxa"/>
            <w:vAlign w:val="center"/>
          </w:tcPr>
          <w:p w14:paraId="32398A9A">
            <w:pPr>
              <w:rPr>
                <w:rFonts w:ascii="仿宋" w:hAnsi="仿宋" w:eastAsia="仿宋" w:cs="仿宋"/>
                <w:sz w:val="24"/>
                <w:highlight w:val="none"/>
              </w:rPr>
            </w:pPr>
          </w:p>
        </w:tc>
        <w:tc>
          <w:tcPr>
            <w:tcW w:w="1211" w:type="dxa"/>
          </w:tcPr>
          <w:p w14:paraId="51513D9C">
            <w:pPr>
              <w:rPr>
                <w:rFonts w:ascii="仿宋" w:hAnsi="仿宋" w:eastAsia="仿宋" w:cs="仿宋"/>
                <w:sz w:val="24"/>
                <w:highlight w:val="none"/>
              </w:rPr>
            </w:pPr>
          </w:p>
        </w:tc>
        <w:tc>
          <w:tcPr>
            <w:tcW w:w="1886" w:type="dxa"/>
            <w:vAlign w:val="center"/>
          </w:tcPr>
          <w:p w14:paraId="35101F0E">
            <w:pPr>
              <w:rPr>
                <w:rFonts w:ascii="仿宋" w:hAnsi="仿宋" w:eastAsia="仿宋" w:cs="仿宋"/>
                <w:sz w:val="24"/>
                <w:highlight w:val="none"/>
              </w:rPr>
            </w:pPr>
          </w:p>
        </w:tc>
      </w:tr>
      <w:tr w14:paraId="727D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63" w:type="dxa"/>
            <w:vAlign w:val="center"/>
          </w:tcPr>
          <w:p w14:paraId="7E4B227A">
            <w:pPr>
              <w:rPr>
                <w:rFonts w:ascii="仿宋" w:hAnsi="仿宋" w:eastAsia="仿宋" w:cs="仿宋"/>
                <w:sz w:val="24"/>
                <w:highlight w:val="none"/>
              </w:rPr>
            </w:pPr>
          </w:p>
        </w:tc>
        <w:tc>
          <w:tcPr>
            <w:tcW w:w="865" w:type="dxa"/>
            <w:vAlign w:val="center"/>
          </w:tcPr>
          <w:p w14:paraId="63A9CA9C">
            <w:pPr>
              <w:rPr>
                <w:rFonts w:ascii="仿宋" w:hAnsi="仿宋" w:eastAsia="仿宋" w:cs="仿宋"/>
                <w:sz w:val="24"/>
                <w:highlight w:val="none"/>
              </w:rPr>
            </w:pPr>
          </w:p>
        </w:tc>
        <w:tc>
          <w:tcPr>
            <w:tcW w:w="716" w:type="dxa"/>
            <w:vAlign w:val="center"/>
          </w:tcPr>
          <w:p w14:paraId="79FE234F">
            <w:pPr>
              <w:rPr>
                <w:rFonts w:ascii="仿宋" w:hAnsi="仿宋" w:eastAsia="仿宋" w:cs="仿宋"/>
                <w:sz w:val="24"/>
                <w:highlight w:val="none"/>
              </w:rPr>
            </w:pPr>
          </w:p>
        </w:tc>
        <w:tc>
          <w:tcPr>
            <w:tcW w:w="1912" w:type="dxa"/>
          </w:tcPr>
          <w:p w14:paraId="4D412CC2">
            <w:pPr>
              <w:rPr>
                <w:rFonts w:ascii="仿宋" w:hAnsi="仿宋" w:eastAsia="仿宋" w:cs="仿宋"/>
                <w:sz w:val="24"/>
                <w:highlight w:val="none"/>
              </w:rPr>
            </w:pPr>
          </w:p>
        </w:tc>
        <w:tc>
          <w:tcPr>
            <w:tcW w:w="825" w:type="dxa"/>
            <w:vAlign w:val="center"/>
          </w:tcPr>
          <w:p w14:paraId="3E4B848D">
            <w:pPr>
              <w:rPr>
                <w:rFonts w:ascii="仿宋" w:hAnsi="仿宋" w:eastAsia="仿宋" w:cs="仿宋"/>
                <w:sz w:val="24"/>
                <w:highlight w:val="none"/>
              </w:rPr>
            </w:pPr>
          </w:p>
        </w:tc>
        <w:tc>
          <w:tcPr>
            <w:tcW w:w="1209" w:type="dxa"/>
            <w:vAlign w:val="center"/>
          </w:tcPr>
          <w:p w14:paraId="547472CC">
            <w:pPr>
              <w:rPr>
                <w:rFonts w:ascii="仿宋" w:hAnsi="仿宋" w:eastAsia="仿宋" w:cs="仿宋"/>
                <w:sz w:val="24"/>
                <w:highlight w:val="none"/>
              </w:rPr>
            </w:pPr>
          </w:p>
        </w:tc>
        <w:tc>
          <w:tcPr>
            <w:tcW w:w="1211" w:type="dxa"/>
          </w:tcPr>
          <w:p w14:paraId="47595F13">
            <w:pPr>
              <w:rPr>
                <w:rFonts w:ascii="仿宋" w:hAnsi="仿宋" w:eastAsia="仿宋" w:cs="仿宋"/>
                <w:sz w:val="24"/>
                <w:highlight w:val="none"/>
              </w:rPr>
            </w:pPr>
          </w:p>
        </w:tc>
        <w:tc>
          <w:tcPr>
            <w:tcW w:w="1886" w:type="dxa"/>
            <w:vAlign w:val="center"/>
          </w:tcPr>
          <w:p w14:paraId="3358FE6E">
            <w:pPr>
              <w:rPr>
                <w:rFonts w:ascii="仿宋" w:hAnsi="仿宋" w:eastAsia="仿宋" w:cs="仿宋"/>
                <w:sz w:val="24"/>
                <w:highlight w:val="none"/>
              </w:rPr>
            </w:pPr>
          </w:p>
        </w:tc>
      </w:tr>
      <w:tr w14:paraId="49D33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63" w:type="dxa"/>
            <w:vAlign w:val="center"/>
          </w:tcPr>
          <w:p w14:paraId="07273C06">
            <w:pPr>
              <w:rPr>
                <w:rFonts w:ascii="仿宋" w:hAnsi="仿宋" w:eastAsia="仿宋" w:cs="仿宋"/>
                <w:sz w:val="24"/>
                <w:highlight w:val="none"/>
              </w:rPr>
            </w:pPr>
          </w:p>
        </w:tc>
        <w:tc>
          <w:tcPr>
            <w:tcW w:w="865" w:type="dxa"/>
            <w:vAlign w:val="center"/>
          </w:tcPr>
          <w:p w14:paraId="1FA4CEA9">
            <w:pPr>
              <w:rPr>
                <w:rFonts w:ascii="仿宋" w:hAnsi="仿宋" w:eastAsia="仿宋" w:cs="仿宋"/>
                <w:sz w:val="24"/>
                <w:highlight w:val="none"/>
              </w:rPr>
            </w:pPr>
          </w:p>
        </w:tc>
        <w:tc>
          <w:tcPr>
            <w:tcW w:w="716" w:type="dxa"/>
            <w:vAlign w:val="center"/>
          </w:tcPr>
          <w:p w14:paraId="69ED8CE1">
            <w:pPr>
              <w:rPr>
                <w:rFonts w:ascii="仿宋" w:hAnsi="仿宋" w:eastAsia="仿宋" w:cs="仿宋"/>
                <w:sz w:val="24"/>
                <w:highlight w:val="none"/>
              </w:rPr>
            </w:pPr>
          </w:p>
        </w:tc>
        <w:tc>
          <w:tcPr>
            <w:tcW w:w="1912" w:type="dxa"/>
          </w:tcPr>
          <w:p w14:paraId="1D8A2206">
            <w:pPr>
              <w:rPr>
                <w:rFonts w:ascii="仿宋" w:hAnsi="仿宋" w:eastAsia="仿宋" w:cs="仿宋"/>
                <w:sz w:val="24"/>
                <w:highlight w:val="none"/>
              </w:rPr>
            </w:pPr>
          </w:p>
        </w:tc>
        <w:tc>
          <w:tcPr>
            <w:tcW w:w="825" w:type="dxa"/>
            <w:vAlign w:val="center"/>
          </w:tcPr>
          <w:p w14:paraId="72CDA265">
            <w:pPr>
              <w:rPr>
                <w:rFonts w:ascii="仿宋" w:hAnsi="仿宋" w:eastAsia="仿宋" w:cs="仿宋"/>
                <w:sz w:val="24"/>
                <w:highlight w:val="none"/>
              </w:rPr>
            </w:pPr>
          </w:p>
        </w:tc>
        <w:tc>
          <w:tcPr>
            <w:tcW w:w="1209" w:type="dxa"/>
            <w:vAlign w:val="center"/>
          </w:tcPr>
          <w:p w14:paraId="2D1DB384">
            <w:pPr>
              <w:rPr>
                <w:rFonts w:ascii="仿宋" w:hAnsi="仿宋" w:eastAsia="仿宋" w:cs="仿宋"/>
                <w:sz w:val="24"/>
                <w:highlight w:val="none"/>
              </w:rPr>
            </w:pPr>
          </w:p>
        </w:tc>
        <w:tc>
          <w:tcPr>
            <w:tcW w:w="1211" w:type="dxa"/>
          </w:tcPr>
          <w:p w14:paraId="29492A1E">
            <w:pPr>
              <w:rPr>
                <w:rFonts w:ascii="仿宋" w:hAnsi="仿宋" w:eastAsia="仿宋" w:cs="仿宋"/>
                <w:sz w:val="24"/>
                <w:highlight w:val="none"/>
              </w:rPr>
            </w:pPr>
          </w:p>
        </w:tc>
        <w:tc>
          <w:tcPr>
            <w:tcW w:w="1886" w:type="dxa"/>
            <w:vAlign w:val="center"/>
          </w:tcPr>
          <w:p w14:paraId="4498622A">
            <w:pPr>
              <w:rPr>
                <w:rFonts w:ascii="仿宋" w:hAnsi="仿宋" w:eastAsia="仿宋" w:cs="仿宋"/>
                <w:sz w:val="24"/>
                <w:highlight w:val="none"/>
              </w:rPr>
            </w:pPr>
          </w:p>
        </w:tc>
      </w:tr>
      <w:tr w14:paraId="0AC84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63" w:type="dxa"/>
            <w:vAlign w:val="center"/>
          </w:tcPr>
          <w:p w14:paraId="44F0CDE0">
            <w:pPr>
              <w:rPr>
                <w:rFonts w:ascii="仿宋" w:hAnsi="仿宋" w:eastAsia="仿宋" w:cs="仿宋"/>
                <w:sz w:val="24"/>
                <w:highlight w:val="none"/>
              </w:rPr>
            </w:pPr>
          </w:p>
        </w:tc>
        <w:tc>
          <w:tcPr>
            <w:tcW w:w="865" w:type="dxa"/>
            <w:vAlign w:val="center"/>
          </w:tcPr>
          <w:p w14:paraId="79EA301D">
            <w:pPr>
              <w:rPr>
                <w:rFonts w:ascii="仿宋" w:hAnsi="仿宋" w:eastAsia="仿宋" w:cs="仿宋"/>
                <w:sz w:val="24"/>
                <w:highlight w:val="none"/>
              </w:rPr>
            </w:pPr>
          </w:p>
        </w:tc>
        <w:tc>
          <w:tcPr>
            <w:tcW w:w="716" w:type="dxa"/>
            <w:vAlign w:val="center"/>
          </w:tcPr>
          <w:p w14:paraId="5451D146">
            <w:pPr>
              <w:rPr>
                <w:rFonts w:ascii="仿宋" w:hAnsi="仿宋" w:eastAsia="仿宋" w:cs="仿宋"/>
                <w:sz w:val="24"/>
                <w:highlight w:val="none"/>
              </w:rPr>
            </w:pPr>
          </w:p>
        </w:tc>
        <w:tc>
          <w:tcPr>
            <w:tcW w:w="1912" w:type="dxa"/>
          </w:tcPr>
          <w:p w14:paraId="651B6B70">
            <w:pPr>
              <w:rPr>
                <w:rFonts w:ascii="仿宋" w:hAnsi="仿宋" w:eastAsia="仿宋" w:cs="仿宋"/>
                <w:sz w:val="24"/>
                <w:highlight w:val="none"/>
              </w:rPr>
            </w:pPr>
          </w:p>
        </w:tc>
        <w:tc>
          <w:tcPr>
            <w:tcW w:w="825" w:type="dxa"/>
            <w:vAlign w:val="center"/>
          </w:tcPr>
          <w:p w14:paraId="6E763336">
            <w:pPr>
              <w:rPr>
                <w:rFonts w:ascii="仿宋" w:hAnsi="仿宋" w:eastAsia="仿宋" w:cs="仿宋"/>
                <w:sz w:val="24"/>
                <w:highlight w:val="none"/>
              </w:rPr>
            </w:pPr>
          </w:p>
        </w:tc>
        <w:tc>
          <w:tcPr>
            <w:tcW w:w="1209" w:type="dxa"/>
            <w:vAlign w:val="center"/>
          </w:tcPr>
          <w:p w14:paraId="6B472A84">
            <w:pPr>
              <w:rPr>
                <w:rFonts w:ascii="仿宋" w:hAnsi="仿宋" w:eastAsia="仿宋" w:cs="仿宋"/>
                <w:sz w:val="24"/>
                <w:highlight w:val="none"/>
              </w:rPr>
            </w:pPr>
          </w:p>
        </w:tc>
        <w:tc>
          <w:tcPr>
            <w:tcW w:w="1211" w:type="dxa"/>
          </w:tcPr>
          <w:p w14:paraId="16B5CA80">
            <w:pPr>
              <w:rPr>
                <w:rFonts w:ascii="仿宋" w:hAnsi="仿宋" w:eastAsia="仿宋" w:cs="仿宋"/>
                <w:sz w:val="24"/>
                <w:highlight w:val="none"/>
              </w:rPr>
            </w:pPr>
          </w:p>
        </w:tc>
        <w:tc>
          <w:tcPr>
            <w:tcW w:w="1886" w:type="dxa"/>
            <w:vAlign w:val="center"/>
          </w:tcPr>
          <w:p w14:paraId="401604C3">
            <w:pPr>
              <w:rPr>
                <w:rFonts w:ascii="仿宋" w:hAnsi="仿宋" w:eastAsia="仿宋" w:cs="仿宋"/>
                <w:sz w:val="24"/>
                <w:highlight w:val="none"/>
              </w:rPr>
            </w:pPr>
          </w:p>
        </w:tc>
      </w:tr>
      <w:tr w14:paraId="033E6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63" w:type="dxa"/>
            <w:vAlign w:val="center"/>
          </w:tcPr>
          <w:p w14:paraId="62AEFF79">
            <w:pPr>
              <w:rPr>
                <w:rFonts w:ascii="仿宋" w:hAnsi="仿宋" w:eastAsia="仿宋" w:cs="仿宋"/>
                <w:sz w:val="24"/>
                <w:highlight w:val="none"/>
              </w:rPr>
            </w:pPr>
          </w:p>
        </w:tc>
        <w:tc>
          <w:tcPr>
            <w:tcW w:w="865" w:type="dxa"/>
            <w:vAlign w:val="center"/>
          </w:tcPr>
          <w:p w14:paraId="74675467">
            <w:pPr>
              <w:rPr>
                <w:rFonts w:ascii="仿宋" w:hAnsi="仿宋" w:eastAsia="仿宋" w:cs="仿宋"/>
                <w:sz w:val="24"/>
                <w:highlight w:val="none"/>
              </w:rPr>
            </w:pPr>
          </w:p>
        </w:tc>
        <w:tc>
          <w:tcPr>
            <w:tcW w:w="716" w:type="dxa"/>
            <w:vAlign w:val="center"/>
          </w:tcPr>
          <w:p w14:paraId="4BED6162">
            <w:pPr>
              <w:rPr>
                <w:rFonts w:ascii="仿宋" w:hAnsi="仿宋" w:eastAsia="仿宋" w:cs="仿宋"/>
                <w:sz w:val="24"/>
                <w:highlight w:val="none"/>
              </w:rPr>
            </w:pPr>
          </w:p>
        </w:tc>
        <w:tc>
          <w:tcPr>
            <w:tcW w:w="1912" w:type="dxa"/>
          </w:tcPr>
          <w:p w14:paraId="5685E9A8">
            <w:pPr>
              <w:rPr>
                <w:rFonts w:ascii="仿宋" w:hAnsi="仿宋" w:eastAsia="仿宋" w:cs="仿宋"/>
                <w:sz w:val="24"/>
                <w:highlight w:val="none"/>
              </w:rPr>
            </w:pPr>
          </w:p>
        </w:tc>
        <w:tc>
          <w:tcPr>
            <w:tcW w:w="825" w:type="dxa"/>
            <w:vAlign w:val="center"/>
          </w:tcPr>
          <w:p w14:paraId="52F63713">
            <w:pPr>
              <w:rPr>
                <w:rFonts w:ascii="仿宋" w:hAnsi="仿宋" w:eastAsia="仿宋" w:cs="仿宋"/>
                <w:sz w:val="24"/>
                <w:highlight w:val="none"/>
              </w:rPr>
            </w:pPr>
          </w:p>
        </w:tc>
        <w:tc>
          <w:tcPr>
            <w:tcW w:w="1209" w:type="dxa"/>
            <w:vAlign w:val="center"/>
          </w:tcPr>
          <w:p w14:paraId="601C76B4">
            <w:pPr>
              <w:rPr>
                <w:rFonts w:ascii="仿宋" w:hAnsi="仿宋" w:eastAsia="仿宋" w:cs="仿宋"/>
                <w:sz w:val="24"/>
                <w:highlight w:val="none"/>
              </w:rPr>
            </w:pPr>
          </w:p>
        </w:tc>
        <w:tc>
          <w:tcPr>
            <w:tcW w:w="1211" w:type="dxa"/>
          </w:tcPr>
          <w:p w14:paraId="6C36052E">
            <w:pPr>
              <w:rPr>
                <w:rFonts w:ascii="仿宋" w:hAnsi="仿宋" w:eastAsia="仿宋" w:cs="仿宋"/>
                <w:sz w:val="24"/>
                <w:highlight w:val="none"/>
              </w:rPr>
            </w:pPr>
          </w:p>
        </w:tc>
        <w:tc>
          <w:tcPr>
            <w:tcW w:w="1886" w:type="dxa"/>
            <w:vAlign w:val="center"/>
          </w:tcPr>
          <w:p w14:paraId="7E97A765">
            <w:pPr>
              <w:rPr>
                <w:rFonts w:ascii="仿宋" w:hAnsi="仿宋" w:eastAsia="仿宋" w:cs="仿宋"/>
                <w:sz w:val="24"/>
                <w:highlight w:val="none"/>
              </w:rPr>
            </w:pPr>
          </w:p>
        </w:tc>
      </w:tr>
      <w:tr w14:paraId="0D80B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63" w:type="dxa"/>
            <w:vAlign w:val="center"/>
          </w:tcPr>
          <w:p w14:paraId="03847455">
            <w:pPr>
              <w:rPr>
                <w:rFonts w:ascii="仿宋" w:hAnsi="仿宋" w:eastAsia="仿宋" w:cs="仿宋"/>
                <w:sz w:val="24"/>
                <w:highlight w:val="none"/>
              </w:rPr>
            </w:pPr>
          </w:p>
        </w:tc>
        <w:tc>
          <w:tcPr>
            <w:tcW w:w="865" w:type="dxa"/>
            <w:vAlign w:val="center"/>
          </w:tcPr>
          <w:p w14:paraId="0AD4759F">
            <w:pPr>
              <w:rPr>
                <w:rFonts w:ascii="仿宋" w:hAnsi="仿宋" w:eastAsia="仿宋" w:cs="仿宋"/>
                <w:sz w:val="24"/>
                <w:highlight w:val="none"/>
              </w:rPr>
            </w:pPr>
          </w:p>
        </w:tc>
        <w:tc>
          <w:tcPr>
            <w:tcW w:w="716" w:type="dxa"/>
            <w:vAlign w:val="center"/>
          </w:tcPr>
          <w:p w14:paraId="2EC567EE">
            <w:pPr>
              <w:rPr>
                <w:rFonts w:ascii="仿宋" w:hAnsi="仿宋" w:eastAsia="仿宋" w:cs="仿宋"/>
                <w:sz w:val="24"/>
                <w:highlight w:val="none"/>
              </w:rPr>
            </w:pPr>
          </w:p>
        </w:tc>
        <w:tc>
          <w:tcPr>
            <w:tcW w:w="1912" w:type="dxa"/>
          </w:tcPr>
          <w:p w14:paraId="39BBC5D8">
            <w:pPr>
              <w:rPr>
                <w:rFonts w:ascii="仿宋" w:hAnsi="仿宋" w:eastAsia="仿宋" w:cs="仿宋"/>
                <w:sz w:val="24"/>
                <w:highlight w:val="none"/>
              </w:rPr>
            </w:pPr>
          </w:p>
        </w:tc>
        <w:tc>
          <w:tcPr>
            <w:tcW w:w="825" w:type="dxa"/>
            <w:vAlign w:val="center"/>
          </w:tcPr>
          <w:p w14:paraId="7D6908CD">
            <w:pPr>
              <w:rPr>
                <w:rFonts w:ascii="仿宋" w:hAnsi="仿宋" w:eastAsia="仿宋" w:cs="仿宋"/>
                <w:sz w:val="24"/>
                <w:highlight w:val="none"/>
              </w:rPr>
            </w:pPr>
          </w:p>
        </w:tc>
        <w:tc>
          <w:tcPr>
            <w:tcW w:w="1209" w:type="dxa"/>
            <w:vAlign w:val="center"/>
          </w:tcPr>
          <w:p w14:paraId="3D3259C8">
            <w:pPr>
              <w:rPr>
                <w:rFonts w:ascii="仿宋" w:hAnsi="仿宋" w:eastAsia="仿宋" w:cs="仿宋"/>
                <w:sz w:val="24"/>
                <w:highlight w:val="none"/>
              </w:rPr>
            </w:pPr>
          </w:p>
        </w:tc>
        <w:tc>
          <w:tcPr>
            <w:tcW w:w="1211" w:type="dxa"/>
          </w:tcPr>
          <w:p w14:paraId="6892C8AE">
            <w:pPr>
              <w:rPr>
                <w:rFonts w:ascii="仿宋" w:hAnsi="仿宋" w:eastAsia="仿宋" w:cs="仿宋"/>
                <w:sz w:val="24"/>
                <w:highlight w:val="none"/>
              </w:rPr>
            </w:pPr>
          </w:p>
        </w:tc>
        <w:tc>
          <w:tcPr>
            <w:tcW w:w="1886" w:type="dxa"/>
            <w:vAlign w:val="center"/>
          </w:tcPr>
          <w:p w14:paraId="6E30DC5C">
            <w:pPr>
              <w:rPr>
                <w:rFonts w:ascii="仿宋" w:hAnsi="仿宋" w:eastAsia="仿宋" w:cs="仿宋"/>
                <w:sz w:val="24"/>
                <w:highlight w:val="none"/>
              </w:rPr>
            </w:pPr>
          </w:p>
        </w:tc>
      </w:tr>
      <w:tr w14:paraId="36A85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63" w:type="dxa"/>
            <w:vAlign w:val="center"/>
          </w:tcPr>
          <w:p w14:paraId="6590CDAB">
            <w:pPr>
              <w:rPr>
                <w:rFonts w:ascii="仿宋" w:hAnsi="仿宋" w:eastAsia="仿宋" w:cs="仿宋"/>
                <w:sz w:val="24"/>
                <w:highlight w:val="none"/>
              </w:rPr>
            </w:pPr>
          </w:p>
        </w:tc>
        <w:tc>
          <w:tcPr>
            <w:tcW w:w="865" w:type="dxa"/>
            <w:vAlign w:val="center"/>
          </w:tcPr>
          <w:p w14:paraId="14E5BCF2">
            <w:pPr>
              <w:rPr>
                <w:rFonts w:ascii="仿宋" w:hAnsi="仿宋" w:eastAsia="仿宋" w:cs="仿宋"/>
                <w:sz w:val="24"/>
                <w:highlight w:val="none"/>
              </w:rPr>
            </w:pPr>
          </w:p>
        </w:tc>
        <w:tc>
          <w:tcPr>
            <w:tcW w:w="716" w:type="dxa"/>
            <w:vAlign w:val="center"/>
          </w:tcPr>
          <w:p w14:paraId="79EF98ED">
            <w:pPr>
              <w:rPr>
                <w:rFonts w:ascii="仿宋" w:hAnsi="仿宋" w:eastAsia="仿宋" w:cs="仿宋"/>
                <w:sz w:val="24"/>
                <w:highlight w:val="none"/>
              </w:rPr>
            </w:pPr>
          </w:p>
        </w:tc>
        <w:tc>
          <w:tcPr>
            <w:tcW w:w="1912" w:type="dxa"/>
          </w:tcPr>
          <w:p w14:paraId="1BD67409">
            <w:pPr>
              <w:rPr>
                <w:rFonts w:ascii="仿宋" w:hAnsi="仿宋" w:eastAsia="仿宋" w:cs="仿宋"/>
                <w:sz w:val="24"/>
                <w:highlight w:val="none"/>
              </w:rPr>
            </w:pPr>
          </w:p>
        </w:tc>
        <w:tc>
          <w:tcPr>
            <w:tcW w:w="825" w:type="dxa"/>
            <w:vAlign w:val="center"/>
          </w:tcPr>
          <w:p w14:paraId="2F4B0BCA">
            <w:pPr>
              <w:rPr>
                <w:rFonts w:ascii="仿宋" w:hAnsi="仿宋" w:eastAsia="仿宋" w:cs="仿宋"/>
                <w:sz w:val="24"/>
                <w:highlight w:val="none"/>
              </w:rPr>
            </w:pPr>
          </w:p>
        </w:tc>
        <w:tc>
          <w:tcPr>
            <w:tcW w:w="1209" w:type="dxa"/>
            <w:vAlign w:val="center"/>
          </w:tcPr>
          <w:p w14:paraId="70DCBAAD">
            <w:pPr>
              <w:rPr>
                <w:rFonts w:ascii="仿宋" w:hAnsi="仿宋" w:eastAsia="仿宋" w:cs="仿宋"/>
                <w:sz w:val="24"/>
                <w:highlight w:val="none"/>
              </w:rPr>
            </w:pPr>
          </w:p>
        </w:tc>
        <w:tc>
          <w:tcPr>
            <w:tcW w:w="1211" w:type="dxa"/>
          </w:tcPr>
          <w:p w14:paraId="1FB03A2D">
            <w:pPr>
              <w:rPr>
                <w:rFonts w:ascii="仿宋" w:hAnsi="仿宋" w:eastAsia="仿宋" w:cs="仿宋"/>
                <w:sz w:val="24"/>
                <w:highlight w:val="none"/>
              </w:rPr>
            </w:pPr>
          </w:p>
        </w:tc>
        <w:tc>
          <w:tcPr>
            <w:tcW w:w="1886" w:type="dxa"/>
            <w:vAlign w:val="center"/>
          </w:tcPr>
          <w:p w14:paraId="5171AFA1">
            <w:pPr>
              <w:rPr>
                <w:rFonts w:ascii="仿宋" w:hAnsi="仿宋" w:eastAsia="仿宋" w:cs="仿宋"/>
                <w:sz w:val="24"/>
                <w:highlight w:val="none"/>
              </w:rPr>
            </w:pPr>
          </w:p>
        </w:tc>
      </w:tr>
      <w:tr w14:paraId="48095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63" w:type="dxa"/>
            <w:vAlign w:val="center"/>
          </w:tcPr>
          <w:p w14:paraId="0796C974">
            <w:pPr>
              <w:rPr>
                <w:rFonts w:ascii="仿宋" w:hAnsi="仿宋" w:eastAsia="仿宋" w:cs="仿宋"/>
                <w:sz w:val="24"/>
                <w:highlight w:val="none"/>
              </w:rPr>
            </w:pPr>
          </w:p>
        </w:tc>
        <w:tc>
          <w:tcPr>
            <w:tcW w:w="865" w:type="dxa"/>
            <w:vAlign w:val="center"/>
          </w:tcPr>
          <w:p w14:paraId="05A358A6">
            <w:pPr>
              <w:rPr>
                <w:rFonts w:ascii="仿宋" w:hAnsi="仿宋" w:eastAsia="仿宋" w:cs="仿宋"/>
                <w:sz w:val="24"/>
                <w:highlight w:val="none"/>
              </w:rPr>
            </w:pPr>
          </w:p>
        </w:tc>
        <w:tc>
          <w:tcPr>
            <w:tcW w:w="716" w:type="dxa"/>
            <w:vAlign w:val="center"/>
          </w:tcPr>
          <w:p w14:paraId="12460E6E">
            <w:pPr>
              <w:rPr>
                <w:rFonts w:ascii="仿宋" w:hAnsi="仿宋" w:eastAsia="仿宋" w:cs="仿宋"/>
                <w:sz w:val="24"/>
                <w:highlight w:val="none"/>
              </w:rPr>
            </w:pPr>
          </w:p>
        </w:tc>
        <w:tc>
          <w:tcPr>
            <w:tcW w:w="1912" w:type="dxa"/>
          </w:tcPr>
          <w:p w14:paraId="20B60C18">
            <w:pPr>
              <w:rPr>
                <w:rFonts w:ascii="仿宋" w:hAnsi="仿宋" w:eastAsia="仿宋" w:cs="仿宋"/>
                <w:sz w:val="24"/>
                <w:highlight w:val="none"/>
              </w:rPr>
            </w:pPr>
          </w:p>
        </w:tc>
        <w:tc>
          <w:tcPr>
            <w:tcW w:w="825" w:type="dxa"/>
            <w:vAlign w:val="center"/>
          </w:tcPr>
          <w:p w14:paraId="3741B27C">
            <w:pPr>
              <w:rPr>
                <w:rFonts w:ascii="仿宋" w:hAnsi="仿宋" w:eastAsia="仿宋" w:cs="仿宋"/>
                <w:sz w:val="24"/>
                <w:highlight w:val="none"/>
              </w:rPr>
            </w:pPr>
          </w:p>
        </w:tc>
        <w:tc>
          <w:tcPr>
            <w:tcW w:w="1209" w:type="dxa"/>
            <w:vAlign w:val="center"/>
          </w:tcPr>
          <w:p w14:paraId="1C298F41">
            <w:pPr>
              <w:rPr>
                <w:rFonts w:ascii="仿宋" w:hAnsi="仿宋" w:eastAsia="仿宋" w:cs="仿宋"/>
                <w:sz w:val="24"/>
                <w:highlight w:val="none"/>
              </w:rPr>
            </w:pPr>
          </w:p>
        </w:tc>
        <w:tc>
          <w:tcPr>
            <w:tcW w:w="1211" w:type="dxa"/>
          </w:tcPr>
          <w:p w14:paraId="63CA6F58">
            <w:pPr>
              <w:rPr>
                <w:rFonts w:ascii="仿宋" w:hAnsi="仿宋" w:eastAsia="仿宋" w:cs="仿宋"/>
                <w:sz w:val="24"/>
                <w:highlight w:val="none"/>
              </w:rPr>
            </w:pPr>
          </w:p>
        </w:tc>
        <w:tc>
          <w:tcPr>
            <w:tcW w:w="1886" w:type="dxa"/>
            <w:vAlign w:val="center"/>
          </w:tcPr>
          <w:p w14:paraId="18D19990">
            <w:pPr>
              <w:rPr>
                <w:rFonts w:ascii="仿宋" w:hAnsi="仿宋" w:eastAsia="仿宋" w:cs="仿宋"/>
                <w:sz w:val="24"/>
                <w:highlight w:val="none"/>
              </w:rPr>
            </w:pPr>
          </w:p>
        </w:tc>
      </w:tr>
      <w:tr w14:paraId="105A5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63" w:type="dxa"/>
            <w:vAlign w:val="center"/>
          </w:tcPr>
          <w:p w14:paraId="7EC5E5D9">
            <w:pPr>
              <w:rPr>
                <w:rFonts w:ascii="仿宋" w:hAnsi="仿宋" w:eastAsia="仿宋" w:cs="仿宋"/>
                <w:sz w:val="24"/>
                <w:highlight w:val="none"/>
              </w:rPr>
            </w:pPr>
          </w:p>
        </w:tc>
        <w:tc>
          <w:tcPr>
            <w:tcW w:w="865" w:type="dxa"/>
            <w:vAlign w:val="center"/>
          </w:tcPr>
          <w:p w14:paraId="0F3F671B">
            <w:pPr>
              <w:rPr>
                <w:rFonts w:ascii="仿宋" w:hAnsi="仿宋" w:eastAsia="仿宋" w:cs="仿宋"/>
                <w:sz w:val="24"/>
                <w:highlight w:val="none"/>
              </w:rPr>
            </w:pPr>
          </w:p>
        </w:tc>
        <w:tc>
          <w:tcPr>
            <w:tcW w:w="716" w:type="dxa"/>
            <w:vAlign w:val="center"/>
          </w:tcPr>
          <w:p w14:paraId="497B8A95">
            <w:pPr>
              <w:rPr>
                <w:rFonts w:ascii="仿宋" w:hAnsi="仿宋" w:eastAsia="仿宋" w:cs="仿宋"/>
                <w:sz w:val="24"/>
                <w:highlight w:val="none"/>
              </w:rPr>
            </w:pPr>
          </w:p>
        </w:tc>
        <w:tc>
          <w:tcPr>
            <w:tcW w:w="1912" w:type="dxa"/>
          </w:tcPr>
          <w:p w14:paraId="33048EE8">
            <w:pPr>
              <w:rPr>
                <w:rFonts w:ascii="仿宋" w:hAnsi="仿宋" w:eastAsia="仿宋" w:cs="仿宋"/>
                <w:sz w:val="24"/>
                <w:highlight w:val="none"/>
              </w:rPr>
            </w:pPr>
          </w:p>
        </w:tc>
        <w:tc>
          <w:tcPr>
            <w:tcW w:w="825" w:type="dxa"/>
            <w:vAlign w:val="center"/>
          </w:tcPr>
          <w:p w14:paraId="522A3AA3">
            <w:pPr>
              <w:rPr>
                <w:rFonts w:ascii="仿宋" w:hAnsi="仿宋" w:eastAsia="仿宋" w:cs="仿宋"/>
                <w:sz w:val="24"/>
                <w:highlight w:val="none"/>
              </w:rPr>
            </w:pPr>
          </w:p>
        </w:tc>
        <w:tc>
          <w:tcPr>
            <w:tcW w:w="1209" w:type="dxa"/>
            <w:vAlign w:val="center"/>
          </w:tcPr>
          <w:p w14:paraId="35BE66EF">
            <w:pPr>
              <w:rPr>
                <w:rFonts w:ascii="仿宋" w:hAnsi="仿宋" w:eastAsia="仿宋" w:cs="仿宋"/>
                <w:sz w:val="24"/>
                <w:highlight w:val="none"/>
              </w:rPr>
            </w:pPr>
          </w:p>
        </w:tc>
        <w:tc>
          <w:tcPr>
            <w:tcW w:w="1211" w:type="dxa"/>
          </w:tcPr>
          <w:p w14:paraId="232E91A5">
            <w:pPr>
              <w:rPr>
                <w:rFonts w:ascii="仿宋" w:hAnsi="仿宋" w:eastAsia="仿宋" w:cs="仿宋"/>
                <w:sz w:val="24"/>
                <w:highlight w:val="none"/>
              </w:rPr>
            </w:pPr>
          </w:p>
        </w:tc>
        <w:tc>
          <w:tcPr>
            <w:tcW w:w="1886" w:type="dxa"/>
            <w:vAlign w:val="center"/>
          </w:tcPr>
          <w:p w14:paraId="5E0D71D7">
            <w:pPr>
              <w:rPr>
                <w:rFonts w:ascii="仿宋" w:hAnsi="仿宋" w:eastAsia="仿宋" w:cs="仿宋"/>
                <w:sz w:val="24"/>
                <w:highlight w:val="none"/>
              </w:rPr>
            </w:pPr>
          </w:p>
        </w:tc>
      </w:tr>
    </w:tbl>
    <w:p w14:paraId="30E97E92">
      <w:pPr>
        <w:rPr>
          <w:rFonts w:ascii="仿宋" w:hAnsi="仿宋" w:eastAsia="仿宋" w:cs="仿宋"/>
          <w:sz w:val="24"/>
          <w:highlight w:val="none"/>
        </w:rPr>
      </w:pPr>
      <w:r>
        <w:rPr>
          <w:rFonts w:hint="eastAsia" w:ascii="仿宋" w:hAnsi="仿宋" w:eastAsia="仿宋" w:cs="仿宋"/>
          <w:sz w:val="24"/>
          <w:highlight w:val="none"/>
        </w:rPr>
        <w:t>合作方承诺：项目周期内实施人员保持稳定，项目核心人员不发生变动。</w:t>
      </w:r>
    </w:p>
    <w:p w14:paraId="0135306E">
      <w:pPr>
        <w:rPr>
          <w:rFonts w:ascii="仿宋" w:hAnsi="仿宋" w:eastAsia="仿宋" w:cs="仿宋"/>
          <w:sz w:val="24"/>
          <w:highlight w:val="none"/>
        </w:rPr>
      </w:pPr>
    </w:p>
    <w:p w14:paraId="02853372">
      <w:pPr>
        <w:rPr>
          <w:rFonts w:ascii="仿宋" w:hAnsi="仿宋" w:eastAsia="仿宋" w:cs="仿宋"/>
          <w:sz w:val="24"/>
          <w:highlight w:val="none"/>
          <w:lang w:val="zh-CN"/>
        </w:rPr>
      </w:pPr>
      <w:bookmarkStart w:id="41" w:name="_Toc177189259"/>
      <w:bookmarkStart w:id="42" w:name="_Toc177817358"/>
      <w:bookmarkStart w:id="43" w:name="_Toc182802769"/>
      <w:bookmarkStart w:id="44" w:name="_Toc70687214"/>
      <w:bookmarkStart w:id="45" w:name="_Toc181504490"/>
      <w:bookmarkStart w:id="46" w:name="_Toc182802853"/>
      <w:bookmarkStart w:id="47" w:name="_Toc194888466"/>
      <w:bookmarkStart w:id="48" w:name="_Toc177995498"/>
      <w:bookmarkStart w:id="49" w:name="_Toc181864914"/>
      <w:bookmarkStart w:id="50" w:name="_Toc287280331"/>
      <w:bookmarkStart w:id="51" w:name="_Toc287280582"/>
      <w:bookmarkStart w:id="52" w:name="_Toc201995955"/>
      <w:bookmarkStart w:id="53" w:name="_Toc182205344"/>
      <w:bookmarkStart w:id="54" w:name="_Toc182802969"/>
      <w:bookmarkStart w:id="55" w:name="_Toc205612716"/>
      <w:bookmarkStart w:id="56" w:name="_Toc182205201"/>
      <w:bookmarkStart w:id="57" w:name="_Toc178491538"/>
      <w:bookmarkStart w:id="58" w:name="_Toc205612645"/>
      <w:bookmarkStart w:id="59" w:name="_Toc53722879"/>
      <w:bookmarkStart w:id="60" w:name="_Toc176882566"/>
      <w:bookmarkStart w:id="61" w:name="_Toc202069433"/>
      <w:bookmarkStart w:id="62" w:name="_Toc194883192"/>
      <w:r>
        <w:rPr>
          <w:rFonts w:hint="eastAsia" w:ascii="仿宋" w:hAnsi="仿宋" w:eastAsia="仿宋" w:cs="仿宋"/>
          <w:sz w:val="24"/>
          <w:highlight w:val="none"/>
          <w:lang w:val="zh-CN"/>
        </w:rPr>
        <w:t xml:space="preserve">授权代表（签字）：____________                          </w:t>
      </w:r>
    </w:p>
    <w:p w14:paraId="36A664F7">
      <w:pPr>
        <w:rPr>
          <w:rFonts w:ascii="仿宋" w:hAnsi="仿宋" w:eastAsia="仿宋" w:cs="仿宋"/>
          <w:sz w:val="24"/>
          <w:highlight w:val="none"/>
          <w:lang w:val="zh-CN"/>
        </w:rPr>
      </w:pPr>
      <w:r>
        <w:rPr>
          <w:rFonts w:hint="eastAsia" w:ascii="仿宋" w:hAnsi="仿宋" w:eastAsia="仿宋" w:cs="仿宋"/>
          <w:sz w:val="24"/>
          <w:highlight w:val="none"/>
          <w:lang w:val="zh-CN"/>
        </w:rPr>
        <w:t>单位</w:t>
      </w:r>
      <w:r>
        <w:rPr>
          <w:rFonts w:hint="eastAsia" w:ascii="仿宋" w:hAnsi="仿宋" w:eastAsia="仿宋" w:cs="仿宋"/>
          <w:sz w:val="24"/>
          <w:highlight w:val="none"/>
        </w:rPr>
        <w:t>（盖章）</w:t>
      </w:r>
      <w:r>
        <w:rPr>
          <w:rFonts w:hint="eastAsia" w:ascii="仿宋" w:hAnsi="仿宋" w:eastAsia="仿宋" w:cs="仿宋"/>
          <w:sz w:val="24"/>
          <w:highlight w:val="none"/>
          <w:lang w:val="zh-CN"/>
        </w:rPr>
        <w:t>:    ____________</w:t>
      </w:r>
    </w:p>
    <w:p w14:paraId="05751952">
      <w:pPr>
        <w:rPr>
          <w:rFonts w:ascii="仿宋" w:hAnsi="仿宋" w:eastAsia="仿宋" w:cs="仿宋"/>
          <w:sz w:val="24"/>
          <w:highlight w:val="none"/>
        </w:rPr>
      </w:pPr>
      <w:r>
        <w:rPr>
          <w:rFonts w:hint="eastAsia" w:ascii="仿宋" w:hAnsi="仿宋" w:eastAsia="仿宋" w:cs="仿宋"/>
          <w:sz w:val="24"/>
          <w:highlight w:val="none"/>
        </w:rPr>
        <w:t>日期：_____年______月______日</w:t>
      </w:r>
    </w:p>
    <w:p w14:paraId="25669AA3">
      <w:pPr>
        <w:rPr>
          <w:rFonts w:ascii="仿宋" w:hAnsi="仿宋" w:eastAsia="仿宋" w:cs="仿宋"/>
          <w:sz w:val="24"/>
          <w:highlight w:val="none"/>
        </w:rPr>
      </w:pPr>
      <w:r>
        <w:rPr>
          <w:rFonts w:hint="eastAsia" w:ascii="仿宋" w:hAnsi="仿宋" w:eastAsia="仿宋" w:cs="仿宋"/>
          <w:sz w:val="24"/>
          <w:highlight w:val="none"/>
        </w:rPr>
        <w:br w:type="page"/>
      </w:r>
      <w:bookmarkStart w:id="63" w:name="_Toc22617"/>
      <w:bookmarkStart w:id="64" w:name="_Toc486089926"/>
      <w:bookmarkStart w:id="65" w:name="_Toc2366_WPSOffice_Level1"/>
      <w:bookmarkStart w:id="66" w:name="_Toc449646783"/>
      <w:r>
        <w:rPr>
          <w:rFonts w:hint="eastAsia" w:ascii="仿宋" w:hAnsi="仿宋" w:eastAsia="仿宋" w:cs="仿宋"/>
          <w:sz w:val="24"/>
          <w:highlight w:val="none"/>
        </w:rPr>
        <w:t>附件8-2  合作项目实施团队主要人员简历表</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71120C1E">
      <w:pPr>
        <w:rPr>
          <w:rFonts w:ascii="仿宋" w:hAnsi="仿宋" w:eastAsia="仿宋" w:cs="仿宋"/>
          <w:sz w:val="24"/>
          <w:highlight w:val="none"/>
        </w:rPr>
      </w:pPr>
    </w:p>
    <w:tbl>
      <w:tblPr>
        <w:tblStyle w:val="4"/>
        <w:tblW w:w="89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66"/>
        <w:gridCol w:w="1240"/>
        <w:gridCol w:w="16"/>
        <w:gridCol w:w="1623"/>
        <w:gridCol w:w="1453"/>
        <w:gridCol w:w="1052"/>
        <w:gridCol w:w="1052"/>
        <w:gridCol w:w="56"/>
        <w:gridCol w:w="876"/>
      </w:tblGrid>
      <w:tr w14:paraId="17BB1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2" w:hRule="atLeast"/>
          <w:jc w:val="center"/>
        </w:trPr>
        <w:tc>
          <w:tcPr>
            <w:tcW w:w="1566" w:type="dxa"/>
            <w:vAlign w:val="center"/>
          </w:tcPr>
          <w:p w14:paraId="6C4A0DBF">
            <w:pPr>
              <w:rPr>
                <w:rFonts w:ascii="仿宋" w:hAnsi="仿宋" w:eastAsia="仿宋" w:cs="仿宋"/>
                <w:sz w:val="24"/>
                <w:highlight w:val="none"/>
              </w:rPr>
            </w:pPr>
            <w:r>
              <w:rPr>
                <w:rFonts w:hint="eastAsia" w:ascii="仿宋" w:hAnsi="仿宋" w:eastAsia="仿宋" w:cs="仿宋"/>
                <w:sz w:val="24"/>
                <w:highlight w:val="none"/>
              </w:rPr>
              <w:t>姓名</w:t>
            </w:r>
          </w:p>
        </w:tc>
        <w:tc>
          <w:tcPr>
            <w:tcW w:w="1240" w:type="dxa"/>
            <w:vAlign w:val="center"/>
          </w:tcPr>
          <w:p w14:paraId="63117B5E">
            <w:pPr>
              <w:rPr>
                <w:rFonts w:ascii="仿宋" w:hAnsi="仿宋" w:eastAsia="仿宋" w:cs="仿宋"/>
                <w:sz w:val="24"/>
                <w:highlight w:val="none"/>
              </w:rPr>
            </w:pPr>
          </w:p>
        </w:tc>
        <w:tc>
          <w:tcPr>
            <w:tcW w:w="1639" w:type="dxa"/>
            <w:gridSpan w:val="2"/>
            <w:vAlign w:val="center"/>
          </w:tcPr>
          <w:p w14:paraId="12A37C17">
            <w:pPr>
              <w:rPr>
                <w:rFonts w:ascii="仿宋" w:hAnsi="仿宋" w:eastAsia="仿宋" w:cs="仿宋"/>
                <w:sz w:val="24"/>
                <w:highlight w:val="none"/>
              </w:rPr>
            </w:pPr>
            <w:r>
              <w:rPr>
                <w:rFonts w:hint="eastAsia" w:ascii="仿宋" w:hAnsi="仿宋" w:eastAsia="仿宋" w:cs="仿宋"/>
                <w:sz w:val="24"/>
                <w:highlight w:val="none"/>
              </w:rPr>
              <w:t>年龄</w:t>
            </w:r>
          </w:p>
        </w:tc>
        <w:tc>
          <w:tcPr>
            <w:tcW w:w="1453" w:type="dxa"/>
            <w:vAlign w:val="center"/>
          </w:tcPr>
          <w:p w14:paraId="399771FA">
            <w:pPr>
              <w:rPr>
                <w:rFonts w:ascii="仿宋" w:hAnsi="仿宋" w:eastAsia="仿宋" w:cs="仿宋"/>
                <w:sz w:val="24"/>
                <w:highlight w:val="none"/>
              </w:rPr>
            </w:pPr>
          </w:p>
        </w:tc>
        <w:tc>
          <w:tcPr>
            <w:tcW w:w="2104" w:type="dxa"/>
            <w:gridSpan w:val="2"/>
            <w:vAlign w:val="center"/>
          </w:tcPr>
          <w:p w14:paraId="4B9CFC51">
            <w:pPr>
              <w:rPr>
                <w:rFonts w:ascii="仿宋" w:hAnsi="仿宋" w:eastAsia="仿宋" w:cs="仿宋"/>
                <w:sz w:val="24"/>
                <w:highlight w:val="none"/>
              </w:rPr>
            </w:pPr>
            <w:r>
              <w:rPr>
                <w:rFonts w:hint="eastAsia" w:ascii="仿宋" w:hAnsi="仿宋" w:eastAsia="仿宋" w:cs="仿宋"/>
                <w:sz w:val="24"/>
                <w:highlight w:val="none"/>
              </w:rPr>
              <w:t>身份证号码</w:t>
            </w:r>
          </w:p>
        </w:tc>
        <w:tc>
          <w:tcPr>
            <w:tcW w:w="932" w:type="dxa"/>
            <w:gridSpan w:val="2"/>
            <w:vAlign w:val="center"/>
          </w:tcPr>
          <w:p w14:paraId="455A81FD">
            <w:pPr>
              <w:rPr>
                <w:rFonts w:ascii="仿宋" w:hAnsi="仿宋" w:eastAsia="仿宋" w:cs="仿宋"/>
                <w:sz w:val="24"/>
                <w:highlight w:val="none"/>
              </w:rPr>
            </w:pPr>
          </w:p>
        </w:tc>
      </w:tr>
      <w:tr w14:paraId="0FCCE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44" w:hRule="atLeast"/>
          <w:jc w:val="center"/>
        </w:trPr>
        <w:tc>
          <w:tcPr>
            <w:tcW w:w="1566" w:type="dxa"/>
            <w:vAlign w:val="center"/>
          </w:tcPr>
          <w:p w14:paraId="7978C69C">
            <w:pPr>
              <w:rPr>
                <w:rFonts w:ascii="仿宋" w:hAnsi="仿宋" w:eastAsia="仿宋" w:cs="仿宋"/>
                <w:sz w:val="24"/>
                <w:highlight w:val="none"/>
              </w:rPr>
            </w:pPr>
            <w:r>
              <w:rPr>
                <w:rFonts w:hint="eastAsia" w:ascii="仿宋" w:hAnsi="仿宋" w:eastAsia="仿宋" w:cs="仿宋"/>
                <w:sz w:val="24"/>
                <w:highlight w:val="none"/>
              </w:rPr>
              <w:t>毕业校方</w:t>
            </w:r>
          </w:p>
        </w:tc>
        <w:tc>
          <w:tcPr>
            <w:tcW w:w="4332" w:type="dxa"/>
            <w:gridSpan w:val="4"/>
            <w:vAlign w:val="center"/>
          </w:tcPr>
          <w:p w14:paraId="49F92AC9">
            <w:pPr>
              <w:rPr>
                <w:rFonts w:ascii="仿宋" w:hAnsi="仿宋" w:eastAsia="仿宋" w:cs="仿宋"/>
                <w:sz w:val="24"/>
                <w:highlight w:val="none"/>
              </w:rPr>
            </w:pPr>
          </w:p>
        </w:tc>
        <w:tc>
          <w:tcPr>
            <w:tcW w:w="2104" w:type="dxa"/>
            <w:gridSpan w:val="2"/>
            <w:vAlign w:val="center"/>
          </w:tcPr>
          <w:p w14:paraId="6B926090">
            <w:pPr>
              <w:rPr>
                <w:rFonts w:ascii="仿宋" w:hAnsi="仿宋" w:eastAsia="仿宋" w:cs="仿宋"/>
                <w:sz w:val="24"/>
                <w:highlight w:val="none"/>
              </w:rPr>
            </w:pPr>
            <w:r>
              <w:rPr>
                <w:rFonts w:hint="eastAsia" w:ascii="仿宋" w:hAnsi="仿宋" w:eastAsia="仿宋" w:cs="仿宋"/>
                <w:sz w:val="24"/>
                <w:highlight w:val="none"/>
              </w:rPr>
              <w:t>专业</w:t>
            </w:r>
          </w:p>
        </w:tc>
        <w:tc>
          <w:tcPr>
            <w:tcW w:w="932" w:type="dxa"/>
            <w:gridSpan w:val="2"/>
            <w:vAlign w:val="center"/>
          </w:tcPr>
          <w:p w14:paraId="0D89699F">
            <w:pPr>
              <w:rPr>
                <w:rFonts w:ascii="仿宋" w:hAnsi="仿宋" w:eastAsia="仿宋" w:cs="仿宋"/>
                <w:sz w:val="24"/>
                <w:highlight w:val="none"/>
              </w:rPr>
            </w:pPr>
          </w:p>
        </w:tc>
      </w:tr>
      <w:tr w14:paraId="0951A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0" w:hRule="atLeast"/>
          <w:jc w:val="center"/>
        </w:trPr>
        <w:tc>
          <w:tcPr>
            <w:tcW w:w="1566" w:type="dxa"/>
            <w:vAlign w:val="center"/>
          </w:tcPr>
          <w:p w14:paraId="0250F0FB">
            <w:pPr>
              <w:rPr>
                <w:rFonts w:ascii="仿宋" w:hAnsi="仿宋" w:eastAsia="仿宋" w:cs="仿宋"/>
                <w:sz w:val="24"/>
                <w:highlight w:val="none"/>
              </w:rPr>
            </w:pPr>
            <w:r>
              <w:rPr>
                <w:rFonts w:hint="eastAsia" w:ascii="仿宋" w:hAnsi="仿宋" w:eastAsia="仿宋" w:cs="仿宋"/>
                <w:sz w:val="24"/>
                <w:highlight w:val="none"/>
              </w:rPr>
              <w:t>学历</w:t>
            </w:r>
          </w:p>
        </w:tc>
        <w:tc>
          <w:tcPr>
            <w:tcW w:w="1240" w:type="dxa"/>
            <w:vAlign w:val="center"/>
          </w:tcPr>
          <w:p w14:paraId="73157066">
            <w:pPr>
              <w:rPr>
                <w:rFonts w:ascii="仿宋" w:hAnsi="仿宋" w:eastAsia="仿宋" w:cs="仿宋"/>
                <w:sz w:val="24"/>
                <w:highlight w:val="none"/>
              </w:rPr>
            </w:pPr>
          </w:p>
        </w:tc>
        <w:tc>
          <w:tcPr>
            <w:tcW w:w="1639" w:type="dxa"/>
            <w:gridSpan w:val="2"/>
            <w:vAlign w:val="center"/>
          </w:tcPr>
          <w:p w14:paraId="194A3BBB">
            <w:pPr>
              <w:rPr>
                <w:rFonts w:ascii="仿宋" w:hAnsi="仿宋" w:eastAsia="仿宋" w:cs="仿宋"/>
                <w:sz w:val="24"/>
                <w:highlight w:val="none"/>
              </w:rPr>
            </w:pPr>
            <w:r>
              <w:rPr>
                <w:rFonts w:hint="eastAsia" w:ascii="仿宋" w:hAnsi="仿宋" w:eastAsia="仿宋" w:cs="仿宋"/>
                <w:sz w:val="24"/>
                <w:highlight w:val="none"/>
              </w:rPr>
              <w:t>职称</w:t>
            </w:r>
          </w:p>
        </w:tc>
        <w:tc>
          <w:tcPr>
            <w:tcW w:w="1453" w:type="dxa"/>
            <w:vAlign w:val="center"/>
          </w:tcPr>
          <w:p w14:paraId="5C9B2F7E">
            <w:pPr>
              <w:rPr>
                <w:rFonts w:ascii="仿宋" w:hAnsi="仿宋" w:eastAsia="仿宋" w:cs="仿宋"/>
                <w:sz w:val="24"/>
                <w:highlight w:val="none"/>
              </w:rPr>
            </w:pPr>
          </w:p>
        </w:tc>
        <w:tc>
          <w:tcPr>
            <w:tcW w:w="2104" w:type="dxa"/>
            <w:gridSpan w:val="2"/>
            <w:vAlign w:val="center"/>
          </w:tcPr>
          <w:p w14:paraId="520ED1B4">
            <w:pPr>
              <w:rPr>
                <w:rFonts w:ascii="仿宋" w:hAnsi="仿宋" w:eastAsia="仿宋" w:cs="仿宋"/>
                <w:sz w:val="24"/>
                <w:highlight w:val="none"/>
              </w:rPr>
            </w:pPr>
            <w:r>
              <w:rPr>
                <w:rFonts w:hint="eastAsia" w:ascii="仿宋" w:hAnsi="仿宋" w:eastAsia="仿宋" w:cs="仿宋"/>
                <w:sz w:val="24"/>
                <w:highlight w:val="none"/>
              </w:rPr>
              <w:t>职务</w:t>
            </w:r>
          </w:p>
        </w:tc>
        <w:tc>
          <w:tcPr>
            <w:tcW w:w="932" w:type="dxa"/>
            <w:gridSpan w:val="2"/>
            <w:vAlign w:val="center"/>
          </w:tcPr>
          <w:p w14:paraId="64F70B80">
            <w:pPr>
              <w:rPr>
                <w:rFonts w:ascii="仿宋" w:hAnsi="仿宋" w:eastAsia="仿宋" w:cs="仿宋"/>
                <w:sz w:val="24"/>
                <w:highlight w:val="none"/>
              </w:rPr>
            </w:pPr>
          </w:p>
        </w:tc>
      </w:tr>
      <w:tr w14:paraId="1990D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566" w:type="dxa"/>
            <w:vAlign w:val="center"/>
          </w:tcPr>
          <w:p w14:paraId="53797E5F">
            <w:pPr>
              <w:rPr>
                <w:rFonts w:ascii="仿宋" w:hAnsi="仿宋" w:eastAsia="仿宋" w:cs="仿宋"/>
                <w:sz w:val="24"/>
                <w:highlight w:val="none"/>
              </w:rPr>
            </w:pPr>
            <w:r>
              <w:rPr>
                <w:rFonts w:hint="eastAsia" w:ascii="仿宋" w:hAnsi="仿宋" w:eastAsia="仿宋" w:cs="仿宋"/>
                <w:sz w:val="24"/>
                <w:highlight w:val="none"/>
              </w:rPr>
              <w:t>现所在机构或部门</w:t>
            </w:r>
          </w:p>
        </w:tc>
        <w:tc>
          <w:tcPr>
            <w:tcW w:w="4332" w:type="dxa"/>
            <w:gridSpan w:val="4"/>
            <w:vAlign w:val="center"/>
          </w:tcPr>
          <w:p w14:paraId="39EC9875">
            <w:pPr>
              <w:rPr>
                <w:rFonts w:ascii="仿宋" w:hAnsi="仿宋" w:eastAsia="仿宋" w:cs="仿宋"/>
                <w:sz w:val="24"/>
                <w:highlight w:val="none"/>
              </w:rPr>
            </w:pPr>
          </w:p>
        </w:tc>
        <w:tc>
          <w:tcPr>
            <w:tcW w:w="2104" w:type="dxa"/>
            <w:gridSpan w:val="2"/>
            <w:vAlign w:val="center"/>
          </w:tcPr>
          <w:p w14:paraId="0108CDF1">
            <w:pPr>
              <w:rPr>
                <w:rFonts w:ascii="仿宋" w:hAnsi="仿宋" w:eastAsia="仿宋" w:cs="仿宋"/>
                <w:sz w:val="24"/>
                <w:highlight w:val="none"/>
              </w:rPr>
            </w:pPr>
            <w:r>
              <w:rPr>
                <w:rFonts w:hint="eastAsia" w:ascii="仿宋" w:hAnsi="仿宋" w:eastAsia="仿宋" w:cs="仿宋"/>
                <w:sz w:val="24"/>
                <w:highlight w:val="none"/>
              </w:rPr>
              <w:t>相关工作年限</w:t>
            </w:r>
          </w:p>
        </w:tc>
        <w:tc>
          <w:tcPr>
            <w:tcW w:w="932" w:type="dxa"/>
            <w:gridSpan w:val="2"/>
            <w:vAlign w:val="center"/>
          </w:tcPr>
          <w:p w14:paraId="7E3BFC35">
            <w:pPr>
              <w:rPr>
                <w:rFonts w:ascii="仿宋" w:hAnsi="仿宋" w:eastAsia="仿宋" w:cs="仿宋"/>
                <w:sz w:val="24"/>
                <w:highlight w:val="none"/>
              </w:rPr>
            </w:pPr>
          </w:p>
        </w:tc>
      </w:tr>
      <w:tr w14:paraId="4BB5A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0" w:hRule="atLeast"/>
          <w:jc w:val="center"/>
        </w:trPr>
        <w:tc>
          <w:tcPr>
            <w:tcW w:w="2822" w:type="dxa"/>
            <w:gridSpan w:val="3"/>
            <w:vAlign w:val="center"/>
          </w:tcPr>
          <w:p w14:paraId="4D3146EA">
            <w:pPr>
              <w:rPr>
                <w:rFonts w:ascii="仿宋" w:hAnsi="仿宋" w:eastAsia="仿宋" w:cs="仿宋"/>
                <w:sz w:val="24"/>
                <w:highlight w:val="none"/>
              </w:rPr>
            </w:pPr>
            <w:r>
              <w:rPr>
                <w:rFonts w:hint="eastAsia" w:ascii="仿宋" w:hAnsi="仿宋" w:eastAsia="仿宋" w:cs="仿宋"/>
                <w:sz w:val="24"/>
                <w:highlight w:val="none"/>
              </w:rPr>
              <w:t>拟在合作项目担任中职务</w:t>
            </w:r>
          </w:p>
        </w:tc>
        <w:tc>
          <w:tcPr>
            <w:tcW w:w="6112" w:type="dxa"/>
            <w:gridSpan w:val="6"/>
            <w:vAlign w:val="center"/>
          </w:tcPr>
          <w:p w14:paraId="336290A4">
            <w:pPr>
              <w:rPr>
                <w:rFonts w:ascii="仿宋" w:hAnsi="仿宋" w:eastAsia="仿宋" w:cs="仿宋"/>
                <w:sz w:val="24"/>
                <w:highlight w:val="none"/>
              </w:rPr>
            </w:pPr>
          </w:p>
        </w:tc>
      </w:tr>
      <w:tr w14:paraId="34C678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46" w:hRule="atLeast"/>
          <w:jc w:val="center"/>
        </w:trPr>
        <w:tc>
          <w:tcPr>
            <w:tcW w:w="1566" w:type="dxa"/>
            <w:vAlign w:val="center"/>
          </w:tcPr>
          <w:p w14:paraId="6511BD12">
            <w:pPr>
              <w:rPr>
                <w:rFonts w:ascii="仿宋" w:hAnsi="仿宋" w:eastAsia="仿宋" w:cs="仿宋"/>
                <w:sz w:val="24"/>
                <w:highlight w:val="none"/>
              </w:rPr>
            </w:pPr>
            <w:r>
              <w:rPr>
                <w:rFonts w:hint="eastAsia" w:ascii="仿宋" w:hAnsi="仿宋" w:eastAsia="仿宋" w:cs="仿宋"/>
                <w:sz w:val="24"/>
                <w:highlight w:val="none"/>
              </w:rPr>
              <w:t>主要经历</w:t>
            </w:r>
          </w:p>
        </w:tc>
        <w:tc>
          <w:tcPr>
            <w:tcW w:w="7368" w:type="dxa"/>
            <w:gridSpan w:val="8"/>
            <w:vAlign w:val="center"/>
          </w:tcPr>
          <w:p w14:paraId="639F551C">
            <w:pPr>
              <w:rPr>
                <w:rFonts w:ascii="仿宋" w:hAnsi="仿宋" w:eastAsia="仿宋" w:cs="仿宋"/>
                <w:sz w:val="24"/>
                <w:highlight w:val="none"/>
              </w:rPr>
            </w:pPr>
          </w:p>
        </w:tc>
      </w:tr>
      <w:tr w14:paraId="7208D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4" w:hRule="atLeast"/>
          <w:jc w:val="center"/>
        </w:trPr>
        <w:tc>
          <w:tcPr>
            <w:tcW w:w="1566" w:type="dxa"/>
            <w:vAlign w:val="center"/>
          </w:tcPr>
          <w:p w14:paraId="26786184">
            <w:pPr>
              <w:rPr>
                <w:rFonts w:ascii="仿宋" w:hAnsi="仿宋" w:eastAsia="仿宋" w:cs="仿宋"/>
                <w:sz w:val="24"/>
                <w:highlight w:val="none"/>
              </w:rPr>
            </w:pPr>
            <w:r>
              <w:rPr>
                <w:rFonts w:hint="eastAsia" w:ascii="仿宋" w:hAnsi="仿宋" w:eastAsia="仿宋" w:cs="仿宋"/>
                <w:sz w:val="24"/>
                <w:highlight w:val="none"/>
              </w:rPr>
              <w:t>日期</w:t>
            </w:r>
          </w:p>
        </w:tc>
        <w:tc>
          <w:tcPr>
            <w:tcW w:w="2879" w:type="dxa"/>
            <w:gridSpan w:val="3"/>
            <w:vAlign w:val="center"/>
          </w:tcPr>
          <w:p w14:paraId="1B7DB60A">
            <w:pPr>
              <w:rPr>
                <w:rFonts w:ascii="仿宋" w:hAnsi="仿宋" w:eastAsia="仿宋" w:cs="仿宋"/>
                <w:sz w:val="24"/>
                <w:highlight w:val="none"/>
              </w:rPr>
            </w:pPr>
            <w:r>
              <w:rPr>
                <w:rFonts w:hint="eastAsia" w:ascii="仿宋" w:hAnsi="仿宋" w:eastAsia="仿宋" w:cs="仿宋"/>
                <w:sz w:val="24"/>
                <w:highlight w:val="none"/>
              </w:rPr>
              <w:t>参加过的相关项目名称/成果情况</w:t>
            </w:r>
          </w:p>
        </w:tc>
        <w:tc>
          <w:tcPr>
            <w:tcW w:w="2505" w:type="dxa"/>
            <w:gridSpan w:val="2"/>
            <w:vAlign w:val="center"/>
          </w:tcPr>
          <w:p w14:paraId="0E9DA274">
            <w:pPr>
              <w:rPr>
                <w:rFonts w:ascii="仿宋" w:hAnsi="仿宋" w:eastAsia="仿宋" w:cs="仿宋"/>
                <w:sz w:val="24"/>
                <w:highlight w:val="none"/>
              </w:rPr>
            </w:pPr>
            <w:r>
              <w:rPr>
                <w:rFonts w:hint="eastAsia" w:ascii="仿宋" w:hAnsi="仿宋" w:eastAsia="仿宋" w:cs="仿宋"/>
                <w:sz w:val="24"/>
                <w:highlight w:val="none"/>
              </w:rPr>
              <w:t>担任何职</w:t>
            </w:r>
          </w:p>
          <w:p w14:paraId="6AB4A87E">
            <w:pPr>
              <w:rPr>
                <w:rFonts w:ascii="仿宋" w:hAnsi="仿宋" w:eastAsia="仿宋" w:cs="仿宋"/>
                <w:sz w:val="24"/>
                <w:highlight w:val="none"/>
              </w:rPr>
            </w:pPr>
            <w:r>
              <w:rPr>
                <w:rFonts w:hint="eastAsia" w:ascii="仿宋" w:hAnsi="仿宋" w:eastAsia="仿宋" w:cs="仿宋"/>
                <w:sz w:val="24"/>
                <w:highlight w:val="none"/>
              </w:rPr>
              <w:t>（负责人/参加者）</w:t>
            </w:r>
          </w:p>
        </w:tc>
        <w:tc>
          <w:tcPr>
            <w:tcW w:w="1108" w:type="dxa"/>
            <w:gridSpan w:val="2"/>
            <w:vAlign w:val="center"/>
          </w:tcPr>
          <w:p w14:paraId="277309DA">
            <w:pPr>
              <w:rPr>
                <w:rFonts w:ascii="仿宋" w:hAnsi="仿宋" w:eastAsia="仿宋" w:cs="仿宋"/>
                <w:sz w:val="24"/>
                <w:highlight w:val="none"/>
              </w:rPr>
            </w:pPr>
            <w:r>
              <w:rPr>
                <w:rFonts w:hint="eastAsia" w:ascii="仿宋" w:hAnsi="仿宋" w:eastAsia="仿宋" w:cs="仿宋"/>
                <w:sz w:val="24"/>
                <w:highlight w:val="none"/>
              </w:rPr>
              <w:t>是否已完成</w:t>
            </w:r>
          </w:p>
        </w:tc>
        <w:tc>
          <w:tcPr>
            <w:tcW w:w="876" w:type="dxa"/>
            <w:vAlign w:val="center"/>
          </w:tcPr>
          <w:p w14:paraId="79D1A0D9">
            <w:pPr>
              <w:rPr>
                <w:rFonts w:ascii="仿宋" w:hAnsi="仿宋" w:eastAsia="仿宋" w:cs="仿宋"/>
                <w:sz w:val="24"/>
                <w:highlight w:val="none"/>
              </w:rPr>
            </w:pPr>
            <w:r>
              <w:rPr>
                <w:rFonts w:hint="eastAsia" w:ascii="仿宋" w:hAnsi="仿宋" w:eastAsia="仿宋" w:cs="仿宋"/>
                <w:sz w:val="24"/>
                <w:highlight w:val="none"/>
              </w:rPr>
              <w:t>备注</w:t>
            </w:r>
          </w:p>
        </w:tc>
      </w:tr>
      <w:tr w14:paraId="21CC3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0" w:hRule="atLeast"/>
          <w:jc w:val="center"/>
        </w:trPr>
        <w:tc>
          <w:tcPr>
            <w:tcW w:w="1566" w:type="dxa"/>
            <w:vAlign w:val="center"/>
          </w:tcPr>
          <w:p w14:paraId="72E458B4">
            <w:pPr>
              <w:rPr>
                <w:rFonts w:ascii="仿宋" w:hAnsi="仿宋" w:eastAsia="仿宋" w:cs="仿宋"/>
                <w:sz w:val="24"/>
                <w:highlight w:val="none"/>
              </w:rPr>
            </w:pPr>
          </w:p>
        </w:tc>
        <w:tc>
          <w:tcPr>
            <w:tcW w:w="2879" w:type="dxa"/>
            <w:gridSpan w:val="3"/>
            <w:vAlign w:val="center"/>
          </w:tcPr>
          <w:p w14:paraId="5FAB2CB1">
            <w:pPr>
              <w:rPr>
                <w:rFonts w:ascii="仿宋" w:hAnsi="仿宋" w:eastAsia="仿宋" w:cs="仿宋"/>
                <w:sz w:val="24"/>
                <w:highlight w:val="none"/>
              </w:rPr>
            </w:pPr>
          </w:p>
        </w:tc>
        <w:tc>
          <w:tcPr>
            <w:tcW w:w="2505" w:type="dxa"/>
            <w:gridSpan w:val="2"/>
            <w:vAlign w:val="center"/>
          </w:tcPr>
          <w:p w14:paraId="2DA432BF">
            <w:pPr>
              <w:rPr>
                <w:rFonts w:ascii="仿宋" w:hAnsi="仿宋" w:eastAsia="仿宋" w:cs="仿宋"/>
                <w:sz w:val="24"/>
                <w:highlight w:val="none"/>
              </w:rPr>
            </w:pPr>
          </w:p>
        </w:tc>
        <w:tc>
          <w:tcPr>
            <w:tcW w:w="1108" w:type="dxa"/>
            <w:gridSpan w:val="2"/>
            <w:vAlign w:val="center"/>
          </w:tcPr>
          <w:p w14:paraId="36E9E8D1">
            <w:pPr>
              <w:rPr>
                <w:rFonts w:ascii="仿宋" w:hAnsi="仿宋" w:eastAsia="仿宋" w:cs="仿宋"/>
                <w:sz w:val="24"/>
                <w:highlight w:val="none"/>
              </w:rPr>
            </w:pPr>
          </w:p>
        </w:tc>
        <w:tc>
          <w:tcPr>
            <w:tcW w:w="876" w:type="dxa"/>
            <w:vAlign w:val="center"/>
          </w:tcPr>
          <w:p w14:paraId="32F51ACF">
            <w:pPr>
              <w:rPr>
                <w:rFonts w:ascii="仿宋" w:hAnsi="仿宋" w:eastAsia="仿宋" w:cs="仿宋"/>
                <w:sz w:val="24"/>
                <w:highlight w:val="none"/>
              </w:rPr>
            </w:pPr>
          </w:p>
        </w:tc>
      </w:tr>
      <w:tr w14:paraId="410D6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6" w:hRule="atLeast"/>
          <w:jc w:val="center"/>
        </w:trPr>
        <w:tc>
          <w:tcPr>
            <w:tcW w:w="1566" w:type="dxa"/>
            <w:vAlign w:val="center"/>
          </w:tcPr>
          <w:p w14:paraId="1325A797">
            <w:pPr>
              <w:rPr>
                <w:rFonts w:ascii="仿宋" w:hAnsi="仿宋" w:eastAsia="仿宋" w:cs="仿宋"/>
                <w:sz w:val="24"/>
                <w:highlight w:val="none"/>
              </w:rPr>
            </w:pPr>
          </w:p>
        </w:tc>
        <w:tc>
          <w:tcPr>
            <w:tcW w:w="2879" w:type="dxa"/>
            <w:gridSpan w:val="3"/>
            <w:vAlign w:val="center"/>
          </w:tcPr>
          <w:p w14:paraId="0FB9CAB6">
            <w:pPr>
              <w:rPr>
                <w:rFonts w:ascii="仿宋" w:hAnsi="仿宋" w:eastAsia="仿宋" w:cs="仿宋"/>
                <w:sz w:val="24"/>
                <w:highlight w:val="none"/>
              </w:rPr>
            </w:pPr>
          </w:p>
        </w:tc>
        <w:tc>
          <w:tcPr>
            <w:tcW w:w="2505" w:type="dxa"/>
            <w:gridSpan w:val="2"/>
            <w:vAlign w:val="center"/>
          </w:tcPr>
          <w:p w14:paraId="2468F629">
            <w:pPr>
              <w:rPr>
                <w:rFonts w:ascii="仿宋" w:hAnsi="仿宋" w:eastAsia="仿宋" w:cs="仿宋"/>
                <w:sz w:val="24"/>
                <w:highlight w:val="none"/>
              </w:rPr>
            </w:pPr>
          </w:p>
        </w:tc>
        <w:tc>
          <w:tcPr>
            <w:tcW w:w="1108" w:type="dxa"/>
            <w:gridSpan w:val="2"/>
            <w:vAlign w:val="center"/>
          </w:tcPr>
          <w:p w14:paraId="15D9DE2F">
            <w:pPr>
              <w:rPr>
                <w:rFonts w:ascii="仿宋" w:hAnsi="仿宋" w:eastAsia="仿宋" w:cs="仿宋"/>
                <w:sz w:val="24"/>
                <w:highlight w:val="none"/>
              </w:rPr>
            </w:pPr>
          </w:p>
        </w:tc>
        <w:tc>
          <w:tcPr>
            <w:tcW w:w="876" w:type="dxa"/>
            <w:vAlign w:val="center"/>
          </w:tcPr>
          <w:p w14:paraId="303127C4">
            <w:pPr>
              <w:rPr>
                <w:rFonts w:ascii="仿宋" w:hAnsi="仿宋" w:eastAsia="仿宋" w:cs="仿宋"/>
                <w:sz w:val="24"/>
                <w:highlight w:val="none"/>
              </w:rPr>
            </w:pPr>
          </w:p>
        </w:tc>
      </w:tr>
      <w:tr w14:paraId="3C446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5" w:hRule="atLeast"/>
          <w:jc w:val="center"/>
        </w:trPr>
        <w:tc>
          <w:tcPr>
            <w:tcW w:w="1566" w:type="dxa"/>
            <w:vAlign w:val="center"/>
          </w:tcPr>
          <w:p w14:paraId="24572793">
            <w:pPr>
              <w:rPr>
                <w:rFonts w:ascii="仿宋" w:hAnsi="仿宋" w:eastAsia="仿宋" w:cs="仿宋"/>
                <w:sz w:val="24"/>
                <w:highlight w:val="none"/>
              </w:rPr>
            </w:pPr>
          </w:p>
        </w:tc>
        <w:tc>
          <w:tcPr>
            <w:tcW w:w="2879" w:type="dxa"/>
            <w:gridSpan w:val="3"/>
            <w:vAlign w:val="center"/>
          </w:tcPr>
          <w:p w14:paraId="4C2A1850">
            <w:pPr>
              <w:rPr>
                <w:rFonts w:ascii="仿宋" w:hAnsi="仿宋" w:eastAsia="仿宋" w:cs="仿宋"/>
                <w:sz w:val="24"/>
                <w:highlight w:val="none"/>
              </w:rPr>
            </w:pPr>
          </w:p>
        </w:tc>
        <w:tc>
          <w:tcPr>
            <w:tcW w:w="2505" w:type="dxa"/>
            <w:gridSpan w:val="2"/>
            <w:vAlign w:val="center"/>
          </w:tcPr>
          <w:p w14:paraId="3994E369">
            <w:pPr>
              <w:rPr>
                <w:rFonts w:ascii="仿宋" w:hAnsi="仿宋" w:eastAsia="仿宋" w:cs="仿宋"/>
                <w:sz w:val="24"/>
                <w:highlight w:val="none"/>
              </w:rPr>
            </w:pPr>
          </w:p>
        </w:tc>
        <w:tc>
          <w:tcPr>
            <w:tcW w:w="1108" w:type="dxa"/>
            <w:gridSpan w:val="2"/>
            <w:vAlign w:val="center"/>
          </w:tcPr>
          <w:p w14:paraId="55C78E70">
            <w:pPr>
              <w:rPr>
                <w:rFonts w:ascii="仿宋" w:hAnsi="仿宋" w:eastAsia="仿宋" w:cs="仿宋"/>
                <w:sz w:val="24"/>
                <w:highlight w:val="none"/>
              </w:rPr>
            </w:pPr>
          </w:p>
        </w:tc>
        <w:tc>
          <w:tcPr>
            <w:tcW w:w="876" w:type="dxa"/>
            <w:vAlign w:val="center"/>
          </w:tcPr>
          <w:p w14:paraId="221E7BB0">
            <w:pPr>
              <w:rPr>
                <w:rFonts w:ascii="仿宋" w:hAnsi="仿宋" w:eastAsia="仿宋" w:cs="仿宋"/>
                <w:sz w:val="24"/>
                <w:highlight w:val="none"/>
              </w:rPr>
            </w:pPr>
          </w:p>
        </w:tc>
      </w:tr>
      <w:tr w14:paraId="1F584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8" w:hRule="atLeast"/>
          <w:jc w:val="center"/>
        </w:trPr>
        <w:tc>
          <w:tcPr>
            <w:tcW w:w="1566" w:type="dxa"/>
            <w:vAlign w:val="center"/>
          </w:tcPr>
          <w:p w14:paraId="1EE7A0DE">
            <w:pPr>
              <w:rPr>
                <w:rFonts w:ascii="仿宋" w:hAnsi="仿宋" w:eastAsia="仿宋" w:cs="仿宋"/>
                <w:sz w:val="24"/>
                <w:highlight w:val="none"/>
              </w:rPr>
            </w:pPr>
          </w:p>
        </w:tc>
        <w:tc>
          <w:tcPr>
            <w:tcW w:w="2879" w:type="dxa"/>
            <w:gridSpan w:val="3"/>
            <w:vAlign w:val="center"/>
          </w:tcPr>
          <w:p w14:paraId="2E7FA323">
            <w:pPr>
              <w:rPr>
                <w:rFonts w:ascii="仿宋" w:hAnsi="仿宋" w:eastAsia="仿宋" w:cs="仿宋"/>
                <w:sz w:val="24"/>
                <w:highlight w:val="none"/>
              </w:rPr>
            </w:pPr>
          </w:p>
        </w:tc>
        <w:tc>
          <w:tcPr>
            <w:tcW w:w="2505" w:type="dxa"/>
            <w:gridSpan w:val="2"/>
            <w:vAlign w:val="center"/>
          </w:tcPr>
          <w:p w14:paraId="5CD3562C">
            <w:pPr>
              <w:rPr>
                <w:rFonts w:ascii="仿宋" w:hAnsi="仿宋" w:eastAsia="仿宋" w:cs="仿宋"/>
                <w:sz w:val="24"/>
                <w:highlight w:val="none"/>
              </w:rPr>
            </w:pPr>
          </w:p>
        </w:tc>
        <w:tc>
          <w:tcPr>
            <w:tcW w:w="1108" w:type="dxa"/>
            <w:gridSpan w:val="2"/>
            <w:vAlign w:val="center"/>
          </w:tcPr>
          <w:p w14:paraId="0F2E963A">
            <w:pPr>
              <w:rPr>
                <w:rFonts w:ascii="仿宋" w:hAnsi="仿宋" w:eastAsia="仿宋" w:cs="仿宋"/>
                <w:sz w:val="24"/>
                <w:highlight w:val="none"/>
              </w:rPr>
            </w:pPr>
          </w:p>
        </w:tc>
        <w:tc>
          <w:tcPr>
            <w:tcW w:w="876" w:type="dxa"/>
            <w:vAlign w:val="center"/>
          </w:tcPr>
          <w:p w14:paraId="7AF7A7D6">
            <w:pPr>
              <w:rPr>
                <w:rFonts w:ascii="仿宋" w:hAnsi="仿宋" w:eastAsia="仿宋" w:cs="仿宋"/>
                <w:sz w:val="24"/>
                <w:highlight w:val="none"/>
              </w:rPr>
            </w:pPr>
          </w:p>
        </w:tc>
      </w:tr>
      <w:tr w14:paraId="16E50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0" w:hRule="atLeast"/>
          <w:jc w:val="center"/>
        </w:trPr>
        <w:tc>
          <w:tcPr>
            <w:tcW w:w="1566" w:type="dxa"/>
            <w:vAlign w:val="center"/>
          </w:tcPr>
          <w:p w14:paraId="15CCCB63">
            <w:pPr>
              <w:rPr>
                <w:rFonts w:ascii="仿宋" w:hAnsi="仿宋" w:eastAsia="仿宋" w:cs="仿宋"/>
                <w:sz w:val="24"/>
                <w:highlight w:val="none"/>
              </w:rPr>
            </w:pPr>
          </w:p>
        </w:tc>
        <w:tc>
          <w:tcPr>
            <w:tcW w:w="2879" w:type="dxa"/>
            <w:gridSpan w:val="3"/>
            <w:vAlign w:val="center"/>
          </w:tcPr>
          <w:p w14:paraId="007C566F">
            <w:pPr>
              <w:rPr>
                <w:rFonts w:ascii="仿宋" w:hAnsi="仿宋" w:eastAsia="仿宋" w:cs="仿宋"/>
                <w:sz w:val="24"/>
                <w:highlight w:val="none"/>
              </w:rPr>
            </w:pPr>
          </w:p>
        </w:tc>
        <w:tc>
          <w:tcPr>
            <w:tcW w:w="2505" w:type="dxa"/>
            <w:gridSpan w:val="2"/>
            <w:vAlign w:val="center"/>
          </w:tcPr>
          <w:p w14:paraId="5600A905">
            <w:pPr>
              <w:rPr>
                <w:rFonts w:ascii="仿宋" w:hAnsi="仿宋" w:eastAsia="仿宋" w:cs="仿宋"/>
                <w:sz w:val="24"/>
                <w:highlight w:val="none"/>
              </w:rPr>
            </w:pPr>
          </w:p>
        </w:tc>
        <w:tc>
          <w:tcPr>
            <w:tcW w:w="1108" w:type="dxa"/>
            <w:gridSpan w:val="2"/>
            <w:vAlign w:val="center"/>
          </w:tcPr>
          <w:p w14:paraId="3FE9CBA5">
            <w:pPr>
              <w:rPr>
                <w:rFonts w:ascii="仿宋" w:hAnsi="仿宋" w:eastAsia="仿宋" w:cs="仿宋"/>
                <w:sz w:val="24"/>
                <w:highlight w:val="none"/>
              </w:rPr>
            </w:pPr>
          </w:p>
        </w:tc>
        <w:tc>
          <w:tcPr>
            <w:tcW w:w="876" w:type="dxa"/>
            <w:vAlign w:val="center"/>
          </w:tcPr>
          <w:p w14:paraId="14486FCF">
            <w:pPr>
              <w:rPr>
                <w:rFonts w:ascii="仿宋" w:hAnsi="仿宋" w:eastAsia="仿宋" w:cs="仿宋"/>
                <w:sz w:val="24"/>
                <w:highlight w:val="none"/>
              </w:rPr>
            </w:pPr>
          </w:p>
        </w:tc>
      </w:tr>
      <w:tr w14:paraId="2F577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8" w:hRule="atLeast"/>
          <w:jc w:val="center"/>
        </w:trPr>
        <w:tc>
          <w:tcPr>
            <w:tcW w:w="1566" w:type="dxa"/>
            <w:vAlign w:val="center"/>
          </w:tcPr>
          <w:p w14:paraId="634CD1B6">
            <w:pPr>
              <w:rPr>
                <w:rFonts w:ascii="仿宋" w:hAnsi="仿宋" w:eastAsia="仿宋" w:cs="仿宋"/>
                <w:sz w:val="24"/>
                <w:highlight w:val="none"/>
              </w:rPr>
            </w:pPr>
          </w:p>
        </w:tc>
        <w:tc>
          <w:tcPr>
            <w:tcW w:w="2879" w:type="dxa"/>
            <w:gridSpan w:val="3"/>
            <w:vAlign w:val="center"/>
          </w:tcPr>
          <w:p w14:paraId="5DC052C4">
            <w:pPr>
              <w:rPr>
                <w:rFonts w:ascii="仿宋" w:hAnsi="仿宋" w:eastAsia="仿宋" w:cs="仿宋"/>
                <w:sz w:val="24"/>
                <w:highlight w:val="none"/>
              </w:rPr>
            </w:pPr>
          </w:p>
        </w:tc>
        <w:tc>
          <w:tcPr>
            <w:tcW w:w="2505" w:type="dxa"/>
            <w:gridSpan w:val="2"/>
            <w:vAlign w:val="center"/>
          </w:tcPr>
          <w:p w14:paraId="7E8DA187">
            <w:pPr>
              <w:rPr>
                <w:rFonts w:ascii="仿宋" w:hAnsi="仿宋" w:eastAsia="仿宋" w:cs="仿宋"/>
                <w:sz w:val="24"/>
                <w:highlight w:val="none"/>
              </w:rPr>
            </w:pPr>
          </w:p>
        </w:tc>
        <w:tc>
          <w:tcPr>
            <w:tcW w:w="1108" w:type="dxa"/>
            <w:gridSpan w:val="2"/>
            <w:vAlign w:val="center"/>
          </w:tcPr>
          <w:p w14:paraId="13998E24">
            <w:pPr>
              <w:rPr>
                <w:rFonts w:ascii="仿宋" w:hAnsi="仿宋" w:eastAsia="仿宋" w:cs="仿宋"/>
                <w:sz w:val="24"/>
                <w:highlight w:val="none"/>
              </w:rPr>
            </w:pPr>
          </w:p>
        </w:tc>
        <w:tc>
          <w:tcPr>
            <w:tcW w:w="876" w:type="dxa"/>
            <w:vAlign w:val="center"/>
          </w:tcPr>
          <w:p w14:paraId="255531F5">
            <w:pPr>
              <w:rPr>
                <w:rFonts w:ascii="仿宋" w:hAnsi="仿宋" w:eastAsia="仿宋" w:cs="仿宋"/>
                <w:sz w:val="24"/>
                <w:highlight w:val="none"/>
              </w:rPr>
            </w:pPr>
          </w:p>
        </w:tc>
      </w:tr>
      <w:tr w14:paraId="61192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1" w:hRule="atLeast"/>
          <w:jc w:val="center"/>
        </w:trPr>
        <w:tc>
          <w:tcPr>
            <w:tcW w:w="1566" w:type="dxa"/>
            <w:vAlign w:val="center"/>
          </w:tcPr>
          <w:p w14:paraId="16DD5A40">
            <w:pPr>
              <w:rPr>
                <w:rFonts w:ascii="仿宋" w:hAnsi="仿宋" w:eastAsia="仿宋" w:cs="仿宋"/>
                <w:sz w:val="24"/>
                <w:highlight w:val="none"/>
              </w:rPr>
            </w:pPr>
          </w:p>
        </w:tc>
        <w:tc>
          <w:tcPr>
            <w:tcW w:w="2879" w:type="dxa"/>
            <w:gridSpan w:val="3"/>
            <w:vAlign w:val="center"/>
          </w:tcPr>
          <w:p w14:paraId="0D63E8F4">
            <w:pPr>
              <w:rPr>
                <w:rFonts w:ascii="仿宋" w:hAnsi="仿宋" w:eastAsia="仿宋" w:cs="仿宋"/>
                <w:sz w:val="24"/>
                <w:highlight w:val="none"/>
              </w:rPr>
            </w:pPr>
          </w:p>
        </w:tc>
        <w:tc>
          <w:tcPr>
            <w:tcW w:w="2505" w:type="dxa"/>
            <w:gridSpan w:val="2"/>
            <w:vAlign w:val="center"/>
          </w:tcPr>
          <w:p w14:paraId="39F64AA6">
            <w:pPr>
              <w:rPr>
                <w:rFonts w:ascii="仿宋" w:hAnsi="仿宋" w:eastAsia="仿宋" w:cs="仿宋"/>
                <w:sz w:val="24"/>
                <w:highlight w:val="none"/>
              </w:rPr>
            </w:pPr>
          </w:p>
        </w:tc>
        <w:tc>
          <w:tcPr>
            <w:tcW w:w="1108" w:type="dxa"/>
            <w:gridSpan w:val="2"/>
            <w:vAlign w:val="center"/>
          </w:tcPr>
          <w:p w14:paraId="06D4DCBC">
            <w:pPr>
              <w:rPr>
                <w:rFonts w:ascii="仿宋" w:hAnsi="仿宋" w:eastAsia="仿宋" w:cs="仿宋"/>
                <w:sz w:val="24"/>
                <w:highlight w:val="none"/>
              </w:rPr>
            </w:pPr>
          </w:p>
        </w:tc>
        <w:tc>
          <w:tcPr>
            <w:tcW w:w="876" w:type="dxa"/>
            <w:vAlign w:val="center"/>
          </w:tcPr>
          <w:p w14:paraId="455E91F5">
            <w:pPr>
              <w:rPr>
                <w:rFonts w:ascii="仿宋" w:hAnsi="仿宋" w:eastAsia="仿宋" w:cs="仿宋"/>
                <w:sz w:val="24"/>
                <w:highlight w:val="none"/>
              </w:rPr>
            </w:pPr>
          </w:p>
        </w:tc>
      </w:tr>
      <w:tr w14:paraId="35CD8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4" w:hRule="atLeast"/>
          <w:jc w:val="center"/>
        </w:trPr>
        <w:tc>
          <w:tcPr>
            <w:tcW w:w="1566" w:type="dxa"/>
            <w:vAlign w:val="center"/>
          </w:tcPr>
          <w:p w14:paraId="1C8F65E8">
            <w:pPr>
              <w:rPr>
                <w:rFonts w:ascii="仿宋" w:hAnsi="仿宋" w:eastAsia="仿宋" w:cs="仿宋"/>
                <w:sz w:val="24"/>
                <w:highlight w:val="none"/>
              </w:rPr>
            </w:pPr>
          </w:p>
        </w:tc>
        <w:tc>
          <w:tcPr>
            <w:tcW w:w="2879" w:type="dxa"/>
            <w:gridSpan w:val="3"/>
            <w:vAlign w:val="center"/>
          </w:tcPr>
          <w:p w14:paraId="17E02D23">
            <w:pPr>
              <w:rPr>
                <w:rFonts w:ascii="仿宋" w:hAnsi="仿宋" w:eastAsia="仿宋" w:cs="仿宋"/>
                <w:sz w:val="24"/>
                <w:highlight w:val="none"/>
              </w:rPr>
            </w:pPr>
          </w:p>
        </w:tc>
        <w:tc>
          <w:tcPr>
            <w:tcW w:w="2505" w:type="dxa"/>
            <w:gridSpan w:val="2"/>
            <w:vAlign w:val="center"/>
          </w:tcPr>
          <w:p w14:paraId="4B01D67D">
            <w:pPr>
              <w:rPr>
                <w:rFonts w:ascii="仿宋" w:hAnsi="仿宋" w:eastAsia="仿宋" w:cs="仿宋"/>
                <w:sz w:val="24"/>
                <w:highlight w:val="none"/>
              </w:rPr>
            </w:pPr>
          </w:p>
        </w:tc>
        <w:tc>
          <w:tcPr>
            <w:tcW w:w="1108" w:type="dxa"/>
            <w:gridSpan w:val="2"/>
            <w:vAlign w:val="center"/>
          </w:tcPr>
          <w:p w14:paraId="2258CDDB">
            <w:pPr>
              <w:rPr>
                <w:rFonts w:ascii="仿宋" w:hAnsi="仿宋" w:eastAsia="仿宋" w:cs="仿宋"/>
                <w:sz w:val="24"/>
                <w:highlight w:val="none"/>
              </w:rPr>
            </w:pPr>
          </w:p>
        </w:tc>
        <w:tc>
          <w:tcPr>
            <w:tcW w:w="876" w:type="dxa"/>
            <w:vAlign w:val="center"/>
          </w:tcPr>
          <w:p w14:paraId="2B9E170F">
            <w:pPr>
              <w:rPr>
                <w:rFonts w:ascii="仿宋" w:hAnsi="仿宋" w:eastAsia="仿宋" w:cs="仿宋"/>
                <w:sz w:val="24"/>
                <w:highlight w:val="none"/>
              </w:rPr>
            </w:pPr>
          </w:p>
        </w:tc>
      </w:tr>
    </w:tbl>
    <w:p w14:paraId="699D31CC">
      <w:pPr>
        <w:rPr>
          <w:rFonts w:ascii="仿宋" w:hAnsi="仿宋" w:eastAsia="仿宋" w:cs="仿宋"/>
          <w:sz w:val="24"/>
          <w:highlight w:val="none"/>
        </w:rPr>
      </w:pPr>
      <w:r>
        <w:rPr>
          <w:rFonts w:hint="eastAsia" w:ascii="仿宋" w:hAnsi="仿宋" w:eastAsia="仿宋" w:cs="仿宋"/>
          <w:sz w:val="24"/>
          <w:highlight w:val="none"/>
        </w:rPr>
        <w:t>注：“主要人员”是指实际参加合作项目规定的管理、技术和服务工作的负责人员（包括但不限于</w:t>
      </w:r>
      <w:bookmarkStart w:id="67" w:name="OLE_LINK4"/>
      <w:r>
        <w:rPr>
          <w:rFonts w:hint="eastAsia" w:ascii="仿宋" w:hAnsi="仿宋" w:eastAsia="仿宋" w:cs="仿宋"/>
          <w:sz w:val="24"/>
          <w:highlight w:val="none"/>
        </w:rPr>
        <w:t>项目负责人</w:t>
      </w:r>
      <w:bookmarkEnd w:id="67"/>
      <w:r>
        <w:rPr>
          <w:rFonts w:hint="eastAsia" w:ascii="仿宋" w:hAnsi="仿宋" w:eastAsia="仿宋" w:cs="仿宋"/>
          <w:sz w:val="24"/>
          <w:highlight w:val="none"/>
        </w:rPr>
        <w:t>/项目经理等），应附上有关从业资质证书。</w:t>
      </w:r>
    </w:p>
    <w:p w14:paraId="71175A1F">
      <w:pPr>
        <w:rPr>
          <w:rFonts w:ascii="仿宋" w:hAnsi="仿宋" w:eastAsia="仿宋" w:cs="仿宋"/>
          <w:sz w:val="24"/>
          <w:highlight w:val="none"/>
        </w:rPr>
      </w:pPr>
    </w:p>
    <w:p w14:paraId="4CA38A19">
      <w:pPr>
        <w:rPr>
          <w:rFonts w:ascii="仿宋" w:hAnsi="仿宋" w:eastAsia="仿宋" w:cs="仿宋"/>
          <w:sz w:val="24"/>
          <w:highlight w:val="none"/>
          <w:lang w:val="zh-CN"/>
        </w:rPr>
      </w:pPr>
      <w:r>
        <w:rPr>
          <w:rFonts w:hint="eastAsia" w:ascii="仿宋" w:hAnsi="仿宋" w:eastAsia="仿宋" w:cs="仿宋"/>
          <w:sz w:val="24"/>
          <w:highlight w:val="none"/>
          <w:lang w:val="zh-CN"/>
        </w:rPr>
        <w:t xml:space="preserve">授权代表（签字）：____________                          </w:t>
      </w:r>
    </w:p>
    <w:p w14:paraId="1485B8F6">
      <w:pPr>
        <w:rPr>
          <w:rFonts w:ascii="仿宋" w:hAnsi="仿宋" w:eastAsia="仿宋" w:cs="仿宋"/>
          <w:sz w:val="24"/>
          <w:highlight w:val="none"/>
          <w:lang w:val="zh-CN"/>
        </w:rPr>
      </w:pPr>
      <w:r>
        <w:rPr>
          <w:rFonts w:hint="eastAsia" w:ascii="仿宋" w:hAnsi="仿宋" w:eastAsia="仿宋" w:cs="仿宋"/>
          <w:sz w:val="24"/>
          <w:highlight w:val="none"/>
          <w:lang w:val="zh-CN"/>
        </w:rPr>
        <w:t>单位</w:t>
      </w:r>
      <w:r>
        <w:rPr>
          <w:rFonts w:hint="eastAsia" w:ascii="仿宋" w:hAnsi="仿宋" w:eastAsia="仿宋" w:cs="仿宋"/>
          <w:sz w:val="24"/>
          <w:highlight w:val="none"/>
        </w:rPr>
        <w:t>（盖章）</w:t>
      </w:r>
      <w:r>
        <w:rPr>
          <w:rFonts w:hint="eastAsia" w:ascii="仿宋" w:hAnsi="仿宋" w:eastAsia="仿宋" w:cs="仿宋"/>
          <w:sz w:val="24"/>
          <w:highlight w:val="none"/>
          <w:lang w:val="zh-CN"/>
        </w:rPr>
        <w:t>:    ____________</w:t>
      </w:r>
    </w:p>
    <w:p w14:paraId="00B303BD">
      <w:pPr>
        <w:rPr>
          <w:rFonts w:ascii="仿宋" w:hAnsi="仿宋" w:eastAsia="仿宋" w:cs="仿宋"/>
          <w:sz w:val="24"/>
          <w:highlight w:val="none"/>
        </w:rPr>
      </w:pPr>
      <w:r>
        <w:rPr>
          <w:rFonts w:hint="eastAsia" w:ascii="仿宋" w:hAnsi="仿宋" w:eastAsia="仿宋" w:cs="仿宋"/>
          <w:sz w:val="24"/>
          <w:highlight w:val="none"/>
        </w:rPr>
        <w:t>日期：_____年______月______日</w:t>
      </w:r>
    </w:p>
    <w:p w14:paraId="379033C2">
      <w:pPr>
        <w:rPr>
          <w:rFonts w:ascii="仿宋" w:hAnsi="仿宋" w:eastAsia="仿宋" w:cs="仿宋"/>
          <w:sz w:val="24"/>
          <w:highlight w:val="none"/>
        </w:rPr>
      </w:pPr>
      <w:r>
        <w:rPr>
          <w:rFonts w:hint="eastAsia" w:ascii="仿宋" w:hAnsi="仿宋" w:eastAsia="仿宋" w:cs="仿宋"/>
          <w:sz w:val="24"/>
          <w:highlight w:val="none"/>
        </w:rPr>
        <w:t xml:space="preserve"> </w:t>
      </w:r>
    </w:p>
    <w:p w14:paraId="7FB275D5">
      <w:pPr>
        <w:pStyle w:val="2"/>
        <w:numPr>
          <w:ilvl w:val="255"/>
          <w:numId w:val="0"/>
        </w:numPr>
        <w:rPr>
          <w:highlight w:val="none"/>
        </w:rPr>
      </w:pPr>
    </w:p>
    <w:p w14:paraId="1EB5340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67B738"/>
    <w:multiLevelType w:val="singleLevel"/>
    <w:tmpl w:val="D967B738"/>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4F2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customStyle="1" w:styleId="3">
    <w:name w:val="目录 11"/>
    <w:next w:val="1"/>
    <w:qFormat/>
    <w:uiPriority w:val="0"/>
    <w:pPr>
      <w:wordWrap w:val="0"/>
      <w:jc w:val="both"/>
    </w:pPr>
    <w:rPr>
      <w:rFonts w:ascii="Calibri" w:hAnsi="Calibri" w:eastAsia="宋体" w:cs="Calibri"/>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2025-12-02T01:21:46Z</dcterms:created>
  <dc:creator>zhhx</dc:creator>
  <cp:lastModifiedBy>高</cp:lastModifiedBy>
  <dcterms:modified xsi:type="dcterms:W3CDTF">2025-12-02T01:22:20Z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eyJoZGlkIjoiOTEwNzllZDM2ZTdkZjM5ZWQ4N2U5NWIyN2UyZWUyZGYiLCJ1c2VySWQiOiI0NjYwNDMyMDYifQ==</vt:lpwstr>
  </property>
  <property fmtid="{D5CDD505-2E9C-101B-9397-08002B2CF9AE}" pid="4" name="ICV">
    <vt:lpwstr>715D3F7FC418447BB4E5B99421069A33_12</vt:lpwstr>
  </property>
</Properties>
</file>