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adjustRightInd w:val="0"/>
        <w:snapToGrid w:val="0"/>
        <w:ind w:firstLine="643" w:firstLineChars="200"/>
        <w:jc w:val="center"/>
        <w:textAlignment w:val="baseline"/>
        <w:outlineLvl w:val="0"/>
        <w:rPr>
          <w:rFonts w:hint="eastAsia" w:ascii="宋体" w:hAnsi="宋体" w:cs="宋体"/>
          <w:b/>
          <w:bCs/>
          <w:kern w:val="44"/>
          <w:sz w:val="32"/>
          <w:szCs w:val="21"/>
          <w:highlight w:val="none"/>
        </w:rPr>
      </w:pPr>
      <w:bookmarkStart w:id="0" w:name="_Toc466015313"/>
      <w:r>
        <w:rPr>
          <w:rFonts w:hint="eastAsia" w:ascii="宋体" w:hAnsi="宋体" w:cs="宋体"/>
          <w:b/>
          <w:bCs/>
          <w:kern w:val="44"/>
          <w:sz w:val="32"/>
          <w:szCs w:val="21"/>
          <w:highlight w:val="none"/>
        </w:rPr>
        <w:t>采购需求</w:t>
      </w:r>
      <w:bookmarkEnd w:id="0"/>
    </w:p>
    <w:p>
      <w:pPr>
        <w:keepNext/>
        <w:numPr>
          <w:ilvl w:val="0"/>
          <w:numId w:val="1"/>
        </w:numPr>
        <w:adjustRightInd w:val="0"/>
        <w:snapToGrid w:val="0"/>
        <w:ind w:firstLine="562" w:firstLineChars="200"/>
        <w:outlineLvl w:val="0"/>
        <w:rPr>
          <w:rFonts w:ascii="宋体" w:hAnsi="宋体"/>
          <w:b/>
          <w:kern w:val="44"/>
          <w:sz w:val="28"/>
          <w:szCs w:val="22"/>
          <w:highlight w:val="none"/>
        </w:rPr>
      </w:pPr>
      <w:bookmarkStart w:id="1" w:name="_Toc14624"/>
      <w:r>
        <w:rPr>
          <w:rFonts w:hint="eastAsia" w:ascii="宋体" w:hAnsi="宋体"/>
          <w:b/>
          <w:kern w:val="44"/>
          <w:sz w:val="28"/>
          <w:szCs w:val="22"/>
          <w:highlight w:val="none"/>
        </w:rPr>
        <w:t>采购项目情况</w:t>
      </w:r>
      <w:bookmarkEnd w:id="1"/>
    </w:p>
    <w:p>
      <w:pPr>
        <w:keepNext/>
        <w:numPr>
          <w:ilvl w:val="1"/>
          <w:numId w:val="1"/>
        </w:numPr>
        <w:adjustRightInd w:val="0"/>
        <w:snapToGrid w:val="0"/>
        <w:ind w:left="0" w:firstLine="482" w:firstLineChars="200"/>
        <w:outlineLvl w:val="1"/>
        <w:rPr>
          <w:rFonts w:ascii="Arial" w:hAnsi="Arial"/>
          <w:b/>
          <w:sz w:val="24"/>
          <w:szCs w:val="22"/>
          <w:highlight w:val="none"/>
        </w:rPr>
      </w:pPr>
      <w:bookmarkStart w:id="2" w:name="_Toc1635"/>
      <w:bookmarkStart w:id="3" w:name="_Toc23035"/>
      <w:r>
        <w:rPr>
          <w:rFonts w:hint="eastAsia" w:ascii="Arial" w:hAnsi="Arial"/>
          <w:b/>
          <w:sz w:val="24"/>
          <w:szCs w:val="22"/>
          <w:highlight w:val="none"/>
        </w:rPr>
        <w:t>项目基本情况</w:t>
      </w:r>
      <w:bookmarkEnd w:id="2"/>
      <w:bookmarkEnd w:id="3"/>
    </w:p>
    <w:p>
      <w:pPr>
        <w:adjustRightInd w:val="0"/>
        <w:snapToGrid w:val="0"/>
        <w:ind w:firstLine="480" w:firstLineChars="200"/>
        <w:rPr>
          <w:rFonts w:ascii="宋体" w:hAnsi="宋体" w:cs="宋体"/>
          <w:sz w:val="24"/>
          <w:szCs w:val="22"/>
          <w:highlight w:val="none"/>
        </w:rPr>
      </w:pPr>
      <w:r>
        <w:rPr>
          <w:rFonts w:hint="eastAsia" w:ascii="宋体" w:hAnsi="宋体" w:cs="宋体"/>
          <w:sz w:val="24"/>
          <w:szCs w:val="22"/>
          <w:highlight w:val="none"/>
        </w:rPr>
        <w:t>1.项目名称：</w:t>
      </w:r>
      <w:r>
        <w:rPr>
          <w:rFonts w:hint="eastAsia" w:ascii="宋体" w:hAnsi="宋体" w:cs="宋体"/>
          <w:sz w:val="24"/>
          <w:szCs w:val="22"/>
          <w:highlight w:val="none"/>
          <w:u w:val="single"/>
        </w:rPr>
        <w:t>信息系统租用市级政务云资源</w:t>
      </w:r>
      <w:r>
        <w:rPr>
          <w:rFonts w:hint="eastAsia" w:ascii="宋体" w:hAnsi="宋体" w:cs="宋体"/>
          <w:sz w:val="24"/>
          <w:szCs w:val="22"/>
          <w:highlight w:val="none"/>
        </w:rPr>
        <w:t>_</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2.项目预算金额：</w:t>
      </w:r>
      <w:r>
        <w:rPr>
          <w:rFonts w:hint="eastAsia" w:ascii="宋体" w:hAnsi="宋体" w:cs="宋体"/>
          <w:sz w:val="24"/>
          <w:szCs w:val="22"/>
          <w:highlight w:val="none"/>
          <w:u w:val="single"/>
        </w:rPr>
        <w:t>886.3</w:t>
      </w:r>
      <w:r>
        <w:rPr>
          <w:rFonts w:hint="eastAsia" w:ascii="宋体" w:hAnsi="宋体" w:cs="宋体"/>
          <w:sz w:val="24"/>
          <w:szCs w:val="22"/>
          <w:highlight w:val="none"/>
        </w:rPr>
        <w:t>万元</w:t>
      </w:r>
    </w:p>
    <w:p>
      <w:pPr>
        <w:adjustRightInd w:val="0"/>
        <w:snapToGrid w:val="0"/>
        <w:ind w:firstLine="480" w:firstLineChars="200"/>
        <w:rPr>
          <w:rFonts w:ascii="宋体" w:hAnsi="宋体" w:cs="宋体"/>
          <w:sz w:val="24"/>
          <w:szCs w:val="22"/>
          <w:highlight w:val="none"/>
        </w:rPr>
      </w:pPr>
      <w:r>
        <w:rPr>
          <w:rFonts w:hint="eastAsia" w:ascii="宋体" w:hAnsi="宋体" w:cs="宋体"/>
          <w:sz w:val="24"/>
          <w:szCs w:val="22"/>
          <w:highlight w:val="none"/>
        </w:rPr>
        <w:t>3.采购包情况：</w:t>
      </w:r>
    </w:p>
    <w:tbl>
      <w:tblPr>
        <w:tblStyle w:val="2"/>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740"/>
        <w:gridCol w:w="299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9" w:type="dxa"/>
            <w:noWrap w:val="0"/>
            <w:vAlign w:val="center"/>
          </w:tcPr>
          <w:p>
            <w:pPr>
              <w:adjustRightInd w:val="0"/>
              <w:snapToGrid w:val="0"/>
              <w:ind w:firstLine="480" w:firstLineChars="200"/>
              <w:jc w:val="center"/>
              <w:rPr>
                <w:rFonts w:ascii="宋体" w:hAnsi="宋体" w:cs="宋体"/>
                <w:bCs/>
                <w:sz w:val="24"/>
                <w:szCs w:val="22"/>
                <w:highlight w:val="none"/>
              </w:rPr>
            </w:pPr>
            <w:r>
              <w:rPr>
                <w:rFonts w:hint="eastAsia" w:ascii="宋体" w:hAnsi="宋体" w:cs="宋体"/>
                <w:bCs/>
                <w:sz w:val="24"/>
                <w:szCs w:val="22"/>
                <w:highlight w:val="none"/>
              </w:rPr>
              <w:t>包号</w:t>
            </w:r>
          </w:p>
        </w:tc>
        <w:tc>
          <w:tcPr>
            <w:tcW w:w="2740" w:type="dxa"/>
            <w:noWrap w:val="0"/>
            <w:vAlign w:val="center"/>
          </w:tcPr>
          <w:p>
            <w:pPr>
              <w:adjustRightInd w:val="0"/>
              <w:snapToGrid w:val="0"/>
              <w:ind w:firstLine="480" w:firstLineChars="200"/>
              <w:jc w:val="center"/>
              <w:rPr>
                <w:rFonts w:ascii="宋体" w:hAnsi="宋体" w:cs="宋体"/>
                <w:bCs/>
                <w:sz w:val="24"/>
                <w:szCs w:val="22"/>
                <w:highlight w:val="none"/>
              </w:rPr>
            </w:pPr>
            <w:r>
              <w:rPr>
                <w:rFonts w:hint="eastAsia" w:ascii="宋体" w:hAnsi="宋体" w:cs="宋体"/>
                <w:bCs/>
                <w:sz w:val="24"/>
                <w:szCs w:val="22"/>
                <w:highlight w:val="none"/>
              </w:rPr>
              <w:t>标的名称</w:t>
            </w:r>
          </w:p>
        </w:tc>
        <w:tc>
          <w:tcPr>
            <w:tcW w:w="2991" w:type="dxa"/>
            <w:noWrap w:val="0"/>
            <w:vAlign w:val="center"/>
          </w:tcPr>
          <w:p>
            <w:pPr>
              <w:adjustRightInd w:val="0"/>
              <w:snapToGrid w:val="0"/>
              <w:ind w:firstLine="480" w:firstLineChars="200"/>
              <w:jc w:val="center"/>
              <w:rPr>
                <w:rFonts w:ascii="宋体" w:hAnsi="宋体" w:cs="宋体"/>
                <w:bCs/>
                <w:sz w:val="24"/>
                <w:szCs w:val="22"/>
                <w:highlight w:val="none"/>
              </w:rPr>
            </w:pPr>
            <w:r>
              <w:rPr>
                <w:rFonts w:hint="eastAsia" w:ascii="宋体" w:hAnsi="宋体" w:cs="宋体"/>
                <w:bCs/>
                <w:sz w:val="24"/>
                <w:szCs w:val="22"/>
                <w:highlight w:val="none"/>
              </w:rPr>
              <w:t>采购包预算金额</w:t>
            </w:r>
          </w:p>
          <w:p>
            <w:pPr>
              <w:adjustRightInd w:val="0"/>
              <w:snapToGrid w:val="0"/>
              <w:ind w:firstLine="480" w:firstLineChars="200"/>
              <w:jc w:val="center"/>
              <w:rPr>
                <w:rFonts w:ascii="宋体" w:hAnsi="宋体" w:cs="宋体"/>
                <w:bCs/>
                <w:sz w:val="24"/>
                <w:szCs w:val="22"/>
                <w:highlight w:val="none"/>
              </w:rPr>
            </w:pPr>
            <w:r>
              <w:rPr>
                <w:rFonts w:hint="eastAsia" w:ascii="宋体" w:hAnsi="宋体" w:cs="宋体"/>
                <w:bCs/>
                <w:sz w:val="24"/>
                <w:szCs w:val="22"/>
                <w:highlight w:val="none"/>
              </w:rPr>
              <w:t>（万元）</w:t>
            </w:r>
          </w:p>
        </w:tc>
        <w:tc>
          <w:tcPr>
            <w:tcW w:w="1751" w:type="dxa"/>
            <w:noWrap w:val="0"/>
            <w:vAlign w:val="center"/>
          </w:tcPr>
          <w:p>
            <w:pPr>
              <w:adjustRightInd w:val="0"/>
              <w:snapToGrid w:val="0"/>
              <w:ind w:firstLine="480" w:firstLineChars="200"/>
              <w:jc w:val="center"/>
              <w:rPr>
                <w:rFonts w:ascii="宋体" w:hAnsi="宋体" w:cs="宋体"/>
                <w:bCs/>
                <w:sz w:val="24"/>
                <w:szCs w:val="22"/>
                <w:highlight w:val="none"/>
              </w:rPr>
            </w:pPr>
            <w:r>
              <w:rPr>
                <w:rFonts w:hint="eastAsia" w:ascii="宋体" w:hAnsi="宋体" w:cs="宋体"/>
                <w:bCs/>
                <w:sz w:val="24"/>
                <w:szCs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9" w:type="dxa"/>
            <w:noWrap w:val="0"/>
            <w:vAlign w:val="center"/>
          </w:tcPr>
          <w:p>
            <w:pPr>
              <w:adjustRightInd w:val="0"/>
              <w:snapToGrid w:val="0"/>
              <w:ind w:firstLine="480" w:firstLineChars="200"/>
              <w:jc w:val="center"/>
              <w:rPr>
                <w:rFonts w:ascii="宋体" w:hAnsi="宋体" w:cs="宋体"/>
                <w:bCs/>
                <w:sz w:val="24"/>
                <w:szCs w:val="22"/>
                <w:highlight w:val="none"/>
              </w:rPr>
            </w:pPr>
            <w:r>
              <w:rPr>
                <w:rFonts w:hint="eastAsia" w:ascii="宋体" w:hAnsi="宋体" w:cs="宋体"/>
                <w:bCs/>
                <w:sz w:val="24"/>
                <w:szCs w:val="22"/>
                <w:highlight w:val="none"/>
              </w:rPr>
              <w:t>01</w:t>
            </w:r>
          </w:p>
        </w:tc>
        <w:tc>
          <w:tcPr>
            <w:tcW w:w="2740" w:type="dxa"/>
            <w:noWrap w:val="0"/>
            <w:vAlign w:val="center"/>
          </w:tcPr>
          <w:p>
            <w:pPr>
              <w:adjustRightInd w:val="0"/>
              <w:snapToGrid w:val="0"/>
              <w:rPr>
                <w:rFonts w:ascii="宋体" w:hAnsi="宋体" w:cs="宋体"/>
                <w:bCs/>
                <w:sz w:val="24"/>
                <w:szCs w:val="22"/>
                <w:highlight w:val="none"/>
              </w:rPr>
            </w:pPr>
            <w:r>
              <w:rPr>
                <w:rFonts w:hint="eastAsia"/>
                <w:sz w:val="24"/>
                <w:highlight w:val="none"/>
              </w:rPr>
              <w:t>北京市科学技术委员会、中关村科技园区管理委员会综合事务中心2025年信息系统租用市级政务云资源采购项目</w:t>
            </w:r>
          </w:p>
        </w:tc>
        <w:tc>
          <w:tcPr>
            <w:tcW w:w="2991" w:type="dxa"/>
            <w:noWrap w:val="0"/>
            <w:vAlign w:val="center"/>
          </w:tcPr>
          <w:p>
            <w:pPr>
              <w:adjustRightInd w:val="0"/>
              <w:snapToGrid w:val="0"/>
              <w:ind w:firstLine="480" w:firstLineChars="200"/>
              <w:rPr>
                <w:rFonts w:ascii="宋体" w:hAnsi="宋体" w:cs="宋体"/>
                <w:bCs/>
                <w:sz w:val="24"/>
                <w:szCs w:val="22"/>
                <w:highlight w:val="none"/>
              </w:rPr>
            </w:pPr>
            <w:r>
              <w:rPr>
                <w:rFonts w:hint="eastAsia" w:ascii="宋体" w:hAnsi="宋体" w:cs="宋体"/>
                <w:bCs/>
                <w:sz w:val="24"/>
                <w:szCs w:val="22"/>
                <w:highlight w:val="none"/>
              </w:rPr>
              <w:t>886.3</w:t>
            </w:r>
          </w:p>
        </w:tc>
        <w:tc>
          <w:tcPr>
            <w:tcW w:w="1751" w:type="dxa"/>
            <w:noWrap w:val="0"/>
            <w:vAlign w:val="center"/>
          </w:tcPr>
          <w:p>
            <w:pPr>
              <w:adjustRightInd w:val="0"/>
              <w:snapToGrid w:val="0"/>
              <w:ind w:firstLine="480" w:firstLineChars="200"/>
              <w:jc w:val="center"/>
              <w:rPr>
                <w:rFonts w:ascii="宋体" w:hAnsi="宋体" w:cs="宋体"/>
                <w:bCs/>
                <w:sz w:val="24"/>
                <w:szCs w:val="22"/>
                <w:highlight w:val="none"/>
              </w:rPr>
            </w:pPr>
            <w:r>
              <w:rPr>
                <w:rFonts w:hint="eastAsia" w:ascii="宋体" w:hAnsi="宋体" w:cs="宋体"/>
                <w:bCs/>
                <w:sz w:val="24"/>
                <w:szCs w:val="22"/>
                <w:highlight w:val="none"/>
              </w:rPr>
              <w:t>1</w:t>
            </w:r>
          </w:p>
        </w:tc>
      </w:tr>
    </w:tbl>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4.合同履行期限：</w:t>
      </w:r>
      <w:r>
        <w:rPr>
          <w:rFonts w:hint="eastAsia" w:ascii="宋体" w:hAnsi="宋体" w:cs="宋体"/>
          <w:sz w:val="24"/>
          <w:szCs w:val="22"/>
          <w:highlight w:val="none"/>
          <w:u w:val="single"/>
        </w:rPr>
        <w:t>12个月</w:t>
      </w:r>
      <w:r>
        <w:rPr>
          <w:rFonts w:hint="eastAsia" w:ascii="宋体" w:hAnsi="宋体" w:cs="宋体"/>
          <w:sz w:val="24"/>
          <w:szCs w:val="22"/>
          <w:highlight w:val="none"/>
        </w:rPr>
        <w:t>_</w:t>
      </w:r>
    </w:p>
    <w:p>
      <w:pPr>
        <w:adjustRightInd w:val="0"/>
        <w:snapToGrid w:val="0"/>
        <w:ind w:firstLine="480" w:firstLineChars="200"/>
        <w:rPr>
          <w:rFonts w:ascii="宋体" w:hAnsi="宋体" w:cs="宋体"/>
          <w:sz w:val="24"/>
          <w:szCs w:val="22"/>
          <w:highlight w:val="none"/>
        </w:rPr>
      </w:pPr>
      <w:r>
        <w:rPr>
          <w:rFonts w:hint="eastAsia" w:ascii="宋体" w:hAnsi="宋体" w:cs="宋体"/>
          <w:sz w:val="24"/>
          <w:szCs w:val="22"/>
          <w:highlight w:val="none"/>
        </w:rPr>
        <w:t>5.本项目是否接受联合体投标：□是  ☑否。</w:t>
      </w:r>
    </w:p>
    <w:p>
      <w:pPr>
        <w:keepNext/>
        <w:numPr>
          <w:ilvl w:val="0"/>
          <w:numId w:val="1"/>
        </w:numPr>
        <w:adjustRightInd w:val="0"/>
        <w:snapToGrid w:val="0"/>
        <w:ind w:firstLine="562" w:firstLineChars="200"/>
        <w:outlineLvl w:val="0"/>
        <w:rPr>
          <w:rFonts w:ascii="宋体" w:hAnsi="宋体"/>
          <w:b/>
          <w:kern w:val="44"/>
          <w:sz w:val="28"/>
          <w:szCs w:val="22"/>
          <w:highlight w:val="none"/>
        </w:rPr>
      </w:pPr>
      <w:bookmarkStart w:id="4" w:name="_Toc26578"/>
      <w:r>
        <w:rPr>
          <w:rFonts w:hint="eastAsia" w:ascii="宋体" w:hAnsi="宋体"/>
          <w:b/>
          <w:kern w:val="44"/>
          <w:sz w:val="28"/>
          <w:szCs w:val="22"/>
          <w:highlight w:val="none"/>
        </w:rPr>
        <w:t xml:space="preserve"> 规范性引用文件</w:t>
      </w:r>
      <w:bookmarkEnd w:id="4"/>
    </w:p>
    <w:p>
      <w:pPr>
        <w:keepNext/>
        <w:numPr>
          <w:ilvl w:val="1"/>
          <w:numId w:val="1"/>
        </w:numPr>
        <w:adjustRightInd w:val="0"/>
        <w:snapToGrid w:val="0"/>
        <w:ind w:left="0" w:firstLine="482" w:firstLineChars="200"/>
        <w:outlineLvl w:val="1"/>
        <w:rPr>
          <w:rFonts w:ascii="Arial" w:hAnsi="Arial"/>
          <w:b/>
          <w:sz w:val="24"/>
          <w:szCs w:val="22"/>
          <w:highlight w:val="none"/>
        </w:rPr>
      </w:pPr>
      <w:bookmarkStart w:id="5" w:name="_Toc28779"/>
      <w:r>
        <w:rPr>
          <w:rFonts w:hint="eastAsia" w:ascii="Arial" w:hAnsi="Arial"/>
          <w:b/>
          <w:sz w:val="24"/>
          <w:szCs w:val="22"/>
          <w:highlight w:val="none"/>
        </w:rPr>
        <w:t xml:space="preserve"> 国家及北京市有关政策</w:t>
      </w:r>
      <w:bookmarkEnd w:id="5"/>
    </w:p>
    <w:p>
      <w:pPr>
        <w:adjustRightInd w:val="0"/>
        <w:snapToGrid w:val="0"/>
        <w:ind w:firstLine="480" w:firstLineChars="200"/>
        <w:rPr>
          <w:rFonts w:ascii="宋体" w:hAnsi="宋体" w:cs="宋体"/>
          <w:bCs/>
          <w:sz w:val="24"/>
          <w:szCs w:val="22"/>
          <w:highlight w:val="none"/>
        </w:rPr>
      </w:pPr>
      <w:r>
        <w:rPr>
          <w:rFonts w:ascii="宋体" w:hAnsi="宋体" w:cs="宋体"/>
          <w:bCs/>
          <w:sz w:val="24"/>
          <w:highlight w:val="none"/>
        </w:rPr>
        <w:t>1.</w:t>
      </w:r>
      <w:r>
        <w:rPr>
          <w:rFonts w:hint="eastAsia" w:ascii="宋体" w:hAnsi="宋体" w:cs="宋体"/>
          <w:bCs/>
          <w:sz w:val="24"/>
          <w:szCs w:val="22"/>
          <w:highlight w:val="none"/>
        </w:rPr>
        <w:t>《关键信息基础设施安全保护条例》（中华人民共和国国务院令第745号）</w:t>
      </w:r>
    </w:p>
    <w:p>
      <w:pPr>
        <w:adjustRightInd w:val="0"/>
        <w:snapToGrid w:val="0"/>
        <w:ind w:firstLine="480" w:firstLineChars="200"/>
        <w:rPr>
          <w:rFonts w:ascii="宋体" w:hAnsi="宋体" w:cs="宋体"/>
          <w:bCs/>
          <w:sz w:val="24"/>
          <w:szCs w:val="22"/>
          <w:highlight w:val="none"/>
        </w:rPr>
      </w:pPr>
      <w:r>
        <w:rPr>
          <w:rFonts w:ascii="宋体" w:hAnsi="宋体" w:cs="宋体"/>
          <w:bCs/>
          <w:sz w:val="24"/>
          <w:highlight w:val="none"/>
        </w:rPr>
        <w:t>2.</w:t>
      </w:r>
      <w:r>
        <w:rPr>
          <w:rFonts w:hint="eastAsia" w:ascii="宋体" w:hAnsi="宋体" w:cs="宋体"/>
          <w:bCs/>
          <w:sz w:val="24"/>
          <w:szCs w:val="22"/>
          <w:highlight w:val="none"/>
        </w:rPr>
        <w:t>《国家政务信息化项目建设管理办法》（国办发〔2019〕57号）</w:t>
      </w:r>
    </w:p>
    <w:p>
      <w:pPr>
        <w:adjustRightInd w:val="0"/>
        <w:snapToGrid w:val="0"/>
        <w:ind w:firstLine="480" w:firstLineChars="200"/>
        <w:rPr>
          <w:rFonts w:ascii="宋体" w:hAnsi="宋体" w:cs="宋体"/>
          <w:bCs/>
          <w:sz w:val="24"/>
          <w:szCs w:val="22"/>
          <w:highlight w:val="none"/>
        </w:rPr>
      </w:pPr>
      <w:r>
        <w:rPr>
          <w:rFonts w:ascii="宋体" w:hAnsi="宋体" w:cs="宋体"/>
          <w:bCs/>
          <w:sz w:val="24"/>
          <w:highlight w:val="none"/>
        </w:rPr>
        <w:t>3.</w:t>
      </w:r>
      <w:r>
        <w:rPr>
          <w:rFonts w:ascii="宋体" w:hAnsi="宋体" w:cs="宋体"/>
          <w:sz w:val="24"/>
          <w:szCs w:val="22"/>
          <w:highlight w:val="none"/>
        </w:rPr>
        <w:t>《政府采购需求管理办法》(财库〔2021〕22号)</w:t>
      </w:r>
    </w:p>
    <w:p>
      <w:pPr>
        <w:adjustRightInd w:val="0"/>
        <w:snapToGrid w:val="0"/>
        <w:ind w:firstLine="480" w:firstLineChars="200"/>
        <w:rPr>
          <w:rFonts w:ascii="宋体" w:hAnsi="宋体" w:cs="宋体"/>
          <w:bCs/>
          <w:sz w:val="24"/>
          <w:szCs w:val="22"/>
          <w:highlight w:val="none"/>
        </w:rPr>
      </w:pPr>
      <w:r>
        <w:rPr>
          <w:rFonts w:ascii="宋体" w:hAnsi="宋体" w:cs="宋体"/>
          <w:bCs/>
          <w:sz w:val="24"/>
          <w:highlight w:val="none"/>
        </w:rPr>
        <w:t>4.</w:t>
      </w:r>
      <w:r>
        <w:rPr>
          <w:rFonts w:ascii="宋体" w:hAnsi="宋体" w:cs="宋体"/>
          <w:sz w:val="24"/>
          <w:szCs w:val="22"/>
          <w:highlight w:val="none"/>
        </w:rPr>
        <w:t>《关于促进政府采购公平竞争优化营商环境的通知》（财库〔2019〕38号）</w:t>
      </w:r>
    </w:p>
    <w:p>
      <w:pPr>
        <w:adjustRightInd w:val="0"/>
        <w:snapToGrid w:val="0"/>
        <w:ind w:firstLine="480" w:firstLineChars="200"/>
        <w:rPr>
          <w:rFonts w:ascii="宋体" w:hAnsi="宋体" w:cs="宋体"/>
          <w:sz w:val="24"/>
          <w:szCs w:val="22"/>
          <w:highlight w:val="none"/>
        </w:rPr>
      </w:pPr>
      <w:r>
        <w:rPr>
          <w:rFonts w:ascii="宋体" w:hAnsi="宋体" w:cs="宋体"/>
          <w:bCs/>
          <w:sz w:val="24"/>
          <w:highlight w:val="none"/>
        </w:rPr>
        <w:t>5.</w:t>
      </w:r>
      <w:r>
        <w:rPr>
          <w:rFonts w:ascii="宋体" w:hAnsi="宋体" w:cs="宋体"/>
          <w:sz w:val="24"/>
          <w:szCs w:val="22"/>
          <w:highlight w:val="none"/>
        </w:rPr>
        <w:t>《关于进一步提高政府采购透明度和采购效率相关事项的通知》（财办库〔2023〕243号）</w:t>
      </w:r>
    </w:p>
    <w:p>
      <w:pPr>
        <w:adjustRightInd w:val="0"/>
        <w:snapToGrid w:val="0"/>
        <w:ind w:firstLine="480" w:firstLineChars="200"/>
        <w:rPr>
          <w:rFonts w:ascii="宋体" w:hAnsi="宋体" w:cs="宋体"/>
          <w:bCs/>
          <w:sz w:val="24"/>
          <w:szCs w:val="22"/>
          <w:highlight w:val="none"/>
        </w:rPr>
      </w:pPr>
      <w:r>
        <w:rPr>
          <w:rFonts w:hint="eastAsia" w:ascii="宋体" w:hAnsi="宋体" w:cs="宋体"/>
          <w:bCs/>
          <w:sz w:val="24"/>
          <w:highlight w:val="none"/>
        </w:rPr>
        <w:t>6</w:t>
      </w:r>
      <w:r>
        <w:rPr>
          <w:rFonts w:ascii="宋体" w:hAnsi="宋体" w:cs="宋体"/>
          <w:bCs/>
          <w:sz w:val="24"/>
          <w:highlight w:val="none"/>
        </w:rPr>
        <w:t>.</w:t>
      </w:r>
      <w:r>
        <w:rPr>
          <w:rFonts w:hint="eastAsia" w:ascii="宋体" w:hAnsi="宋体" w:cs="宋体"/>
          <w:bCs/>
          <w:sz w:val="24"/>
          <w:szCs w:val="22"/>
          <w:highlight w:val="none"/>
        </w:rPr>
        <w:t>《工业和信息化部信息通信管理局关于督促互联网网络接入服务企业依法持证经营的通知》（工信管函〔2018〕84号）</w:t>
      </w:r>
    </w:p>
    <w:p>
      <w:pPr>
        <w:adjustRightInd w:val="0"/>
        <w:snapToGrid w:val="0"/>
        <w:ind w:firstLine="480" w:firstLineChars="200"/>
        <w:rPr>
          <w:rFonts w:hint="eastAsia" w:ascii="宋体" w:hAnsi="宋体" w:cs="宋体"/>
          <w:bCs/>
          <w:sz w:val="24"/>
          <w:szCs w:val="22"/>
          <w:highlight w:val="none"/>
        </w:rPr>
      </w:pPr>
      <w:r>
        <w:rPr>
          <w:rFonts w:hint="eastAsia" w:ascii="宋体" w:hAnsi="宋体" w:cs="宋体"/>
          <w:bCs/>
          <w:sz w:val="24"/>
          <w:highlight w:val="none"/>
        </w:rPr>
        <w:t>7</w:t>
      </w:r>
      <w:r>
        <w:rPr>
          <w:rFonts w:ascii="宋体" w:hAnsi="宋体" w:cs="宋体"/>
          <w:bCs/>
          <w:sz w:val="24"/>
          <w:highlight w:val="none"/>
        </w:rPr>
        <w:t>.</w:t>
      </w:r>
      <w:r>
        <w:rPr>
          <w:rFonts w:hint="eastAsia" w:ascii="宋体" w:hAnsi="宋体" w:cs="宋体"/>
          <w:bCs/>
          <w:sz w:val="24"/>
          <w:szCs w:val="22"/>
          <w:highlight w:val="none"/>
        </w:rPr>
        <w:t>《云计算服务安全评估办法》（国家互联网信息办公室、国家发展和改革委员会、工业和信息化部、财政部公告2019年2号）</w:t>
      </w:r>
    </w:p>
    <w:p>
      <w:pPr>
        <w:adjustRightInd w:val="0"/>
        <w:snapToGrid w:val="0"/>
        <w:ind w:firstLine="480" w:firstLineChars="200"/>
        <w:rPr>
          <w:rFonts w:ascii="宋体" w:hAnsi="宋体" w:cs="宋体"/>
          <w:bCs/>
          <w:sz w:val="24"/>
          <w:szCs w:val="22"/>
          <w:highlight w:val="none"/>
        </w:rPr>
      </w:pPr>
      <w:r>
        <w:rPr>
          <w:rFonts w:ascii="宋体" w:hAnsi="宋体" w:cs="宋体"/>
          <w:bCs/>
          <w:sz w:val="24"/>
          <w:highlight w:val="none"/>
        </w:rPr>
        <w:t>8.</w:t>
      </w:r>
      <w:r>
        <w:rPr>
          <w:rFonts w:hint="eastAsia" w:ascii="宋体" w:hAnsi="宋体" w:cs="宋体"/>
          <w:bCs/>
          <w:sz w:val="24"/>
          <w:szCs w:val="22"/>
          <w:highlight w:val="none"/>
        </w:rPr>
        <w:t>《关于加强党政部门云计算服务网络安全管理的意见》（中网办发文〔2014〕14号）</w:t>
      </w:r>
    </w:p>
    <w:p>
      <w:pPr>
        <w:adjustRightInd w:val="0"/>
        <w:snapToGrid w:val="0"/>
        <w:ind w:firstLine="480" w:firstLineChars="200"/>
        <w:rPr>
          <w:rFonts w:ascii="宋体" w:hAnsi="宋体"/>
          <w:sz w:val="24"/>
          <w:szCs w:val="22"/>
          <w:highlight w:val="none"/>
        </w:rPr>
      </w:pPr>
      <w:r>
        <w:rPr>
          <w:rFonts w:hint="eastAsia" w:ascii="宋体" w:hAnsi="宋体" w:cs="宋体"/>
          <w:bCs/>
          <w:sz w:val="24"/>
          <w:highlight w:val="none"/>
        </w:rPr>
        <w:t>9</w:t>
      </w:r>
      <w:r>
        <w:rPr>
          <w:rFonts w:ascii="宋体" w:hAnsi="宋体" w:cs="宋体"/>
          <w:bCs/>
          <w:sz w:val="24"/>
          <w:highlight w:val="none"/>
        </w:rPr>
        <w:t>.</w:t>
      </w:r>
      <w:r>
        <w:rPr>
          <w:rFonts w:hint="eastAsia" w:ascii="宋体" w:hAnsi="宋体" w:cs="宋体"/>
          <w:bCs/>
          <w:sz w:val="24"/>
          <w:szCs w:val="22"/>
          <w:highlight w:val="none"/>
        </w:rPr>
        <w:t>《基于云计算的电子政务公共平台顶层设计指南》</w:t>
      </w:r>
    </w:p>
    <w:p>
      <w:pPr>
        <w:adjustRightInd w:val="0"/>
        <w:snapToGrid w:val="0"/>
        <w:ind w:firstLine="480" w:firstLineChars="200"/>
        <w:rPr>
          <w:rFonts w:ascii="宋体" w:hAnsi="宋体" w:cs="宋体"/>
          <w:bCs/>
          <w:sz w:val="24"/>
          <w:szCs w:val="22"/>
          <w:highlight w:val="none"/>
        </w:rPr>
      </w:pPr>
      <w:r>
        <w:rPr>
          <w:rFonts w:hint="eastAsia" w:ascii="宋体" w:hAnsi="宋体" w:cs="宋体"/>
          <w:bCs/>
          <w:sz w:val="24"/>
          <w:highlight w:val="none"/>
        </w:rPr>
        <w:t>10</w:t>
      </w:r>
      <w:r>
        <w:rPr>
          <w:rFonts w:ascii="宋体" w:hAnsi="宋体" w:cs="宋体"/>
          <w:bCs/>
          <w:sz w:val="24"/>
          <w:highlight w:val="none"/>
        </w:rPr>
        <w:t>.</w:t>
      </w:r>
      <w:r>
        <w:rPr>
          <w:rFonts w:ascii="宋体" w:hAnsi="宋体" w:cs="宋体"/>
          <w:sz w:val="24"/>
          <w:szCs w:val="22"/>
          <w:highlight w:val="none"/>
        </w:rPr>
        <w:t>《北京市财政局关于印发&lt;北京市政府采购负面清单&gt;的通知》（京财采购〔2020〕1345号）</w:t>
      </w:r>
    </w:p>
    <w:p>
      <w:pPr>
        <w:adjustRightInd w:val="0"/>
        <w:snapToGrid w:val="0"/>
        <w:ind w:firstLine="480" w:firstLineChars="200"/>
        <w:rPr>
          <w:rFonts w:ascii="宋体" w:hAnsi="宋体" w:cs="宋体"/>
          <w:bCs/>
          <w:sz w:val="24"/>
          <w:szCs w:val="22"/>
          <w:highlight w:val="none"/>
        </w:rPr>
      </w:pPr>
      <w:r>
        <w:rPr>
          <w:rFonts w:ascii="宋体" w:hAnsi="宋体" w:cs="宋体"/>
          <w:bCs/>
          <w:sz w:val="24"/>
          <w:highlight w:val="none"/>
        </w:rPr>
        <w:t>1</w:t>
      </w:r>
      <w:r>
        <w:rPr>
          <w:rFonts w:hint="eastAsia" w:ascii="宋体" w:hAnsi="宋体" w:cs="宋体"/>
          <w:bCs/>
          <w:sz w:val="24"/>
          <w:highlight w:val="none"/>
        </w:rPr>
        <w:t>1</w:t>
      </w:r>
      <w:r>
        <w:rPr>
          <w:rFonts w:ascii="宋体" w:hAnsi="宋体" w:cs="宋体"/>
          <w:bCs/>
          <w:sz w:val="24"/>
          <w:highlight w:val="none"/>
        </w:rPr>
        <w:t>.</w:t>
      </w:r>
      <w:r>
        <w:rPr>
          <w:rFonts w:hint="eastAsia" w:ascii="宋体" w:hAnsi="宋体" w:cs="宋体"/>
          <w:color w:val="000000"/>
          <w:sz w:val="24"/>
          <w:szCs w:val="22"/>
          <w:highlight w:val="none"/>
        </w:rPr>
        <w:t>《关于印发&lt;关于推进我市政务信息系统整合共享的实施方案&gt;的通知》（京经信委发〔2017〕89号）</w:t>
      </w:r>
    </w:p>
    <w:p>
      <w:pPr>
        <w:adjustRightInd w:val="0"/>
        <w:snapToGrid w:val="0"/>
        <w:ind w:firstLine="480" w:firstLineChars="200"/>
        <w:rPr>
          <w:rFonts w:ascii="宋体" w:hAnsi="宋体" w:cs="宋体"/>
          <w:sz w:val="24"/>
          <w:szCs w:val="22"/>
          <w:highlight w:val="none"/>
        </w:rPr>
      </w:pPr>
      <w:r>
        <w:rPr>
          <w:rFonts w:ascii="宋体" w:hAnsi="宋体" w:cs="宋体"/>
          <w:sz w:val="24"/>
          <w:highlight w:val="none"/>
        </w:rPr>
        <w:t>1</w:t>
      </w:r>
      <w:r>
        <w:rPr>
          <w:rFonts w:hint="eastAsia" w:ascii="宋体" w:hAnsi="宋体" w:cs="宋体"/>
          <w:sz w:val="24"/>
          <w:highlight w:val="none"/>
        </w:rPr>
        <w:t>2</w:t>
      </w:r>
      <w:r>
        <w:rPr>
          <w:rFonts w:ascii="宋体" w:hAnsi="宋体" w:cs="宋体"/>
          <w:sz w:val="24"/>
          <w:highlight w:val="none"/>
        </w:rPr>
        <w:t>.</w:t>
      </w:r>
      <w:r>
        <w:rPr>
          <w:rFonts w:hint="eastAsia" w:ascii="宋体" w:hAnsi="宋体" w:cs="宋体"/>
          <w:color w:val="000000"/>
          <w:sz w:val="24"/>
          <w:szCs w:val="22"/>
          <w:highlight w:val="none"/>
        </w:rPr>
        <w:t>《北京市人民政府关于印发&lt;北京市政务信息资源管理办法（试行）&gt;的通知》（京政发〔2017〕37号）</w:t>
      </w:r>
    </w:p>
    <w:p>
      <w:pPr>
        <w:adjustRightInd w:val="0"/>
        <w:snapToGrid w:val="0"/>
        <w:ind w:firstLine="480" w:firstLineChars="200"/>
        <w:rPr>
          <w:rFonts w:ascii="宋体" w:hAnsi="宋体" w:cs="宋体"/>
          <w:sz w:val="24"/>
          <w:szCs w:val="22"/>
          <w:highlight w:val="none"/>
        </w:rPr>
      </w:pPr>
      <w:r>
        <w:rPr>
          <w:rFonts w:ascii="宋体" w:hAnsi="宋体" w:cs="宋体"/>
          <w:sz w:val="24"/>
          <w:highlight w:val="none"/>
        </w:rPr>
        <w:t>1</w:t>
      </w:r>
      <w:r>
        <w:rPr>
          <w:rFonts w:hint="eastAsia" w:ascii="宋体" w:hAnsi="宋体" w:cs="宋体"/>
          <w:sz w:val="24"/>
          <w:highlight w:val="none"/>
        </w:rPr>
        <w:t>3</w:t>
      </w:r>
      <w:r>
        <w:rPr>
          <w:rFonts w:ascii="宋体" w:hAnsi="宋体" w:cs="宋体"/>
          <w:sz w:val="24"/>
          <w:highlight w:val="none"/>
        </w:rPr>
        <w:t>.</w:t>
      </w:r>
      <w:r>
        <w:rPr>
          <w:rFonts w:hint="eastAsia" w:ascii="宋体" w:hAnsi="宋体" w:cs="宋体"/>
          <w:color w:val="000000"/>
          <w:sz w:val="24"/>
          <w:szCs w:val="22"/>
          <w:highlight w:val="none"/>
        </w:rPr>
        <w:t>《关于印发&lt;北京市市级政务云管理办法&gt;的通知》（京经信函〔2019〕150号）</w:t>
      </w:r>
    </w:p>
    <w:p>
      <w:pPr>
        <w:adjustRightInd w:val="0"/>
        <w:snapToGrid w:val="0"/>
        <w:ind w:firstLine="480" w:firstLineChars="200"/>
        <w:rPr>
          <w:rFonts w:ascii="宋体" w:hAnsi="宋体" w:cs="宋体"/>
          <w:sz w:val="24"/>
          <w:szCs w:val="22"/>
          <w:highlight w:val="none"/>
        </w:rPr>
      </w:pPr>
      <w:r>
        <w:rPr>
          <w:rFonts w:ascii="宋体" w:hAnsi="宋体" w:cs="宋体"/>
          <w:sz w:val="24"/>
          <w:highlight w:val="none"/>
        </w:rPr>
        <w:t>1</w:t>
      </w:r>
      <w:r>
        <w:rPr>
          <w:rFonts w:hint="eastAsia" w:ascii="宋体" w:hAnsi="宋体" w:cs="宋体"/>
          <w:sz w:val="24"/>
          <w:highlight w:val="none"/>
        </w:rPr>
        <w:t>4</w:t>
      </w:r>
      <w:r>
        <w:rPr>
          <w:rFonts w:ascii="宋体" w:hAnsi="宋体" w:cs="宋体"/>
          <w:sz w:val="24"/>
          <w:highlight w:val="none"/>
        </w:rPr>
        <w:t>.</w:t>
      </w:r>
      <w:r>
        <w:rPr>
          <w:rFonts w:hint="eastAsia" w:ascii="宋体" w:hAnsi="宋体" w:cs="宋体"/>
          <w:sz w:val="24"/>
          <w:szCs w:val="22"/>
          <w:highlight w:val="none"/>
        </w:rPr>
        <w:t>《北京市政务网络和数据安全管理办法》（京经信发〔2023〕57号）</w:t>
      </w:r>
    </w:p>
    <w:p>
      <w:pPr>
        <w:keepNext/>
        <w:numPr>
          <w:ilvl w:val="1"/>
          <w:numId w:val="1"/>
        </w:numPr>
        <w:adjustRightInd w:val="0"/>
        <w:snapToGrid w:val="0"/>
        <w:ind w:left="0" w:firstLine="482" w:firstLineChars="200"/>
        <w:outlineLvl w:val="1"/>
        <w:rPr>
          <w:rFonts w:ascii="Arial" w:hAnsi="Arial"/>
          <w:b/>
          <w:sz w:val="24"/>
          <w:szCs w:val="22"/>
          <w:highlight w:val="none"/>
        </w:rPr>
      </w:pPr>
      <w:bookmarkStart w:id="6" w:name="_Toc7253"/>
      <w:r>
        <w:rPr>
          <w:rFonts w:hint="eastAsia" w:ascii="Arial" w:hAnsi="Arial"/>
          <w:b/>
          <w:sz w:val="24"/>
          <w:szCs w:val="22"/>
          <w:highlight w:val="none"/>
        </w:rPr>
        <w:t>国家相关标准</w:t>
      </w:r>
      <w:bookmarkEnd w:id="6"/>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《国家电子政务外网安全接入平台技术规范》</w:t>
      </w:r>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《信息技术—云计算—云服务质量评价指标》（GB/T 37738-2019）</w:t>
      </w:r>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《信息技术—云计算—云服务计量指标》（GB/T 37735-2019）</w:t>
      </w:r>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《信息技术—云计算—云服务采购指南》（GB/T 37734-2019）</w:t>
      </w:r>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《信息技术—云计算—云存储系统服务接口功能》（GB/T 37732-2019）</w:t>
      </w:r>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《信息技术—云计算—云资源监控通用要求》（GB/T 37736-2019）</w:t>
      </w:r>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《信息技术—云计算—云平台间应用和数据迁移指南》（GB/T 37740-2019）</w:t>
      </w:r>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《信息技术—云计算—云服务交付要求》（GB/T 37741-2019）</w:t>
      </w:r>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《信息系统灾难恢复规范》（GB/T 20988-2007）</w:t>
      </w:r>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《信息安全技术 云计算服务安全能力要求》（GB/T 31168-2014）</w:t>
      </w:r>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《信息安全技术 网络安全等级保护定级指南》（GB/T 22240-2020）</w:t>
      </w:r>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《信息安全技术 网络安全等级保护基本要求》（GB/T 22239-2019）</w:t>
      </w:r>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《信息安全技术 网络安全等级保护测评要求》（GB/T 28448-2019）</w:t>
      </w:r>
    </w:p>
    <w:p>
      <w:pPr>
        <w:numPr>
          <w:ilvl w:val="0"/>
          <w:numId w:val="2"/>
        </w:numPr>
        <w:adjustRightInd w:val="0"/>
        <w:snapToGrid w:val="0"/>
        <w:ind w:left="0" w:firstLine="480" w:firstLineChars="200"/>
        <w:rPr>
          <w:rFonts w:ascii="宋体" w:hAnsi="宋体" w:cs="宋体"/>
          <w:sz w:val="24"/>
          <w:szCs w:val="22"/>
          <w:highlight w:val="none"/>
        </w:rPr>
      </w:pPr>
      <w:r>
        <w:rPr>
          <w:rFonts w:hint="eastAsia" w:ascii="宋体" w:hAnsi="宋体" w:cs="宋体"/>
          <w:bCs/>
          <w:sz w:val="24"/>
          <w:szCs w:val="22"/>
          <w:highlight w:val="none"/>
        </w:rPr>
        <w:t>《信息安全技术 信息系统密码应用基本要求》（GB/T39786-2021）</w:t>
      </w:r>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《信息安全技术 信息安全风险评估方法》（GB/T 20984-2022）</w:t>
      </w:r>
    </w:p>
    <w:p>
      <w:pPr>
        <w:numPr>
          <w:ilvl w:val="0"/>
          <w:numId w:val="2"/>
        </w:numPr>
        <w:adjustRightInd w:val="0"/>
        <w:snapToGrid w:val="0"/>
        <w:ind w:left="0" w:firstLine="480" w:firstLineChars="200"/>
        <w:rPr>
          <w:rFonts w:ascii="宋体" w:hAnsi="宋体" w:cs="宋体"/>
          <w:sz w:val="24"/>
          <w:szCs w:val="22"/>
          <w:highlight w:val="none"/>
        </w:rPr>
      </w:pPr>
      <w:r>
        <w:rPr>
          <w:rFonts w:hint="eastAsia" w:ascii="宋体" w:hAnsi="宋体" w:cs="宋体"/>
          <w:bCs/>
          <w:sz w:val="24"/>
          <w:szCs w:val="22"/>
          <w:highlight w:val="none"/>
        </w:rPr>
        <w:t>《信息安全技术 云计算服务安全指南》（GB/T 31167-2014）</w:t>
      </w:r>
    </w:p>
    <w:p>
      <w:pPr>
        <w:numPr>
          <w:ilvl w:val="0"/>
          <w:numId w:val="2"/>
        </w:numPr>
        <w:adjustRightInd w:val="0"/>
        <w:snapToGrid w:val="0"/>
        <w:ind w:left="0" w:firstLine="480" w:firstLineChars="200"/>
        <w:rPr>
          <w:rFonts w:ascii="宋体" w:hAnsi="宋体" w:cs="宋体"/>
          <w:sz w:val="24"/>
          <w:szCs w:val="22"/>
          <w:highlight w:val="none"/>
        </w:rPr>
      </w:pPr>
      <w:r>
        <w:rPr>
          <w:rFonts w:hint="eastAsia" w:ascii="宋体" w:hAnsi="宋体" w:cs="宋体"/>
          <w:bCs/>
          <w:sz w:val="24"/>
          <w:szCs w:val="22"/>
          <w:highlight w:val="none"/>
        </w:rPr>
        <w:t>《信息安全技术 政府网站云计算服务安全指南》（GB/T 38249—2019）</w:t>
      </w:r>
    </w:p>
    <w:p>
      <w:pPr>
        <w:numPr>
          <w:ilvl w:val="0"/>
          <w:numId w:val="2"/>
        </w:numPr>
        <w:adjustRightInd w:val="0"/>
        <w:snapToGrid w:val="0"/>
        <w:ind w:left="0" w:firstLine="480" w:firstLineChars="200"/>
        <w:rPr>
          <w:rFonts w:ascii="宋体" w:hAnsi="宋体" w:cs="宋体"/>
          <w:sz w:val="24"/>
          <w:szCs w:val="22"/>
          <w:highlight w:val="none"/>
        </w:rPr>
      </w:pPr>
      <w:r>
        <w:rPr>
          <w:rFonts w:hint="eastAsia" w:ascii="宋体" w:hAnsi="宋体" w:cs="宋体"/>
          <w:bCs/>
          <w:sz w:val="24"/>
          <w:szCs w:val="22"/>
          <w:highlight w:val="none"/>
        </w:rPr>
        <w:t>《信息安全技术 云计算安全参考架构》（GB/T 35279—2017）</w:t>
      </w:r>
    </w:p>
    <w:p>
      <w:pPr>
        <w:numPr>
          <w:ilvl w:val="0"/>
          <w:numId w:val="2"/>
        </w:numPr>
        <w:adjustRightInd w:val="0"/>
        <w:snapToGrid w:val="0"/>
        <w:ind w:left="0" w:firstLine="480" w:firstLineChars="200"/>
        <w:rPr>
          <w:rFonts w:ascii="宋体" w:hAnsi="宋体" w:cs="宋体"/>
          <w:sz w:val="24"/>
          <w:szCs w:val="22"/>
          <w:highlight w:val="none"/>
        </w:rPr>
      </w:pPr>
      <w:r>
        <w:rPr>
          <w:rFonts w:hint="eastAsia" w:ascii="宋体" w:hAnsi="宋体" w:cs="宋体"/>
          <w:bCs/>
          <w:sz w:val="24"/>
          <w:szCs w:val="22"/>
          <w:highlight w:val="none"/>
        </w:rPr>
        <w:t>《信息安全技术 云计算服务安全能力评估方法》GB/T 34942—2017</w:t>
      </w:r>
    </w:p>
    <w:p>
      <w:pPr>
        <w:numPr>
          <w:ilvl w:val="0"/>
          <w:numId w:val="2"/>
        </w:numPr>
        <w:adjustRightInd w:val="0"/>
        <w:snapToGrid w:val="0"/>
        <w:ind w:left="0" w:firstLine="480" w:firstLineChars="200"/>
        <w:rPr>
          <w:rFonts w:ascii="宋体" w:hAnsi="宋体" w:cs="宋体"/>
          <w:sz w:val="24"/>
          <w:szCs w:val="22"/>
          <w:highlight w:val="none"/>
        </w:rPr>
      </w:pPr>
      <w:r>
        <w:rPr>
          <w:rFonts w:hint="eastAsia" w:ascii="宋体" w:hAnsi="宋体" w:cs="宋体"/>
          <w:bCs/>
          <w:sz w:val="24"/>
          <w:szCs w:val="22"/>
          <w:highlight w:val="none"/>
        </w:rPr>
        <w:t>《信息安全技术 云计算服务运行监管框架》（GB/T 37972—2019）</w:t>
      </w:r>
    </w:p>
    <w:p>
      <w:pPr>
        <w:numPr>
          <w:ilvl w:val="0"/>
          <w:numId w:val="2"/>
        </w:numPr>
        <w:adjustRightInd w:val="0"/>
        <w:snapToGrid w:val="0"/>
        <w:ind w:left="0" w:firstLine="480" w:firstLineChars="200"/>
        <w:rPr>
          <w:rFonts w:ascii="宋体" w:hAnsi="宋体" w:cs="宋体"/>
          <w:sz w:val="24"/>
          <w:szCs w:val="22"/>
          <w:highlight w:val="none"/>
        </w:rPr>
      </w:pPr>
      <w:r>
        <w:rPr>
          <w:rFonts w:hint="eastAsia" w:ascii="宋体" w:hAnsi="宋体" w:cs="宋体"/>
          <w:bCs/>
          <w:sz w:val="24"/>
          <w:szCs w:val="22"/>
          <w:highlight w:val="none"/>
        </w:rPr>
        <w:t>《信息技术 云资源监控指标体系》（GB/T 37938-2019）</w:t>
      </w:r>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《电子信息系统机房设计规范》（GB50174-2017）</w:t>
      </w:r>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《数据中心电信基础设施标准》（ANSI/TIA-942）</w:t>
      </w:r>
    </w:p>
    <w:p>
      <w:pPr>
        <w:numPr>
          <w:ilvl w:val="0"/>
          <w:numId w:val="2"/>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《综合布线系统工程设计规范》（GB 50311—2016）</w:t>
      </w:r>
    </w:p>
    <w:p>
      <w:pPr>
        <w:numPr>
          <w:ilvl w:val="0"/>
          <w:numId w:val="2"/>
        </w:numPr>
        <w:adjustRightInd w:val="0"/>
        <w:snapToGrid w:val="0"/>
        <w:ind w:left="0" w:firstLine="480" w:firstLineChars="200"/>
        <w:rPr>
          <w:rFonts w:hint="eastAsia" w:ascii="宋体" w:hAnsi="宋体" w:cs="宋体"/>
          <w:sz w:val="24"/>
          <w:szCs w:val="22"/>
          <w:highlight w:val="none"/>
        </w:rPr>
      </w:pPr>
      <w:r>
        <w:rPr>
          <w:rFonts w:hint="eastAsia" w:ascii="宋体" w:hAnsi="宋体" w:cs="宋体"/>
          <w:bCs/>
          <w:sz w:val="24"/>
          <w:szCs w:val="22"/>
          <w:highlight w:val="none"/>
        </w:rPr>
        <w:t>《云计算关键领域安全指南V4.0》</w:t>
      </w:r>
    </w:p>
    <w:p>
      <w:pPr>
        <w:keepNext/>
        <w:numPr>
          <w:ilvl w:val="1"/>
          <w:numId w:val="1"/>
        </w:numPr>
        <w:adjustRightInd w:val="0"/>
        <w:snapToGrid w:val="0"/>
        <w:ind w:left="0" w:firstLine="482" w:firstLineChars="200"/>
        <w:outlineLvl w:val="1"/>
        <w:rPr>
          <w:rFonts w:ascii="Arial" w:hAnsi="Arial"/>
          <w:b/>
          <w:sz w:val="24"/>
          <w:szCs w:val="22"/>
          <w:highlight w:val="none"/>
        </w:rPr>
      </w:pPr>
      <w:bookmarkStart w:id="7" w:name="_Toc22759"/>
      <w:r>
        <w:rPr>
          <w:rFonts w:hint="eastAsia" w:ascii="Arial" w:hAnsi="Arial"/>
          <w:b/>
          <w:sz w:val="24"/>
          <w:szCs w:val="22"/>
          <w:highlight w:val="none"/>
        </w:rPr>
        <w:t>北京市相关标准</w:t>
      </w:r>
      <w:bookmarkEnd w:id="7"/>
    </w:p>
    <w:p>
      <w:pPr>
        <w:numPr>
          <w:ilvl w:val="0"/>
          <w:numId w:val="3"/>
        </w:numPr>
        <w:adjustRightInd w:val="0"/>
        <w:snapToGrid w:val="0"/>
        <w:ind w:left="0" w:firstLine="425"/>
        <w:rPr>
          <w:rFonts w:ascii="宋体" w:hAnsi="宋体" w:cs="宋体"/>
          <w:bCs/>
          <w:sz w:val="24"/>
          <w:szCs w:val="22"/>
          <w:highlight w:val="none"/>
        </w:rPr>
      </w:pPr>
      <w:r>
        <w:rPr>
          <w:rFonts w:hint="eastAsia" w:ascii="宋体" w:hAnsi="宋体" w:cs="宋体"/>
          <w:bCs/>
          <w:sz w:val="24"/>
          <w:szCs w:val="22"/>
          <w:highlight w:val="none"/>
        </w:rPr>
        <w:t>《政务云平台建设技术要求》（DB11/T 2169-2023）</w:t>
      </w:r>
    </w:p>
    <w:p>
      <w:pPr>
        <w:numPr>
          <w:ilvl w:val="0"/>
          <w:numId w:val="3"/>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 xml:space="preserve">《北京市政务云安全技术规范 </w:t>
      </w:r>
      <w:r>
        <w:rPr>
          <w:rFonts w:hint="eastAsia" w:ascii="宋体" w:hAnsi="宋体" w:cs="宋体"/>
          <w:sz w:val="24"/>
          <w:szCs w:val="22"/>
          <w:highlight w:val="none"/>
        </w:rPr>
        <w:t>IaaS云计算平台分册</w:t>
      </w:r>
      <w:r>
        <w:rPr>
          <w:rFonts w:hint="eastAsia" w:ascii="宋体" w:hAnsi="宋体" w:cs="宋体"/>
          <w:bCs/>
          <w:sz w:val="24"/>
          <w:szCs w:val="22"/>
          <w:highlight w:val="none"/>
        </w:rPr>
        <w:t>》</w:t>
      </w:r>
    </w:p>
    <w:p>
      <w:pPr>
        <w:numPr>
          <w:ilvl w:val="0"/>
          <w:numId w:val="3"/>
        </w:numPr>
        <w:adjustRightInd w:val="0"/>
        <w:snapToGrid w:val="0"/>
        <w:ind w:left="0" w:firstLine="480" w:firstLineChars="200"/>
        <w:rPr>
          <w:rFonts w:ascii="宋体" w:hAnsi="宋体" w:cs="宋体"/>
          <w:bCs/>
          <w:sz w:val="24"/>
          <w:szCs w:val="22"/>
          <w:highlight w:val="none"/>
        </w:rPr>
      </w:pPr>
      <w:r>
        <w:rPr>
          <w:rFonts w:hint="eastAsia" w:ascii="宋体" w:hAnsi="宋体" w:cs="宋体"/>
          <w:bCs/>
          <w:sz w:val="24"/>
          <w:szCs w:val="22"/>
          <w:highlight w:val="none"/>
        </w:rPr>
        <w:t xml:space="preserve">《北京市政务云安全技术规范 </w:t>
      </w:r>
      <w:r>
        <w:rPr>
          <w:rFonts w:hint="eastAsia" w:ascii="宋体" w:hAnsi="宋体" w:cs="宋体"/>
          <w:sz w:val="24"/>
          <w:szCs w:val="22"/>
          <w:highlight w:val="none"/>
        </w:rPr>
        <w:t>IaaS云计算平台安全监管接口分册</w:t>
      </w:r>
      <w:r>
        <w:rPr>
          <w:rFonts w:hint="eastAsia" w:ascii="宋体" w:hAnsi="宋体" w:cs="宋体"/>
          <w:bCs/>
          <w:sz w:val="24"/>
          <w:szCs w:val="22"/>
          <w:highlight w:val="none"/>
        </w:rPr>
        <w:t>》</w:t>
      </w:r>
    </w:p>
    <w:p>
      <w:pPr>
        <w:numPr>
          <w:ilvl w:val="0"/>
          <w:numId w:val="3"/>
        </w:numPr>
        <w:adjustRightInd w:val="0"/>
        <w:snapToGrid w:val="0"/>
        <w:ind w:left="0" w:firstLine="480" w:firstLineChars="200"/>
        <w:rPr>
          <w:rFonts w:hint="eastAsia" w:ascii="宋体" w:hAnsi="宋体" w:cs="宋体"/>
          <w:bCs/>
          <w:sz w:val="24"/>
          <w:szCs w:val="22"/>
          <w:highlight w:val="none"/>
        </w:rPr>
      </w:pPr>
      <w:r>
        <w:rPr>
          <w:rFonts w:hint="eastAsia" w:ascii="宋体" w:hAnsi="宋体" w:cs="宋体"/>
          <w:bCs/>
          <w:sz w:val="24"/>
          <w:szCs w:val="22"/>
          <w:highlight w:val="none"/>
        </w:rPr>
        <w:t xml:space="preserve">《北京市政务云安全技术规范 </w:t>
      </w:r>
      <w:r>
        <w:rPr>
          <w:rFonts w:hint="eastAsia" w:ascii="宋体" w:hAnsi="宋体" w:cs="宋体"/>
          <w:sz w:val="24"/>
          <w:szCs w:val="22"/>
          <w:highlight w:val="none"/>
        </w:rPr>
        <w:t>信息安全服务接口分册</w:t>
      </w:r>
      <w:r>
        <w:rPr>
          <w:rFonts w:hint="eastAsia" w:ascii="宋体" w:hAnsi="宋体" w:cs="宋体"/>
          <w:bCs/>
          <w:sz w:val="24"/>
          <w:szCs w:val="22"/>
          <w:highlight w:val="none"/>
        </w:rPr>
        <w:t>》</w:t>
      </w:r>
    </w:p>
    <w:p>
      <w:pPr>
        <w:keepNext/>
        <w:numPr>
          <w:ilvl w:val="1"/>
          <w:numId w:val="1"/>
        </w:numPr>
        <w:adjustRightInd w:val="0"/>
        <w:snapToGrid w:val="0"/>
        <w:ind w:left="0" w:firstLine="482" w:firstLineChars="200"/>
        <w:outlineLvl w:val="1"/>
        <w:rPr>
          <w:rFonts w:ascii="Arial" w:hAnsi="Arial"/>
          <w:b/>
          <w:sz w:val="24"/>
          <w:szCs w:val="22"/>
          <w:highlight w:val="none"/>
        </w:rPr>
      </w:pPr>
      <w:bookmarkStart w:id="8" w:name="_Toc28146"/>
      <w:r>
        <w:rPr>
          <w:rFonts w:hint="eastAsia" w:ascii="Arial" w:hAnsi="Arial"/>
          <w:b/>
          <w:sz w:val="24"/>
          <w:szCs w:val="22"/>
          <w:highlight w:val="none"/>
        </w:rPr>
        <w:t>其他</w:t>
      </w:r>
      <w:bookmarkEnd w:id="8"/>
    </w:p>
    <w:p>
      <w:pPr>
        <w:numPr>
          <w:ilvl w:val="0"/>
          <w:numId w:val="4"/>
        </w:numPr>
        <w:adjustRightInd w:val="0"/>
        <w:snapToGrid w:val="0"/>
        <w:ind w:left="0" w:firstLine="480" w:firstLineChars="200"/>
        <w:rPr>
          <w:rFonts w:ascii="宋体" w:hAnsi="宋体" w:cs="宋体"/>
          <w:sz w:val="24"/>
          <w:szCs w:val="22"/>
          <w:highlight w:val="none"/>
        </w:rPr>
      </w:pPr>
      <w:r>
        <w:rPr>
          <w:rFonts w:hint="eastAsia" w:ascii="宋体" w:hAnsi="宋体" w:cs="宋体"/>
          <w:sz w:val="24"/>
          <w:szCs w:val="22"/>
          <w:highlight w:val="none"/>
        </w:rPr>
        <w:t>《北京市市级行政事业单位云计算服务框架协议采购项目（2023 年度）》征集文件第四部分采购需求中技术要求</w:t>
      </w:r>
    </w:p>
    <w:p>
      <w:pPr>
        <w:keepNext/>
        <w:numPr>
          <w:ilvl w:val="0"/>
          <w:numId w:val="1"/>
        </w:numPr>
        <w:adjustRightInd w:val="0"/>
        <w:snapToGrid w:val="0"/>
        <w:ind w:firstLine="562" w:firstLineChars="200"/>
        <w:outlineLvl w:val="0"/>
        <w:rPr>
          <w:rFonts w:hint="eastAsia" w:ascii="宋体" w:hAnsi="宋体"/>
          <w:b/>
          <w:kern w:val="44"/>
          <w:sz w:val="28"/>
          <w:szCs w:val="22"/>
          <w:highlight w:val="none"/>
        </w:rPr>
      </w:pPr>
      <w:r>
        <w:rPr>
          <w:rFonts w:hint="eastAsia" w:ascii="宋体" w:hAnsi="宋体"/>
          <w:b/>
          <w:kern w:val="44"/>
          <w:sz w:val="28"/>
          <w:szCs w:val="22"/>
          <w:highlight w:val="none"/>
        </w:rPr>
        <w:t>项目背景</w:t>
      </w:r>
    </w:p>
    <w:p>
      <w:pPr>
        <w:adjustRightInd w:val="0"/>
        <w:snapToGrid w:val="0"/>
        <w:ind w:firstLine="480" w:firstLineChars="200"/>
        <w:rPr>
          <w:rFonts w:hint="eastAsia" w:ascii="宋体" w:hAnsi="宋体" w:cs="等线"/>
          <w:kern w:val="0"/>
          <w:sz w:val="24"/>
          <w:szCs w:val="21"/>
          <w:highlight w:val="none"/>
        </w:rPr>
      </w:pPr>
      <w:r>
        <w:rPr>
          <w:rFonts w:hint="eastAsia" w:ascii="宋体" w:hAnsi="宋体" w:cs="宋体"/>
          <w:bCs/>
          <w:sz w:val="24"/>
          <w:szCs w:val="22"/>
          <w:highlight w:val="none"/>
        </w:rPr>
        <w:t>为贯彻落实北京市《北京市市级政务云管理办法》要求，我委于2021年底将全部信息系统迁入北京市级政务云，依托北京市级政务云平台为系统提供基础环境支撑，提升系统应用的安全稳定性、互联互通功能，以更好地为业务系统运行提供保障。</w:t>
      </w:r>
      <w:r>
        <w:rPr>
          <w:rFonts w:hint="eastAsia" w:ascii="宋体" w:hAnsi="宋体" w:cs="等线"/>
          <w:kern w:val="0"/>
          <w:sz w:val="24"/>
          <w:szCs w:val="21"/>
          <w:highlight w:val="none"/>
        </w:rPr>
        <w:t>截至目前，业务系统运行稳定。</w:t>
      </w:r>
    </w:p>
    <w:p>
      <w:pPr>
        <w:adjustRightInd w:val="0"/>
        <w:snapToGrid w:val="0"/>
        <w:ind w:firstLine="480" w:firstLineChars="200"/>
        <w:rPr>
          <w:rFonts w:hint="eastAsia" w:ascii="宋体" w:hAnsi="宋体" w:cs="等线"/>
          <w:kern w:val="0"/>
          <w:sz w:val="24"/>
          <w:szCs w:val="21"/>
          <w:highlight w:val="none"/>
        </w:rPr>
      </w:pPr>
      <w:r>
        <w:rPr>
          <w:rFonts w:hint="eastAsia" w:ascii="宋体" w:hAnsi="宋体" w:cs="等线"/>
          <w:kern w:val="0"/>
          <w:sz w:val="24"/>
          <w:szCs w:val="21"/>
          <w:highlight w:val="none"/>
        </w:rPr>
        <w:t>持续租用市级政务云服务，完成已入云业务系统架构优化，提升系统可用性、可靠性、稳定性和安全性。根据系统安全等级评测要求，部署安全保障服务，提升各业务系统安全防护水平。并在此过程中对业务系统运行环境进行持续优化与改造，充分优化系统整体健壮性，提高系统可靠性。保障信息系统的日常稳定运行，开展政务云服务租赁。</w:t>
      </w:r>
    </w:p>
    <w:p>
      <w:pPr>
        <w:keepNext/>
        <w:numPr>
          <w:ilvl w:val="0"/>
          <w:numId w:val="1"/>
        </w:numPr>
        <w:adjustRightInd w:val="0"/>
        <w:snapToGrid w:val="0"/>
        <w:ind w:firstLine="562" w:firstLineChars="200"/>
        <w:outlineLvl w:val="0"/>
        <w:rPr>
          <w:rFonts w:hint="eastAsia" w:ascii="宋体" w:hAnsi="宋体"/>
          <w:b/>
          <w:kern w:val="44"/>
          <w:sz w:val="28"/>
          <w:szCs w:val="22"/>
          <w:highlight w:val="none"/>
        </w:rPr>
      </w:pPr>
      <w:r>
        <w:rPr>
          <w:rFonts w:hint="eastAsia" w:ascii="宋体" w:hAnsi="宋体"/>
          <w:b/>
          <w:kern w:val="44"/>
          <w:sz w:val="28"/>
          <w:szCs w:val="22"/>
          <w:highlight w:val="none"/>
        </w:rPr>
        <w:t>技术参数要求</w:t>
      </w:r>
    </w:p>
    <w:p>
      <w:pPr>
        <w:keepNext/>
        <w:numPr>
          <w:ilvl w:val="1"/>
          <w:numId w:val="1"/>
        </w:numPr>
        <w:adjustRightInd w:val="0"/>
        <w:snapToGrid w:val="0"/>
        <w:ind w:left="0" w:firstLine="482" w:firstLineChars="200"/>
        <w:outlineLvl w:val="1"/>
        <w:rPr>
          <w:rFonts w:ascii="Arial" w:hAnsi="Arial"/>
          <w:b/>
          <w:sz w:val="24"/>
          <w:szCs w:val="22"/>
          <w:highlight w:val="none"/>
        </w:rPr>
      </w:pPr>
      <w:r>
        <w:rPr>
          <w:rFonts w:hint="eastAsia" w:ascii="Arial" w:hAnsi="Arial"/>
          <w:b/>
          <w:sz w:val="24"/>
          <w:szCs w:val="22"/>
          <w:highlight w:val="none"/>
        </w:rPr>
        <w:t>政务云基础服务</w:t>
      </w:r>
    </w:p>
    <w:tbl>
      <w:tblPr>
        <w:tblStyle w:val="2"/>
        <w:tblW w:w="8524" w:type="dxa"/>
        <w:tblInd w:w="0" w:type="dxa"/>
        <w:tblLayout w:type="fixed"/>
        <w:tblCellMar>
          <w:top w:w="0" w:type="dxa"/>
          <w:left w:w="108" w:type="dxa"/>
          <w:bottom w:w="0" w:type="dxa"/>
          <w:right w:w="108" w:type="dxa"/>
        </w:tblCellMar>
      </w:tblPr>
      <w:tblGrid>
        <w:gridCol w:w="850"/>
        <w:gridCol w:w="1752"/>
        <w:gridCol w:w="2502"/>
        <w:gridCol w:w="855"/>
        <w:gridCol w:w="855"/>
        <w:gridCol w:w="855"/>
        <w:gridCol w:w="855"/>
      </w:tblGrid>
      <w:tr>
        <w:tblPrEx>
          <w:tblLayout w:type="fixed"/>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服务类别</w:t>
            </w:r>
          </w:p>
        </w:tc>
        <w:tc>
          <w:tcPr>
            <w:tcW w:w="1752"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服务子类</w:t>
            </w:r>
          </w:p>
        </w:tc>
        <w:tc>
          <w:tcPr>
            <w:tcW w:w="2502"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服务项</w:t>
            </w:r>
          </w:p>
        </w:tc>
        <w:tc>
          <w:tcPr>
            <w:tcW w:w="855"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计价单位</w:t>
            </w:r>
          </w:p>
        </w:tc>
        <w:tc>
          <w:tcPr>
            <w:tcW w:w="855"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报价单位</w:t>
            </w:r>
          </w:p>
        </w:tc>
        <w:tc>
          <w:tcPr>
            <w:tcW w:w="855"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期限</w:t>
            </w:r>
          </w:p>
        </w:tc>
      </w:tr>
      <w:tr>
        <w:tblPrEx>
          <w:tblLayout w:type="fixed"/>
          <w:tblCellMar>
            <w:top w:w="0" w:type="dxa"/>
            <w:left w:w="108" w:type="dxa"/>
            <w:bottom w:w="0" w:type="dxa"/>
            <w:right w:w="108" w:type="dxa"/>
          </w:tblCellMar>
        </w:tblPrEx>
        <w:trPr>
          <w:trHeight w:val="510" w:hRule="atLeast"/>
        </w:trPr>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计算服务</w:t>
            </w:r>
          </w:p>
        </w:tc>
        <w:tc>
          <w:tcPr>
            <w:tcW w:w="175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x86平台云主机服务</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vCPU（主频不低于2.4GHz）</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CPU</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1251</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27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b/>
                <w:bCs/>
                <w:color w:val="000000"/>
                <w:sz w:val="20"/>
                <w:szCs w:val="20"/>
                <w:highlight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color w:val="000000"/>
                <w:sz w:val="20"/>
                <w:szCs w:val="20"/>
                <w:highlight w:val="none"/>
              </w:rPr>
            </w:pP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内存</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GB</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3849</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153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b/>
                <w:bCs/>
                <w:color w:val="000000"/>
                <w:sz w:val="20"/>
                <w:szCs w:val="20"/>
                <w:highlight w:val="none"/>
              </w:rPr>
            </w:pPr>
          </w:p>
        </w:tc>
        <w:tc>
          <w:tcPr>
            <w:tcW w:w="175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x86物理服务器租用服务</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x86 物理服务器配置2：4 路12 核（主频≥2.0Ghz），128G内存，2 块600G SAS 硬盘，2 个HBA 卡，2 个万兆端口</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台</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27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b/>
                <w:bCs/>
                <w:color w:val="000000"/>
                <w:sz w:val="20"/>
                <w:szCs w:val="20"/>
                <w:highlight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color w:val="000000"/>
                <w:sz w:val="20"/>
                <w:szCs w:val="20"/>
                <w:highlight w:val="none"/>
              </w:rPr>
            </w:pP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内存-32GB内存</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44</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27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b/>
                <w:bCs/>
                <w:color w:val="000000"/>
                <w:sz w:val="20"/>
                <w:szCs w:val="20"/>
                <w:highlight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color w:val="000000"/>
                <w:sz w:val="20"/>
                <w:szCs w:val="20"/>
                <w:highlight w:val="none"/>
              </w:rPr>
            </w:pP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硬盘配置2-600GB SAS</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75</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765" w:hRule="atLeast"/>
        </w:trPr>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存储服务</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普通性能存储</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普通存储（单盘技术指标:单盘IOPS 1000-3000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GB</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163436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765"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b/>
                <w:bCs/>
                <w:color w:val="000000"/>
                <w:sz w:val="20"/>
                <w:szCs w:val="20"/>
                <w:highlight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高性能存储</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高性能存储（单盘技术指标：单盘IOPS 3000-20000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GB</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163436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51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b/>
                <w:bCs/>
                <w:color w:val="000000"/>
                <w:sz w:val="20"/>
                <w:szCs w:val="20"/>
                <w:highlight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本地备份服务</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本地备份服务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1GB</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163436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270" w:hRule="atLeast"/>
        </w:trPr>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网络服务</w:t>
            </w:r>
          </w:p>
        </w:tc>
        <w:tc>
          <w:tcPr>
            <w:tcW w:w="175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互联网链路服务</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互联网链路带宽</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Mb</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900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51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b/>
                <w:bCs/>
                <w:color w:val="000000"/>
                <w:sz w:val="20"/>
                <w:szCs w:val="20"/>
                <w:highlight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color w:val="000000"/>
                <w:sz w:val="20"/>
                <w:szCs w:val="20"/>
                <w:highlight w:val="none"/>
              </w:rPr>
            </w:pP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互联网IP地址租用服务、并提供备案服务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IP</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51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b/>
                <w:bCs/>
                <w:color w:val="000000"/>
                <w:sz w:val="20"/>
                <w:szCs w:val="20"/>
                <w:highlight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主机负载均衡服务</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主机负载均衡服务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IP（内网）</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51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b/>
                <w:bCs/>
                <w:color w:val="000000"/>
                <w:sz w:val="20"/>
                <w:szCs w:val="20"/>
                <w:highlight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远程接入服务</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远程接入服务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1账号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48</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27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b/>
                <w:bCs/>
                <w:color w:val="000000"/>
                <w:sz w:val="20"/>
                <w:szCs w:val="20"/>
                <w:highlight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VPN服务</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SSL VPN接入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48</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51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b/>
                <w:bCs/>
                <w:color w:val="000000"/>
                <w:sz w:val="20"/>
                <w:szCs w:val="20"/>
                <w:highlight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SSL证书服务</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提供SSL 证书服务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1域名</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51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b/>
                <w:bCs/>
                <w:color w:val="000000"/>
                <w:sz w:val="20"/>
                <w:szCs w:val="20"/>
                <w:highlight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WAF防护</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web应用防火墙服务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IP（互联网）</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bl>
    <w:p>
      <w:pPr>
        <w:keepNext/>
        <w:numPr>
          <w:ilvl w:val="1"/>
          <w:numId w:val="1"/>
        </w:numPr>
        <w:adjustRightInd w:val="0"/>
        <w:snapToGrid w:val="0"/>
        <w:ind w:left="0" w:firstLine="482" w:firstLineChars="200"/>
        <w:outlineLvl w:val="1"/>
        <w:rPr>
          <w:rFonts w:ascii="Arial" w:hAnsi="Arial"/>
          <w:b/>
          <w:sz w:val="24"/>
          <w:szCs w:val="22"/>
          <w:highlight w:val="none"/>
        </w:rPr>
      </w:pPr>
      <w:r>
        <w:rPr>
          <w:rFonts w:hint="eastAsia" w:ascii="Arial" w:hAnsi="Arial"/>
          <w:b/>
          <w:sz w:val="24"/>
          <w:szCs w:val="22"/>
          <w:highlight w:val="none"/>
        </w:rPr>
        <w:t>政务云扩展服务</w:t>
      </w:r>
    </w:p>
    <w:tbl>
      <w:tblPr>
        <w:tblStyle w:val="2"/>
        <w:tblW w:w="8524" w:type="dxa"/>
        <w:tblInd w:w="0" w:type="dxa"/>
        <w:tblLayout w:type="fixed"/>
        <w:tblCellMar>
          <w:top w:w="0" w:type="dxa"/>
          <w:left w:w="108" w:type="dxa"/>
          <w:bottom w:w="0" w:type="dxa"/>
          <w:right w:w="108" w:type="dxa"/>
        </w:tblCellMar>
      </w:tblPr>
      <w:tblGrid>
        <w:gridCol w:w="850"/>
        <w:gridCol w:w="1752"/>
        <w:gridCol w:w="2502"/>
        <w:gridCol w:w="855"/>
        <w:gridCol w:w="855"/>
        <w:gridCol w:w="855"/>
        <w:gridCol w:w="855"/>
      </w:tblGrid>
      <w:tr>
        <w:tblPrEx>
          <w:tblLayout w:type="fixed"/>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服务类别</w:t>
            </w:r>
          </w:p>
        </w:tc>
        <w:tc>
          <w:tcPr>
            <w:tcW w:w="1752"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服务子类</w:t>
            </w:r>
          </w:p>
        </w:tc>
        <w:tc>
          <w:tcPr>
            <w:tcW w:w="2502"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服务项</w:t>
            </w:r>
          </w:p>
        </w:tc>
        <w:tc>
          <w:tcPr>
            <w:tcW w:w="855"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计价单位</w:t>
            </w:r>
          </w:p>
        </w:tc>
        <w:tc>
          <w:tcPr>
            <w:tcW w:w="855"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报价单位</w:t>
            </w:r>
          </w:p>
        </w:tc>
        <w:tc>
          <w:tcPr>
            <w:tcW w:w="855"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adjustRightInd w:val="0"/>
              <w:snapToGrid w:val="0"/>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期限</w:t>
            </w:r>
          </w:p>
        </w:tc>
      </w:tr>
      <w:tr>
        <w:tblPrEx>
          <w:tblLayout w:type="fixed"/>
          <w:tblCellMar>
            <w:top w:w="0" w:type="dxa"/>
            <w:left w:w="108" w:type="dxa"/>
            <w:bottom w:w="0" w:type="dxa"/>
            <w:right w:w="108" w:type="dxa"/>
          </w:tblCellMar>
        </w:tblPrEx>
        <w:trPr>
          <w:trHeight w:val="510" w:hRule="atLeast"/>
        </w:trPr>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安全服务</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主机杀毒服务</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主机杀毒服务</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台</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199</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51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color w:val="000000"/>
                <w:sz w:val="20"/>
                <w:szCs w:val="20"/>
                <w:highlight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云端抗DDOS服务</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云端抗DDOS 服务 </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站点</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27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color w:val="000000"/>
                <w:sz w:val="20"/>
                <w:szCs w:val="20"/>
                <w:highlight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主机防护</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主机防护</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台</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199</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51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color w:val="000000"/>
                <w:sz w:val="20"/>
                <w:szCs w:val="20"/>
                <w:highlight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主机日志分析</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主机日志分析</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台</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199</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51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color w:val="000000"/>
                <w:sz w:val="20"/>
                <w:szCs w:val="20"/>
                <w:highlight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数据库审计服务</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数据库审计服务</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套</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270" w:hRule="atLeast"/>
        </w:trPr>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其他服务</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短信服务</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提供短信服务</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1条</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799288</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r>
      <w:tr>
        <w:tblPrEx>
          <w:tblLayout w:type="fixed"/>
          <w:tblCellMar>
            <w:top w:w="0" w:type="dxa"/>
            <w:left w:w="108" w:type="dxa"/>
            <w:bottom w:w="0" w:type="dxa"/>
            <w:right w:w="108" w:type="dxa"/>
          </w:tblCellMar>
        </w:tblPrEx>
        <w:trPr>
          <w:trHeight w:val="1275"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color w:val="000000"/>
                <w:sz w:val="20"/>
                <w:szCs w:val="20"/>
                <w:highlight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提供系统国密浏览器、ssl VPN等密码服务</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提供系统国密浏览器、ssl VPN、强身份认证服务、加解密等密码服务</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1套</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Layout w:type="fixed"/>
          <w:tblCellMar>
            <w:top w:w="0" w:type="dxa"/>
            <w:left w:w="108" w:type="dxa"/>
            <w:bottom w:w="0" w:type="dxa"/>
            <w:right w:w="108" w:type="dxa"/>
          </w:tblCellMar>
        </w:tblPrEx>
        <w:trPr>
          <w:trHeight w:val="102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color w:val="000000"/>
                <w:sz w:val="20"/>
                <w:szCs w:val="20"/>
                <w:highlight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单位端电子缴款书服务</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通过单位端电子缴款书服务平台向甲方提供单位端电子缴款书服务及相关技术支持服务</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1套</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元/月</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bl>
    <w:p>
      <w:pPr>
        <w:keepNext/>
        <w:numPr>
          <w:ilvl w:val="0"/>
          <w:numId w:val="1"/>
        </w:numPr>
        <w:adjustRightInd w:val="0"/>
        <w:snapToGrid w:val="0"/>
        <w:ind w:firstLine="562" w:firstLineChars="200"/>
        <w:outlineLvl w:val="0"/>
        <w:rPr>
          <w:rFonts w:hint="eastAsia" w:ascii="宋体" w:hAnsi="宋体"/>
          <w:b/>
          <w:kern w:val="44"/>
          <w:sz w:val="28"/>
          <w:szCs w:val="22"/>
          <w:highlight w:val="none"/>
        </w:rPr>
      </w:pPr>
      <w:r>
        <w:rPr>
          <w:rFonts w:hint="eastAsia" w:ascii="宋体" w:hAnsi="宋体"/>
          <w:b/>
          <w:kern w:val="44"/>
          <w:sz w:val="28"/>
          <w:szCs w:val="22"/>
          <w:highlight w:val="none"/>
        </w:rPr>
        <w:t xml:space="preserve"> 采购目标</w:t>
      </w:r>
    </w:p>
    <w:p>
      <w:pPr>
        <w:adjustRightInd w:val="0"/>
        <w:snapToGrid w:val="0"/>
        <w:ind w:firstLine="480" w:firstLineChars="200"/>
        <w:textAlignment w:val="baseline"/>
        <w:rPr>
          <w:rFonts w:ascii="宋体" w:hAnsi="宋体" w:cs="等线"/>
          <w:kern w:val="0"/>
          <w:sz w:val="24"/>
          <w:szCs w:val="21"/>
          <w:highlight w:val="none"/>
        </w:rPr>
      </w:pPr>
      <w:r>
        <w:rPr>
          <w:rFonts w:hint="eastAsia" w:ascii="宋体" w:hAnsi="宋体" w:cs="宋体"/>
          <w:bCs/>
          <w:sz w:val="24"/>
          <w:szCs w:val="22"/>
          <w:highlight w:val="none"/>
        </w:rPr>
        <w:t>本项目的总体目标是通过持续租用政务云平台</w:t>
      </w:r>
      <w:r>
        <w:rPr>
          <w:rFonts w:hint="eastAsia" w:ascii="宋体" w:hAnsi="宋体" w:cs="等线"/>
          <w:kern w:val="0"/>
          <w:sz w:val="24"/>
          <w:szCs w:val="21"/>
          <w:highlight w:val="none"/>
        </w:rPr>
        <w:t>计算服务、存储服务、网络服务、基础软件支撑服务、安全服务、其他服务</w:t>
      </w:r>
      <w:r>
        <w:rPr>
          <w:rFonts w:hint="eastAsia" w:ascii="宋体" w:hAnsi="宋体" w:cs="等线"/>
          <w:kern w:val="0"/>
          <w:sz w:val="24"/>
          <w:szCs w:val="21"/>
          <w:highlight w:val="none"/>
          <w:lang w:eastAsia="zh-CN"/>
        </w:rPr>
        <w:t>（</w:t>
      </w:r>
      <w:r>
        <w:rPr>
          <w:rFonts w:hint="eastAsia" w:ascii="宋体" w:hAnsi="宋体" w:cs="等线"/>
          <w:kern w:val="0"/>
          <w:sz w:val="24"/>
          <w:szCs w:val="21"/>
          <w:highlight w:val="none"/>
          <w:lang w:val="en-US" w:eastAsia="zh-CN"/>
        </w:rPr>
        <w:t>包含短信服务、密码服务和</w:t>
      </w:r>
      <w:r>
        <w:rPr>
          <w:rFonts w:hint="eastAsia" w:ascii="宋体" w:hAnsi="宋体" w:cs="宋体"/>
          <w:color w:val="000000"/>
          <w:kern w:val="0"/>
          <w:sz w:val="24"/>
          <w:szCs w:val="24"/>
          <w:highlight w:val="none"/>
          <w:lang w:bidi="ar"/>
        </w:rPr>
        <w:t>单位端电子缴款书服务</w:t>
      </w:r>
      <w:r>
        <w:rPr>
          <w:rFonts w:hint="eastAsia" w:ascii="宋体" w:hAnsi="宋体" w:cs="等线"/>
          <w:kern w:val="0"/>
          <w:sz w:val="24"/>
          <w:szCs w:val="21"/>
          <w:highlight w:val="none"/>
          <w:lang w:eastAsia="zh-CN"/>
        </w:rPr>
        <w:t>）</w:t>
      </w:r>
      <w:r>
        <w:rPr>
          <w:rFonts w:hint="eastAsia" w:ascii="宋体" w:hAnsi="宋体" w:cs="等线"/>
          <w:kern w:val="0"/>
          <w:sz w:val="24"/>
          <w:szCs w:val="21"/>
          <w:highlight w:val="none"/>
        </w:rPr>
        <w:t>等。提供全年</w:t>
      </w:r>
      <w:r>
        <w:rPr>
          <w:rFonts w:ascii="宋体" w:hAnsi="宋体" w:cs="等线"/>
          <w:kern w:val="0"/>
          <w:sz w:val="24"/>
          <w:szCs w:val="21"/>
          <w:highlight w:val="none"/>
        </w:rPr>
        <w:t>7×24</w:t>
      </w:r>
      <w:r>
        <w:rPr>
          <w:rFonts w:hint="eastAsia" w:ascii="宋体" w:hAnsi="宋体" w:cs="等线"/>
          <w:kern w:val="0"/>
          <w:sz w:val="24"/>
          <w:szCs w:val="21"/>
          <w:highlight w:val="none"/>
        </w:rPr>
        <w:t>小时</w:t>
      </w:r>
      <w:r>
        <w:rPr>
          <w:rFonts w:ascii="宋体" w:hAnsi="宋体" w:cs="等线"/>
          <w:kern w:val="0"/>
          <w:sz w:val="24"/>
          <w:szCs w:val="21"/>
          <w:highlight w:val="none"/>
        </w:rPr>
        <w:t>运维保障，做好重大活动和节假日应急值守保障服务，</w:t>
      </w:r>
      <w:r>
        <w:rPr>
          <w:rFonts w:hint="eastAsia" w:ascii="宋体" w:hAnsi="宋体" w:cs="等线"/>
          <w:kern w:val="0"/>
          <w:sz w:val="24"/>
          <w:szCs w:val="21"/>
          <w:highlight w:val="none"/>
        </w:rPr>
        <w:t>对我委云上业务系统的运行环境进行持续优化，充分优化系统整体兼容性，提高系统可靠性；完成日常运维和安全运维服务工作配合我委做好网络安全及密码应用等相关工作，</w:t>
      </w:r>
      <w:r>
        <w:rPr>
          <w:rFonts w:ascii="宋体" w:hAnsi="宋体" w:cs="等线"/>
          <w:kern w:val="0"/>
          <w:sz w:val="24"/>
          <w:szCs w:val="21"/>
          <w:highlight w:val="none"/>
        </w:rPr>
        <w:t>确保各信息系统</w:t>
      </w:r>
      <w:r>
        <w:rPr>
          <w:rFonts w:hint="eastAsia" w:ascii="宋体" w:hAnsi="宋体" w:cs="等线"/>
          <w:kern w:val="0"/>
          <w:sz w:val="24"/>
          <w:szCs w:val="21"/>
          <w:highlight w:val="none"/>
        </w:rPr>
        <w:t>在</w:t>
      </w:r>
      <w:r>
        <w:rPr>
          <w:rFonts w:ascii="宋体" w:hAnsi="宋体" w:cs="等线"/>
          <w:kern w:val="0"/>
          <w:sz w:val="24"/>
          <w:szCs w:val="21"/>
          <w:highlight w:val="none"/>
        </w:rPr>
        <w:t>政务云环境</w:t>
      </w:r>
      <w:r>
        <w:rPr>
          <w:rFonts w:hint="eastAsia" w:ascii="宋体" w:hAnsi="宋体" w:cs="等线"/>
          <w:kern w:val="0"/>
          <w:sz w:val="24"/>
          <w:szCs w:val="21"/>
          <w:highlight w:val="none"/>
        </w:rPr>
        <w:t>中安全、</w:t>
      </w:r>
      <w:r>
        <w:rPr>
          <w:rFonts w:ascii="宋体" w:hAnsi="宋体" w:cs="等线"/>
          <w:kern w:val="0"/>
          <w:sz w:val="24"/>
          <w:szCs w:val="21"/>
          <w:highlight w:val="none"/>
        </w:rPr>
        <w:t>稳定运行。</w:t>
      </w:r>
    </w:p>
    <w:p>
      <w:pPr>
        <w:keepNext/>
        <w:numPr>
          <w:ilvl w:val="0"/>
          <w:numId w:val="1"/>
        </w:numPr>
        <w:adjustRightInd w:val="0"/>
        <w:snapToGrid w:val="0"/>
        <w:ind w:firstLine="562" w:firstLineChars="200"/>
        <w:outlineLvl w:val="0"/>
        <w:rPr>
          <w:rFonts w:hint="eastAsia" w:ascii="宋体" w:hAnsi="宋体"/>
          <w:b/>
          <w:kern w:val="44"/>
          <w:sz w:val="28"/>
          <w:szCs w:val="22"/>
          <w:highlight w:val="none"/>
        </w:rPr>
      </w:pPr>
      <w:bookmarkStart w:id="9" w:name="_Toc24198"/>
      <w:r>
        <w:rPr>
          <w:rFonts w:hint="eastAsia" w:ascii="宋体" w:hAnsi="宋体"/>
          <w:b/>
          <w:kern w:val="44"/>
          <w:sz w:val="28"/>
          <w:szCs w:val="22"/>
          <w:highlight w:val="none"/>
        </w:rPr>
        <w:t xml:space="preserve"> 服务内容与服务标准</w:t>
      </w:r>
      <w:bookmarkEnd w:id="9"/>
    </w:p>
    <w:p>
      <w:pPr>
        <w:keepNext/>
        <w:numPr>
          <w:ilvl w:val="1"/>
          <w:numId w:val="1"/>
        </w:numPr>
        <w:adjustRightInd w:val="0"/>
        <w:snapToGrid w:val="0"/>
        <w:ind w:left="0" w:firstLine="482" w:firstLineChars="200"/>
        <w:outlineLvl w:val="1"/>
        <w:rPr>
          <w:rFonts w:ascii="Arial" w:hAnsi="Arial"/>
          <w:b/>
          <w:sz w:val="24"/>
          <w:szCs w:val="22"/>
          <w:highlight w:val="none"/>
        </w:rPr>
      </w:pPr>
      <w:r>
        <w:rPr>
          <w:rFonts w:hint="eastAsia" w:ascii="Arial" w:hAnsi="Arial"/>
          <w:b/>
          <w:sz w:val="24"/>
          <w:szCs w:val="22"/>
          <w:highlight w:val="none"/>
        </w:rPr>
        <w:t>计算服务</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服务内容</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按照采购人的具体需求，提供云主机服务，包括：x86 平台云主机服务和x86 物理服务器租用服务，按需求对CPU及内存进行动态调整，实现合理的计算资源配置。在提供政务云主机的服务过程中做好与采购人和对应项目应用开发厂商的协调沟通工作。</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服务标准</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1.2.1 云主机应实现物理机的全部功能，如具有CPU、存储、内存、网卡等资源，可以指定单独的IP地址等；</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1.2.2 支持存储裸设备映射（RDM），可以将存储设备上的LUN直接映射给虚拟机使用，并且支持SCSI指令使用透传模式或者非透传模式；</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1.2.3 应满足云主机之间、CPU之间隔离保护要求；</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1.2.4 支持资源的动态调整，根据业务的负载情况实现业务系统虚拟机的动态扩展和回收；</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1.2.5 支持在线进行虚拟化软件版本升级，不同版本之间可以相互兼容；</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1.2.6 支持异构虚拟化能力，如KVM等多种虚拟化技术；</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1.2.7 云主机出现故障时，支持自动重启或者迁移，保障业务连续性；</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1.2.8 支持虚拟机热迁移，可在不同代CPU资源池中进行虚拟机热迁移；</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1.2.9 云计算资源性能要求包括但不限于如下：</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1.2.9.1 物理服务器CPU主频应不低于2.40GHz；</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1.2.9.2 主机内存硬件配置不低于DDR4-2400MHz；</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1.2.9.3 可用性不低于99.99%。</w:t>
      </w:r>
    </w:p>
    <w:p>
      <w:pPr>
        <w:keepNext/>
        <w:numPr>
          <w:ilvl w:val="1"/>
          <w:numId w:val="1"/>
        </w:numPr>
        <w:adjustRightInd w:val="0"/>
        <w:snapToGrid w:val="0"/>
        <w:ind w:left="0" w:firstLine="482" w:firstLineChars="200"/>
        <w:outlineLvl w:val="1"/>
        <w:rPr>
          <w:rFonts w:ascii="Arial" w:hAnsi="Arial"/>
          <w:b/>
          <w:sz w:val="24"/>
          <w:szCs w:val="22"/>
          <w:highlight w:val="none"/>
        </w:rPr>
      </w:pPr>
      <w:r>
        <w:rPr>
          <w:rFonts w:hint="eastAsia" w:ascii="Arial" w:hAnsi="Arial"/>
          <w:b/>
          <w:sz w:val="24"/>
          <w:szCs w:val="22"/>
          <w:highlight w:val="none"/>
        </w:rPr>
        <w:t>存储服务</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 xml:space="preserve"> 服务内容</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按照采购人的具体需求，提供存储服务，包括：普通性能存储、高性能存储和本地备份服务，实现合理的存储资源配置。在提供政务云存储的服务过程中需做好采购人和对应项目应用开发厂商的协调沟通工作。</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 xml:space="preserve"> 服务标准</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2.2.1 支持结构化数据、半结构化数据和非结构化数据等多种数据类型存储；</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2.2.2 支持块存储、对象存储、文件存储等多种存储方法，满足数据备份、视频存储等不同应用场景使用要求；</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2.2.3 支持存储资源扩展能力，例如：PB级扩展；</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2.2.4 支持磁盘容错技术，如磁盘故障后节点的自动平衡和重构、硬盘故障 检测和处理、集群节点出现单盘故障时不影响业务运行等；</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2.2.5 存储资源性能要求包括但不限于如下：</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2.2.5.1 吞吐量：</w:t>
      </w:r>
      <w:bookmarkStart w:id="10" w:name="OLE_LINK2"/>
      <w:r>
        <w:rPr>
          <w:rFonts w:hint="eastAsia" w:ascii="宋体" w:hAnsi="宋体" w:cs="宋体"/>
          <w:sz w:val="24"/>
          <w:szCs w:val="22"/>
          <w:highlight w:val="none"/>
        </w:rPr>
        <w:t>高性能存储系统的读写带宽应不低于1000MB/s</w:t>
      </w:r>
      <w:bookmarkEnd w:id="10"/>
      <w:r>
        <w:rPr>
          <w:rFonts w:hint="eastAsia" w:ascii="宋体" w:hAnsi="宋体" w:cs="宋体"/>
          <w:sz w:val="24"/>
          <w:szCs w:val="22"/>
          <w:highlight w:val="none"/>
        </w:rPr>
        <w:t>,IOPS不低于20000;普通性能存储系统的读写带宽应不低于200MB/s，IOPS不低于1000。</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2.2.5.2 支持高可靠性，可靠性不低于99.9999%%；</w:t>
      </w:r>
    </w:p>
    <w:p>
      <w:pPr>
        <w:keepNext/>
        <w:numPr>
          <w:ilvl w:val="1"/>
          <w:numId w:val="1"/>
        </w:numPr>
        <w:adjustRightInd w:val="0"/>
        <w:snapToGrid w:val="0"/>
        <w:ind w:left="0" w:firstLine="482" w:firstLineChars="200"/>
        <w:outlineLvl w:val="1"/>
        <w:rPr>
          <w:rFonts w:ascii="Arial" w:hAnsi="Arial"/>
          <w:b/>
          <w:sz w:val="24"/>
          <w:szCs w:val="22"/>
          <w:highlight w:val="none"/>
        </w:rPr>
      </w:pPr>
      <w:r>
        <w:rPr>
          <w:rFonts w:hint="eastAsia" w:ascii="Arial" w:hAnsi="Arial"/>
          <w:b/>
          <w:sz w:val="24"/>
          <w:szCs w:val="22"/>
          <w:highlight w:val="none"/>
        </w:rPr>
        <w:t>备份服务</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 xml:space="preserve"> 服务内容</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投标人需具有本地数据级备份能力，并配合采购人完成数据级容灾演练及恢复等工作。</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 xml:space="preserve"> 服务标准</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按照采购人的各个应用系统对资源的备份需求通过备份策略实现对用户数据（文件、操作系统、数据库）的本地备份（不包含备份存储空间费用），默认提供非结构化数据保护与文件备份保护。备份应满足如下要求:</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3.2.1 备份介质本身具备高可用性和冗余性。</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3.2.2 备份方式包括完整备份、差异备份和增量备份。</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3.2.3 支持Windows系列操作系统、Linux主流系统操作系统、主流数据库软件、主流中间件软件、结构化数据以及非结构化数据等备份对象。</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3.2.4 投标人应提供对备份过程状态、备份结果提供运维监控保障服务，确保备份任务执行成功以及备份的数据完整性。</w:t>
      </w:r>
    </w:p>
    <w:p>
      <w:pPr>
        <w:keepNext/>
        <w:numPr>
          <w:ilvl w:val="1"/>
          <w:numId w:val="1"/>
        </w:numPr>
        <w:adjustRightInd w:val="0"/>
        <w:snapToGrid w:val="0"/>
        <w:ind w:left="0" w:firstLine="482" w:firstLineChars="200"/>
        <w:outlineLvl w:val="1"/>
        <w:rPr>
          <w:rFonts w:ascii="Arial" w:hAnsi="Arial"/>
          <w:b/>
          <w:sz w:val="24"/>
          <w:szCs w:val="22"/>
          <w:highlight w:val="none"/>
        </w:rPr>
      </w:pPr>
      <w:r>
        <w:rPr>
          <w:rFonts w:hint="eastAsia" w:ascii="Arial" w:hAnsi="Arial"/>
          <w:b/>
          <w:sz w:val="24"/>
          <w:szCs w:val="22"/>
          <w:highlight w:val="none"/>
        </w:rPr>
        <w:t>网络服务</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服务内容</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互联网链路服务</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提供互联网链路带宽服务、互联网 IP 地址租用服务，并提供相应的网络域名备案服务，配合应用开发厂商提供网络策略配置服务。</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主机负载均衡服务</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提供主机负载均衡服务，通过云管理平台实现针每租户按需自动分配负载均衡服务的能力。</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远程接入服务</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提供远程接入服务，每个账号结合身份验证接入堡垒机维护应用系统。</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VPN服务</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提供SSLVPN接入须实现Web接入，TCP接入，IP接入等多种方式，能够记录完整的用户访问日志；支持基于用户身份的管理，实现不同身份的用户拥有不同的命令执行权限，并且支持用户视图分级，对于不同级别的用户赋予不同的管理配置权限；可以根据请求报文的目的IP地址和目的端口号、源IP地址和源端口号进行过滤；采用通过商用密码产品认证的SSLVPN产品。</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SSL证书服务</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提供SSL（Secure Sockets Layer，安全套接字协议）证书服务，证书类型为组织验证证书 (OV SSL)，兼容当前主流桌面和移动端操作系统、邮件客户端软件，支持RSA算法和ECC算法；保证系统数据的SSL加密传输。</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WAF防护服务</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提供WAF防护服务，在政务云流量入口架设WAF（Web Application Firewall，网站应用级入侵防御系统）防护服务，保证用户网站对已知安全隐患进行防御。</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服务标准</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云内骨干线路带宽不低于10Gb/s；</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服务器业务带宽不低于1Gb/s；</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平均可用性不低于99.9%。</w:t>
      </w:r>
    </w:p>
    <w:p>
      <w:pPr>
        <w:keepNext/>
        <w:numPr>
          <w:ilvl w:val="1"/>
          <w:numId w:val="1"/>
        </w:numPr>
        <w:adjustRightInd w:val="0"/>
        <w:snapToGrid w:val="0"/>
        <w:ind w:left="0" w:firstLine="482" w:firstLineChars="200"/>
        <w:outlineLvl w:val="1"/>
        <w:rPr>
          <w:rFonts w:ascii="Arial" w:hAnsi="Arial"/>
          <w:b/>
          <w:sz w:val="24"/>
          <w:szCs w:val="22"/>
          <w:highlight w:val="none"/>
        </w:rPr>
      </w:pPr>
      <w:r>
        <w:rPr>
          <w:rFonts w:hint="eastAsia" w:ascii="Arial" w:hAnsi="Arial"/>
          <w:b/>
          <w:sz w:val="24"/>
          <w:szCs w:val="22"/>
          <w:highlight w:val="none"/>
        </w:rPr>
        <w:t>基础软件支撑服务</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 xml:space="preserve"> 服务内容</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提供国产操作系统、开源操作系统、开源应用中间件、国产数据库管理系统、国产数据库读写分离集群软件、开源数据库等软件服务。</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服务标准</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国产操作系统租用服务</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提供国产操作系统的租用、安装、调优、排错、技术支持服务。</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开源操作系统租用服务</w:t>
      </w:r>
    </w:p>
    <w:p>
      <w:pPr>
        <w:adjustRightInd w:val="0"/>
        <w:snapToGrid w:val="0"/>
        <w:ind w:firstLine="480" w:firstLineChars="200"/>
        <w:textAlignment w:val="baseline"/>
        <w:rPr>
          <w:rFonts w:ascii="Calibri" w:hAnsi="Calibri"/>
          <w:kern w:val="0"/>
          <w:sz w:val="24"/>
          <w:szCs w:val="22"/>
          <w:highlight w:val="none"/>
        </w:rPr>
      </w:pPr>
      <w:r>
        <w:rPr>
          <w:rFonts w:hint="eastAsia" w:ascii="宋体" w:hAnsi="宋体" w:cs="等线"/>
          <w:kern w:val="0"/>
          <w:sz w:val="24"/>
          <w:szCs w:val="21"/>
          <w:highlight w:val="none"/>
        </w:rPr>
        <w:t>按照采购人的具体需求提供CentOS等开源操作系统租用服务，并在提供服务的过程中做好与采购人及对应信息系统建设及运维厂商的协调沟通对接工作。</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开源应用中间件租用服务</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提供主流开源中间件租用服务，应支持Tomcat等中间件的各种版本，并提供中间件的安装部署和各种故障处理和日常维护。</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国产数据库管理系统租用服务</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由云服务商提供主流国产商用数据库租用服务，应支持3种以上国产数据库单机、集群的主流版本，提供数据库的安装部署和各种故障处理及日常维护。</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国产数据库读写分离集群软件租用服务</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提供国产数据库读写分离集群软件的租用、安装、调优、排错、技术支持服务。</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开源数据库租用服务</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提供主流开源数据库服务，应支持MYSQL数据库的主流版本，提供数据库的安装部署和各种故障处理及配置优化，提供数据库日常维护。</w:t>
      </w:r>
    </w:p>
    <w:p>
      <w:pPr>
        <w:keepNext/>
        <w:numPr>
          <w:ilvl w:val="1"/>
          <w:numId w:val="1"/>
        </w:numPr>
        <w:adjustRightInd w:val="0"/>
        <w:snapToGrid w:val="0"/>
        <w:ind w:left="0" w:firstLine="482" w:firstLineChars="200"/>
        <w:outlineLvl w:val="1"/>
        <w:rPr>
          <w:rFonts w:ascii="Arial" w:hAnsi="Arial"/>
          <w:b/>
          <w:sz w:val="24"/>
          <w:szCs w:val="22"/>
          <w:highlight w:val="none"/>
        </w:rPr>
      </w:pPr>
      <w:r>
        <w:rPr>
          <w:rFonts w:hint="eastAsia" w:ascii="Arial" w:hAnsi="Arial"/>
          <w:b/>
          <w:sz w:val="24"/>
          <w:szCs w:val="22"/>
          <w:highlight w:val="none"/>
        </w:rPr>
        <w:t>云环境保障服务</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 xml:space="preserve"> 服务内容</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安全是政务云的红线，应按照网络安全等级保护等要求建设安全技术防护体系和安全管理体系，建立应急处置体系，强化各领域平台安全管控，本项目安全服务主要内容包含：</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主机杀毒服务</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提供主机杀毒服务，对云主机进行定期的病毒查杀，杀毒软件集中控制，对网络性能无影响。</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云端抗DDOS（分布式拒绝服务攻击）服务</w:t>
      </w:r>
    </w:p>
    <w:p>
      <w:pPr>
        <w:adjustRightInd w:val="0"/>
        <w:snapToGrid w:val="0"/>
        <w:ind w:firstLine="480" w:firstLineChars="200"/>
        <w:textAlignment w:val="baseline"/>
        <w:rPr>
          <w:rFonts w:ascii="宋体" w:hAnsi="宋体" w:cs="等线"/>
          <w:kern w:val="0"/>
          <w:sz w:val="24"/>
          <w:szCs w:val="21"/>
          <w:highlight w:val="none"/>
        </w:rPr>
      </w:pPr>
      <w:r>
        <w:rPr>
          <w:rFonts w:hint="eastAsia" w:ascii="宋体" w:hAnsi="宋体" w:cs="等线"/>
          <w:kern w:val="0"/>
          <w:sz w:val="24"/>
          <w:szCs w:val="21"/>
          <w:highlight w:val="none"/>
        </w:rPr>
        <w:t>利用云端海量带宽资源，提供DDOS 防护服务，为云内应用系统抵御大流量分布式拒绝服务攻击。根据流量提供云端抗DDOS服务，避免业务遭受拒绝服务攻击。</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主机防护</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按照采购人的具体需求，提供符合等保三级要求的主机权限管理及安全防护。</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主机日志分析</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对主机系统日志进行采集分析处理，用于发现各种安全威胁、异常行为事件。主机系统日志应集中存储，且日志存储时间不低于6个月。</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 xml:space="preserve"> 数据库审计服务</w:t>
      </w:r>
    </w:p>
    <w:p>
      <w:pPr>
        <w:adjustRightInd w:val="0"/>
        <w:snapToGrid w:val="0"/>
        <w:ind w:firstLine="480" w:firstLineChars="200"/>
        <w:textAlignment w:val="baseline"/>
        <w:rPr>
          <w:rFonts w:hint="eastAsia" w:ascii="宋体" w:hAnsi="宋体"/>
          <w:kern w:val="0"/>
          <w:sz w:val="24"/>
          <w:szCs w:val="21"/>
          <w:highlight w:val="none"/>
        </w:rPr>
      </w:pPr>
      <w:r>
        <w:rPr>
          <w:rFonts w:hint="eastAsia" w:ascii="宋体" w:hAnsi="宋体"/>
          <w:kern w:val="0"/>
          <w:sz w:val="24"/>
          <w:szCs w:val="21"/>
          <w:highlight w:val="none"/>
        </w:rPr>
        <w:t>提供数据库审计服务，每月对数据库操作行为进行细粒度审计的合规性管理，对数据库遭受到的风险行为进行告警，对攻击行为进行阻断。对用户访问数据库行为的记录、分析和汇报，生成合规报告以及事故追根溯源。在提供服务的过程中做好与业主方和对应项目的应用开发厂商的协调沟通。</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服务标准</w:t>
      </w:r>
    </w:p>
    <w:p>
      <w:pPr>
        <w:adjustRightInd w:val="0"/>
        <w:snapToGrid w:val="0"/>
        <w:ind w:firstLine="480" w:firstLineChars="200"/>
        <w:rPr>
          <w:rFonts w:hint="eastAsia" w:ascii="宋体" w:hAnsi="宋体"/>
          <w:sz w:val="24"/>
          <w:szCs w:val="22"/>
          <w:highlight w:val="none"/>
        </w:rPr>
      </w:pPr>
      <w:r>
        <w:rPr>
          <w:rFonts w:hint="eastAsia" w:ascii="宋体" w:hAnsi="宋体"/>
          <w:sz w:val="24"/>
          <w:szCs w:val="22"/>
          <w:highlight w:val="none"/>
        </w:rPr>
        <w:t>投标人所投云平台具备完备的安全防护体系和安全防护设备，具有成熟的安全运维方案，应保证各业务应用系统的支撑环境，包括但不限于服务器、网络、存储以及相关物理环境，应能满足不低于网络安全等级保护（GB/T22239-2019）第三级要求，并积极配合采购人根据各业务系统具体等保需求，开展相应等保评估、检查、整改等工作。</w:t>
      </w:r>
    </w:p>
    <w:p>
      <w:pPr>
        <w:adjustRightInd w:val="0"/>
        <w:snapToGrid w:val="0"/>
        <w:ind w:firstLine="480" w:firstLineChars="200"/>
        <w:rPr>
          <w:rFonts w:hint="eastAsia" w:ascii="宋体" w:hAnsi="宋体"/>
          <w:sz w:val="24"/>
          <w:szCs w:val="22"/>
          <w:highlight w:val="none"/>
        </w:rPr>
      </w:pPr>
      <w:r>
        <w:rPr>
          <w:rFonts w:hint="eastAsia" w:ascii="宋体" w:hAnsi="宋体"/>
          <w:sz w:val="24"/>
          <w:szCs w:val="22"/>
          <w:highlight w:val="none"/>
        </w:rPr>
        <w:t>投标人需利用监控系统或人工对机房环境、硬件设备及应用系统的运行情况进行7*24小时的不间断巡检监控，及时发现安全隐患，通知相关人员及时处理，并形成监控报告。</w:t>
      </w:r>
    </w:p>
    <w:p>
      <w:pPr>
        <w:adjustRightInd w:val="0"/>
        <w:snapToGrid w:val="0"/>
        <w:ind w:firstLine="480" w:firstLineChars="200"/>
        <w:rPr>
          <w:rFonts w:hint="eastAsia" w:ascii="宋体" w:hAnsi="宋体"/>
          <w:sz w:val="24"/>
          <w:szCs w:val="22"/>
          <w:highlight w:val="none"/>
        </w:rPr>
      </w:pPr>
      <w:r>
        <w:rPr>
          <w:rFonts w:hint="eastAsia" w:ascii="宋体" w:hAnsi="宋体"/>
          <w:sz w:val="24"/>
          <w:szCs w:val="22"/>
          <w:highlight w:val="none"/>
        </w:rPr>
        <w:t>投标人承担云平台数据防篡改、防丢失的安全责任。业务数据未经采购人同意，不得离开云机房。投标人未经允许不得对云平台上的任何数据进行非法截取、加工、分析处理或提供给第三方机构。投标人在未经过用户邮件、书面材料确认前提下，不能查看、修改、拷贝用户业务系统文件和数据；各业务系统、数据归属于采购人，投标人无权支配。</w:t>
      </w:r>
    </w:p>
    <w:p>
      <w:pPr>
        <w:adjustRightInd w:val="0"/>
        <w:snapToGrid w:val="0"/>
        <w:ind w:firstLine="480" w:firstLineChars="200"/>
        <w:rPr>
          <w:rFonts w:hint="eastAsia" w:ascii="宋体" w:hAnsi="宋体"/>
          <w:sz w:val="24"/>
          <w:szCs w:val="22"/>
          <w:highlight w:val="none"/>
        </w:rPr>
      </w:pPr>
      <w:r>
        <w:rPr>
          <w:rFonts w:hint="eastAsia" w:ascii="宋体" w:hAnsi="宋体"/>
          <w:sz w:val="24"/>
          <w:szCs w:val="22"/>
          <w:highlight w:val="none"/>
        </w:rPr>
        <w:t>投标人需保证安全技术服务能力不低于所承载的信息系统的最高级别，并通过GB/T22239相应等级的测评；通过商用密码应用安全性评估，商用密码应用安全性评估参考GB/T39786-2021中相应等级规定。</w:t>
      </w:r>
    </w:p>
    <w:p>
      <w:pPr>
        <w:keepNext/>
        <w:numPr>
          <w:ilvl w:val="1"/>
          <w:numId w:val="1"/>
        </w:numPr>
        <w:adjustRightInd w:val="0"/>
        <w:snapToGrid w:val="0"/>
        <w:ind w:left="0" w:firstLine="482" w:firstLineChars="200"/>
        <w:outlineLvl w:val="1"/>
        <w:rPr>
          <w:rFonts w:ascii="Arial" w:hAnsi="Arial"/>
          <w:b/>
          <w:sz w:val="24"/>
          <w:szCs w:val="22"/>
          <w:highlight w:val="none"/>
        </w:rPr>
      </w:pPr>
      <w:r>
        <w:rPr>
          <w:rFonts w:hint="eastAsia" w:ascii="Arial" w:hAnsi="Arial"/>
          <w:b/>
          <w:sz w:val="24"/>
          <w:szCs w:val="22"/>
          <w:highlight w:val="none"/>
        </w:rPr>
        <w:t>其他服务</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服务内容</w:t>
      </w:r>
    </w:p>
    <w:p>
      <w:pPr>
        <w:adjustRightInd w:val="0"/>
        <w:snapToGrid w:val="0"/>
        <w:ind w:firstLine="480" w:firstLineChars="200"/>
        <w:textAlignment w:val="baseline"/>
        <w:rPr>
          <w:rFonts w:hint="eastAsia" w:ascii="宋体" w:hAnsi="宋体"/>
          <w:kern w:val="0"/>
          <w:sz w:val="24"/>
          <w:szCs w:val="21"/>
          <w:highlight w:val="none"/>
        </w:rPr>
      </w:pPr>
      <w:r>
        <w:rPr>
          <w:rFonts w:hint="eastAsia" w:ascii="宋体" w:hAnsi="宋体"/>
          <w:kern w:val="0"/>
          <w:sz w:val="24"/>
          <w:szCs w:val="21"/>
          <w:highlight w:val="none"/>
        </w:rPr>
        <w:t>本项目的其他服务内容包含短信服务、国密浏览器、SSL VPN和单位端电子缴款书服务。</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服务标准</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短信服务</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提供云上系统短信接口服务。</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国密浏览器、SSL VPN等密码服务</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提供使用国密算法的浏览器：针对现有三级系统，配合SSL VPN，按照租户授权的方式，在云平台与云平台管理员、租户之间建立安全通信通道。</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提供SSL VPN：针对现有三级系统，配套安全浏览器、移动终端密码模块等，在云平台与云平台管理员、用户之间建立安全通道，并提供接入认证相关功能。</w:t>
      </w:r>
    </w:p>
    <w:p>
      <w:pPr>
        <w:keepNext/>
        <w:numPr>
          <w:ilvl w:val="3"/>
          <w:numId w:val="1"/>
        </w:numPr>
        <w:adjustRightInd w:val="0"/>
        <w:snapToGrid w:val="0"/>
        <w:ind w:firstLine="480" w:firstLineChars="200"/>
        <w:outlineLvl w:val="3"/>
        <w:rPr>
          <w:rFonts w:hint="eastAsia" w:ascii="宋体" w:hAnsi="宋体" w:cs="宋体"/>
          <w:sz w:val="24"/>
          <w:szCs w:val="22"/>
          <w:highlight w:val="none"/>
        </w:rPr>
      </w:pPr>
      <w:r>
        <w:rPr>
          <w:rFonts w:hint="eastAsia" w:ascii="宋体" w:hAnsi="宋体" w:cs="宋体"/>
          <w:sz w:val="24"/>
          <w:szCs w:val="22"/>
          <w:highlight w:val="none"/>
        </w:rPr>
        <w:t>单位端电子缴款书服务</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提供通过单位端电子缴款书服务平台向甲方提供单位端电子缴款书服务及相关技术支持服务。</w:t>
      </w:r>
    </w:p>
    <w:p>
      <w:pPr>
        <w:keepNext/>
        <w:numPr>
          <w:ilvl w:val="1"/>
          <w:numId w:val="1"/>
        </w:numPr>
        <w:adjustRightInd w:val="0"/>
        <w:snapToGrid w:val="0"/>
        <w:ind w:left="0" w:firstLine="482" w:firstLineChars="200"/>
        <w:outlineLvl w:val="1"/>
        <w:rPr>
          <w:rFonts w:ascii="Arial" w:hAnsi="Arial"/>
          <w:b/>
          <w:sz w:val="24"/>
          <w:szCs w:val="22"/>
          <w:highlight w:val="none"/>
        </w:rPr>
      </w:pPr>
      <w:r>
        <w:rPr>
          <w:rFonts w:hint="eastAsia" w:ascii="Arial" w:hAnsi="Arial"/>
          <w:b/>
          <w:sz w:val="24"/>
          <w:szCs w:val="22"/>
          <w:highlight w:val="none"/>
        </w:rPr>
        <w:t>运维服务</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 xml:space="preserve"> 服务内容</w:t>
      </w:r>
    </w:p>
    <w:p>
      <w:pPr>
        <w:keepNext/>
        <w:numPr>
          <w:ilvl w:val="3"/>
          <w:numId w:val="1"/>
        </w:numPr>
        <w:adjustRightInd w:val="0"/>
        <w:snapToGrid w:val="0"/>
        <w:ind w:firstLine="480" w:firstLineChars="200"/>
        <w:outlineLvl w:val="3"/>
        <w:rPr>
          <w:rFonts w:ascii="宋体" w:hAnsi="宋体" w:cs="宋体"/>
          <w:sz w:val="24"/>
          <w:szCs w:val="22"/>
          <w:highlight w:val="none"/>
        </w:rPr>
      </w:pPr>
      <w:r>
        <w:rPr>
          <w:rFonts w:ascii="宋体" w:hAnsi="宋体" w:cs="宋体"/>
          <w:sz w:val="24"/>
          <w:szCs w:val="22"/>
          <w:highlight w:val="none"/>
        </w:rPr>
        <w:t>服务规范</w:t>
      </w:r>
    </w:p>
    <w:p>
      <w:pPr>
        <w:adjustRightInd w:val="0"/>
        <w:snapToGrid w:val="0"/>
        <w:ind w:firstLine="480" w:firstLineChars="200"/>
        <w:textAlignment w:val="baseline"/>
        <w:rPr>
          <w:rFonts w:ascii="宋体" w:hAnsi="宋体" w:cs="等线"/>
          <w:kern w:val="0"/>
          <w:sz w:val="24"/>
          <w:szCs w:val="21"/>
          <w:highlight w:val="none"/>
        </w:rPr>
      </w:pPr>
      <w:r>
        <w:rPr>
          <w:rFonts w:hint="eastAsia" w:ascii="宋体" w:hAnsi="宋体" w:cs="等线"/>
          <w:kern w:val="0"/>
          <w:sz w:val="24"/>
          <w:szCs w:val="21"/>
          <w:highlight w:val="none"/>
        </w:rPr>
        <w:t>投标人须严格按照《北京市市级政务云管理办法》和采购人制定的管理办法、流程及其他汇报制度、应急制度、文档管理、资产管理、基线管理、人员管理、培训与考试、知识库管理、安全管理等相关制度，开展标准化运维工作。</w:t>
      </w:r>
    </w:p>
    <w:p>
      <w:pPr>
        <w:keepNext/>
        <w:numPr>
          <w:ilvl w:val="3"/>
          <w:numId w:val="1"/>
        </w:numPr>
        <w:adjustRightInd w:val="0"/>
        <w:snapToGrid w:val="0"/>
        <w:ind w:firstLine="480" w:firstLineChars="200"/>
        <w:outlineLvl w:val="3"/>
        <w:rPr>
          <w:rFonts w:ascii="宋体" w:hAnsi="宋体" w:cs="宋体"/>
          <w:sz w:val="24"/>
          <w:szCs w:val="22"/>
          <w:highlight w:val="none"/>
        </w:rPr>
      </w:pPr>
      <w:r>
        <w:rPr>
          <w:rFonts w:ascii="宋体" w:hAnsi="宋体" w:cs="宋体"/>
          <w:sz w:val="24"/>
          <w:szCs w:val="22"/>
          <w:highlight w:val="none"/>
        </w:rPr>
        <w:t>服务方式</w:t>
      </w:r>
    </w:p>
    <w:p>
      <w:pPr>
        <w:adjustRightInd w:val="0"/>
        <w:snapToGrid w:val="0"/>
        <w:ind w:firstLine="480" w:firstLineChars="200"/>
        <w:textAlignment w:val="baseline"/>
        <w:rPr>
          <w:rFonts w:ascii="宋体" w:hAnsi="宋体" w:cs="等线"/>
          <w:kern w:val="0"/>
          <w:sz w:val="24"/>
          <w:szCs w:val="21"/>
          <w:highlight w:val="none"/>
        </w:rPr>
      </w:pPr>
      <w:r>
        <w:rPr>
          <w:rFonts w:hint="eastAsia" w:ascii="宋体" w:hAnsi="宋体" w:cs="等线"/>
          <w:kern w:val="0"/>
          <w:sz w:val="24"/>
          <w:szCs w:val="21"/>
          <w:highlight w:val="none"/>
        </w:rPr>
        <w:t>1</w:t>
      </w:r>
      <w:r>
        <w:rPr>
          <w:rFonts w:ascii="宋体" w:hAnsi="宋体" w:cs="等线"/>
          <w:kern w:val="0"/>
          <w:sz w:val="24"/>
          <w:szCs w:val="21"/>
          <w:highlight w:val="none"/>
        </w:rPr>
        <w:t>.</w:t>
      </w:r>
      <w:r>
        <w:rPr>
          <w:rFonts w:hint="eastAsia" w:ascii="宋体" w:hAnsi="宋体" w:cs="等线"/>
          <w:kern w:val="0"/>
          <w:sz w:val="24"/>
          <w:szCs w:val="21"/>
          <w:highlight w:val="none"/>
        </w:rPr>
        <w:t>投标人需利用监控系统或人工对机房环境、硬件设备及应用系统的运行情况进行全年</w:t>
      </w:r>
      <w:r>
        <w:rPr>
          <w:rFonts w:ascii="宋体" w:hAnsi="宋体" w:cs="等线"/>
          <w:kern w:val="0"/>
          <w:sz w:val="24"/>
          <w:szCs w:val="21"/>
          <w:highlight w:val="none"/>
        </w:rPr>
        <w:t>7×24小时的不间断巡检监控，及时发现安全隐患，通知相关人员及时处理，并形成监控报告。</w:t>
      </w:r>
    </w:p>
    <w:p>
      <w:pPr>
        <w:adjustRightInd w:val="0"/>
        <w:snapToGrid w:val="0"/>
        <w:ind w:firstLine="480" w:firstLineChars="200"/>
        <w:textAlignment w:val="baseline"/>
        <w:rPr>
          <w:rFonts w:ascii="宋体" w:hAnsi="宋体" w:cs="等线"/>
          <w:kern w:val="0"/>
          <w:sz w:val="24"/>
          <w:szCs w:val="21"/>
          <w:highlight w:val="none"/>
        </w:rPr>
      </w:pPr>
      <w:r>
        <w:rPr>
          <w:rFonts w:hint="eastAsia" w:ascii="宋体" w:hAnsi="宋体" w:cs="等线"/>
          <w:kern w:val="0"/>
          <w:sz w:val="24"/>
          <w:szCs w:val="21"/>
          <w:highlight w:val="none"/>
        </w:rPr>
        <w:t>2</w:t>
      </w:r>
      <w:r>
        <w:rPr>
          <w:rFonts w:ascii="宋体" w:hAnsi="宋体" w:cs="等线"/>
          <w:kern w:val="0"/>
          <w:sz w:val="24"/>
          <w:szCs w:val="21"/>
          <w:highlight w:val="none"/>
        </w:rPr>
        <w:t>.</w:t>
      </w:r>
      <w:r>
        <w:rPr>
          <w:rFonts w:hint="eastAsia" w:ascii="宋体" w:hAnsi="宋体" w:cs="等线"/>
          <w:kern w:val="0"/>
          <w:sz w:val="24"/>
          <w:szCs w:val="21"/>
          <w:highlight w:val="none"/>
        </w:rPr>
        <w:t>投标人负责设立技术支持热线，并安排专人值守，为运维工作提供全年</w:t>
      </w:r>
      <w:r>
        <w:rPr>
          <w:rFonts w:ascii="宋体" w:hAnsi="宋体" w:cs="等线"/>
          <w:kern w:val="0"/>
          <w:sz w:val="24"/>
          <w:szCs w:val="21"/>
          <w:highlight w:val="none"/>
        </w:rPr>
        <w:t>7×24小时热线支持服务。投标人针对采购人要求的云平台运维服务相关内容，需指定专业技术能力较强的工程师，根据采购人要求配合开展相关维护服务。</w:t>
      </w:r>
    </w:p>
    <w:p>
      <w:pPr>
        <w:adjustRightInd w:val="0"/>
        <w:snapToGrid w:val="0"/>
        <w:ind w:firstLine="480" w:firstLineChars="200"/>
        <w:textAlignment w:val="baseline"/>
        <w:rPr>
          <w:rFonts w:ascii="宋体" w:hAnsi="宋体" w:cs="等线"/>
          <w:kern w:val="0"/>
          <w:sz w:val="24"/>
          <w:szCs w:val="21"/>
          <w:highlight w:val="none"/>
        </w:rPr>
      </w:pPr>
      <w:r>
        <w:rPr>
          <w:rFonts w:hint="eastAsia" w:ascii="宋体" w:hAnsi="宋体" w:cs="等线"/>
          <w:kern w:val="0"/>
          <w:sz w:val="24"/>
          <w:szCs w:val="21"/>
          <w:highlight w:val="none"/>
        </w:rPr>
        <w:t>3</w:t>
      </w:r>
      <w:r>
        <w:rPr>
          <w:rFonts w:ascii="宋体" w:hAnsi="宋体" w:cs="等线"/>
          <w:kern w:val="0"/>
          <w:sz w:val="24"/>
          <w:szCs w:val="21"/>
          <w:highlight w:val="none"/>
        </w:rPr>
        <w:t>.</w:t>
      </w:r>
      <w:r>
        <w:rPr>
          <w:rFonts w:hint="eastAsia" w:ascii="宋体" w:hAnsi="宋体" w:cs="等线"/>
          <w:kern w:val="0"/>
          <w:sz w:val="24"/>
          <w:szCs w:val="21"/>
          <w:highlight w:val="none"/>
        </w:rPr>
        <w:t>投标人建立服务团队，团队至少</w:t>
      </w:r>
      <w:r>
        <w:rPr>
          <w:rFonts w:ascii="宋体" w:hAnsi="宋体" w:cs="等线"/>
          <w:kern w:val="0"/>
          <w:sz w:val="24"/>
          <w:szCs w:val="21"/>
          <w:highlight w:val="none"/>
        </w:rPr>
        <w:t>3人，其中至少1名驻场人员提供</w:t>
      </w:r>
      <w:r>
        <w:rPr>
          <w:rFonts w:hint="eastAsia" w:ascii="宋体" w:hAnsi="宋体" w:cs="等线"/>
          <w:kern w:val="0"/>
          <w:sz w:val="24"/>
          <w:szCs w:val="21"/>
          <w:highlight w:val="none"/>
        </w:rPr>
        <w:t>工作日</w:t>
      </w:r>
      <w:r>
        <w:rPr>
          <w:rFonts w:ascii="宋体" w:hAnsi="宋体" w:cs="等线"/>
          <w:kern w:val="0"/>
          <w:sz w:val="24"/>
          <w:szCs w:val="21"/>
          <w:highlight w:val="none"/>
        </w:rPr>
        <w:t>5×8现场服务，支撑云平台运维服务相关内容；团队成员确需调换的，需经市科委、中关村管委会综合中心同意。</w:t>
      </w:r>
    </w:p>
    <w:p>
      <w:pPr>
        <w:tabs>
          <w:tab w:val="left" w:pos="1162"/>
        </w:tabs>
        <w:adjustRightInd w:val="0"/>
        <w:snapToGrid w:val="0"/>
        <w:ind w:firstLine="480" w:firstLineChars="200"/>
        <w:textAlignment w:val="baseline"/>
        <w:rPr>
          <w:rFonts w:ascii="宋体" w:hAnsi="宋体" w:cs="等线"/>
          <w:kern w:val="0"/>
          <w:sz w:val="24"/>
          <w:szCs w:val="21"/>
          <w:highlight w:val="none"/>
        </w:rPr>
      </w:pPr>
      <w:r>
        <w:rPr>
          <w:rFonts w:hint="eastAsia" w:ascii="宋体" w:hAnsi="宋体" w:cs="等线"/>
          <w:kern w:val="0"/>
          <w:sz w:val="24"/>
          <w:szCs w:val="21"/>
          <w:highlight w:val="none"/>
        </w:rPr>
        <w:t>4</w:t>
      </w:r>
      <w:r>
        <w:rPr>
          <w:rFonts w:ascii="宋体" w:hAnsi="宋体" w:cs="等线"/>
          <w:kern w:val="0"/>
          <w:sz w:val="24"/>
          <w:szCs w:val="21"/>
          <w:highlight w:val="none"/>
        </w:rPr>
        <w:t>.</w:t>
      </w:r>
      <w:r>
        <w:rPr>
          <w:rFonts w:hint="eastAsia" w:ascii="宋体" w:hAnsi="宋体" w:cs="等线"/>
          <w:kern w:val="0"/>
          <w:sz w:val="24"/>
          <w:szCs w:val="21"/>
          <w:highlight w:val="none"/>
        </w:rPr>
        <w:t>投标人应提供全年</w:t>
      </w:r>
      <w:r>
        <w:rPr>
          <w:rFonts w:ascii="宋体" w:hAnsi="宋体" w:cs="等线"/>
          <w:kern w:val="0"/>
          <w:sz w:val="24"/>
          <w:szCs w:val="21"/>
          <w:highlight w:val="none"/>
        </w:rPr>
        <w:t>7×24</w:t>
      </w:r>
      <w:r>
        <w:rPr>
          <w:rFonts w:hint="eastAsia" w:ascii="宋体" w:hAnsi="宋体" w:cs="等线"/>
          <w:kern w:val="0"/>
          <w:sz w:val="24"/>
          <w:szCs w:val="21"/>
          <w:highlight w:val="none"/>
        </w:rPr>
        <w:t>小时</w:t>
      </w:r>
      <w:r>
        <w:rPr>
          <w:rFonts w:ascii="宋体" w:hAnsi="宋体" w:cs="等线"/>
          <w:kern w:val="0"/>
          <w:sz w:val="24"/>
          <w:szCs w:val="21"/>
          <w:highlight w:val="none"/>
        </w:rPr>
        <w:t>云资源使用情况监控服务，发生云资源使用率过高情况时应及时通知采购人及相应系统运维服务商。每周和每月提供政务云服务报告，其中周报主要报告主要云资源调整及使用情况，针对各信息系统云效率进行统计；月报对当月政务云服务情况进行总结，包括各类云资源调整、使用及服务情况，以及日常维护、应急值守、故障处置等情况。</w:t>
      </w:r>
    </w:p>
    <w:p>
      <w:pPr>
        <w:adjustRightInd w:val="0"/>
        <w:snapToGrid w:val="0"/>
        <w:ind w:firstLine="480" w:firstLineChars="200"/>
        <w:textAlignment w:val="baseline"/>
        <w:rPr>
          <w:rFonts w:ascii="宋体" w:hAnsi="宋体" w:cs="等线"/>
          <w:kern w:val="0"/>
          <w:sz w:val="24"/>
          <w:szCs w:val="21"/>
          <w:highlight w:val="none"/>
        </w:rPr>
      </w:pPr>
      <w:r>
        <w:rPr>
          <w:rFonts w:hint="eastAsia" w:ascii="宋体" w:hAnsi="宋体" w:cs="等线"/>
          <w:kern w:val="0"/>
          <w:sz w:val="24"/>
          <w:szCs w:val="21"/>
          <w:highlight w:val="none"/>
        </w:rPr>
        <w:t>5</w:t>
      </w:r>
      <w:r>
        <w:rPr>
          <w:rFonts w:ascii="宋体" w:hAnsi="宋体" w:cs="等线"/>
          <w:kern w:val="0"/>
          <w:sz w:val="24"/>
          <w:szCs w:val="21"/>
          <w:highlight w:val="none"/>
        </w:rPr>
        <w:t>.</w:t>
      </w:r>
      <w:r>
        <w:rPr>
          <w:rFonts w:hint="eastAsia" w:ascii="宋体" w:hAnsi="宋体" w:cs="等线"/>
          <w:kern w:val="0"/>
          <w:sz w:val="24"/>
          <w:szCs w:val="21"/>
          <w:highlight w:val="none"/>
        </w:rPr>
        <w:t>投标人须每季度提出云资源调整建议，其中的云资源占用率较大的重点项目需按月提出调整建议。</w:t>
      </w:r>
    </w:p>
    <w:p>
      <w:pPr>
        <w:keepNext/>
        <w:numPr>
          <w:ilvl w:val="3"/>
          <w:numId w:val="1"/>
        </w:numPr>
        <w:adjustRightInd w:val="0"/>
        <w:snapToGrid w:val="0"/>
        <w:ind w:firstLine="480" w:firstLineChars="200"/>
        <w:outlineLvl w:val="3"/>
        <w:rPr>
          <w:rFonts w:ascii="宋体" w:hAnsi="宋体" w:cs="宋体"/>
          <w:sz w:val="24"/>
          <w:szCs w:val="22"/>
          <w:highlight w:val="none"/>
        </w:rPr>
      </w:pPr>
      <w:r>
        <w:rPr>
          <w:rFonts w:ascii="宋体" w:hAnsi="宋体" w:cs="宋体"/>
          <w:sz w:val="24"/>
          <w:szCs w:val="22"/>
          <w:highlight w:val="none"/>
        </w:rPr>
        <w:t>安全及保密要求</w:t>
      </w:r>
    </w:p>
    <w:p>
      <w:pPr>
        <w:adjustRightInd w:val="0"/>
        <w:snapToGrid w:val="0"/>
        <w:ind w:firstLine="480" w:firstLineChars="200"/>
        <w:textAlignment w:val="baseline"/>
        <w:rPr>
          <w:rFonts w:ascii="宋体" w:hAnsi="宋体" w:cs="等线"/>
          <w:kern w:val="0"/>
          <w:sz w:val="24"/>
          <w:szCs w:val="21"/>
          <w:highlight w:val="none"/>
        </w:rPr>
      </w:pPr>
      <w:r>
        <w:rPr>
          <w:rFonts w:hint="eastAsia" w:ascii="宋体" w:hAnsi="宋体" w:cs="等线"/>
          <w:kern w:val="0"/>
          <w:sz w:val="24"/>
          <w:szCs w:val="21"/>
          <w:highlight w:val="none"/>
        </w:rPr>
        <w:t>投标人须严格遵守采购人的相关网络安全规定，不得擅自修改采购人数据及其他信息或透漏给第三方。</w:t>
      </w:r>
    </w:p>
    <w:p>
      <w:pPr>
        <w:keepNext/>
        <w:numPr>
          <w:ilvl w:val="3"/>
          <w:numId w:val="1"/>
        </w:numPr>
        <w:adjustRightInd w:val="0"/>
        <w:snapToGrid w:val="0"/>
        <w:ind w:firstLine="480" w:firstLineChars="200"/>
        <w:outlineLvl w:val="3"/>
        <w:rPr>
          <w:rFonts w:ascii="宋体" w:hAnsi="宋体" w:cs="宋体"/>
          <w:sz w:val="24"/>
          <w:szCs w:val="22"/>
          <w:highlight w:val="none"/>
        </w:rPr>
      </w:pPr>
      <w:r>
        <w:rPr>
          <w:rFonts w:ascii="宋体" w:hAnsi="宋体" w:cs="宋体"/>
          <w:sz w:val="24"/>
          <w:szCs w:val="22"/>
          <w:highlight w:val="none"/>
        </w:rPr>
        <w:t>响应的及时性</w:t>
      </w:r>
    </w:p>
    <w:p>
      <w:pPr>
        <w:tabs>
          <w:tab w:val="left" w:pos="1162"/>
        </w:tabs>
        <w:adjustRightInd w:val="0"/>
        <w:snapToGrid w:val="0"/>
        <w:ind w:firstLine="480" w:firstLineChars="200"/>
        <w:textAlignment w:val="baseline"/>
        <w:rPr>
          <w:rFonts w:ascii="宋体" w:hAnsi="宋体" w:cs="等线"/>
          <w:kern w:val="0"/>
          <w:sz w:val="24"/>
          <w:szCs w:val="21"/>
          <w:highlight w:val="none"/>
        </w:rPr>
      </w:pPr>
      <w:r>
        <w:rPr>
          <w:rFonts w:hint="eastAsia" w:ascii="宋体" w:hAnsi="宋体" w:cs="等线"/>
          <w:kern w:val="0"/>
          <w:sz w:val="24"/>
          <w:szCs w:val="21"/>
          <w:highlight w:val="none"/>
        </w:rPr>
        <w:t>1</w:t>
      </w:r>
      <w:r>
        <w:rPr>
          <w:rFonts w:ascii="宋体" w:hAnsi="宋体" w:cs="等线"/>
          <w:kern w:val="0"/>
          <w:sz w:val="24"/>
          <w:szCs w:val="21"/>
          <w:highlight w:val="none"/>
        </w:rPr>
        <w:t>.</w:t>
      </w:r>
      <w:r>
        <w:rPr>
          <w:rFonts w:hint="eastAsia" w:ascii="宋体" w:hAnsi="宋体" w:cs="等线"/>
          <w:kern w:val="0"/>
          <w:sz w:val="24"/>
          <w:szCs w:val="21"/>
          <w:highlight w:val="none"/>
        </w:rPr>
        <w:t>投标人应能提供高效的云资源及环境维护服务，有效防范系统风险，保证全年</w:t>
      </w:r>
      <w:r>
        <w:rPr>
          <w:rFonts w:ascii="宋体" w:hAnsi="宋体" w:cs="等线"/>
          <w:kern w:val="0"/>
          <w:sz w:val="24"/>
          <w:szCs w:val="21"/>
          <w:highlight w:val="none"/>
        </w:rPr>
        <w:t>7×24小时电话畅通，</w:t>
      </w:r>
      <w:bookmarkStart w:id="11" w:name="OLE_LINK5"/>
      <w:r>
        <w:rPr>
          <w:rFonts w:ascii="宋体" w:hAnsi="宋体" w:cs="等线"/>
          <w:kern w:val="0"/>
          <w:sz w:val="24"/>
          <w:szCs w:val="21"/>
          <w:highlight w:val="none"/>
        </w:rPr>
        <w:t>发生故障应在</w:t>
      </w:r>
      <w:r>
        <w:rPr>
          <w:rFonts w:hint="eastAsia" w:ascii="宋体" w:hAnsi="宋体" w:cs="等线"/>
          <w:kern w:val="0"/>
          <w:sz w:val="24"/>
          <w:szCs w:val="21"/>
          <w:highlight w:val="none"/>
          <w:lang w:val="en-US" w:eastAsia="zh-CN"/>
        </w:rPr>
        <w:t>15</w:t>
      </w:r>
      <w:r>
        <w:rPr>
          <w:rFonts w:ascii="宋体" w:hAnsi="宋体" w:cs="等线"/>
          <w:kern w:val="0"/>
          <w:sz w:val="24"/>
          <w:szCs w:val="21"/>
          <w:highlight w:val="none"/>
        </w:rPr>
        <w:t>分钟内响应</w:t>
      </w:r>
      <w:bookmarkEnd w:id="11"/>
      <w:r>
        <w:rPr>
          <w:rFonts w:ascii="宋体" w:hAnsi="宋体" w:cs="等线"/>
          <w:kern w:val="0"/>
          <w:sz w:val="24"/>
          <w:szCs w:val="21"/>
          <w:highlight w:val="none"/>
        </w:rPr>
        <w:t>；在系统发生除</w:t>
      </w:r>
      <w:r>
        <w:rPr>
          <w:rFonts w:hint="eastAsia" w:ascii="宋体" w:hAnsi="宋体" w:cs="等线"/>
          <w:kern w:val="0"/>
          <w:sz w:val="24"/>
          <w:szCs w:val="21"/>
          <w:highlight w:val="none"/>
        </w:rPr>
        <w:t>宕机</w:t>
      </w:r>
      <w:r>
        <w:rPr>
          <w:rFonts w:ascii="宋体" w:hAnsi="宋体" w:cs="等线"/>
          <w:kern w:val="0"/>
          <w:sz w:val="24"/>
          <w:szCs w:val="21"/>
          <w:highlight w:val="none"/>
        </w:rPr>
        <w:t>外的其他故障问题时，协调</w:t>
      </w:r>
      <w:r>
        <w:rPr>
          <w:rFonts w:hint="eastAsia" w:ascii="宋体" w:hAnsi="宋体" w:cs="等线"/>
          <w:kern w:val="0"/>
          <w:sz w:val="24"/>
          <w:szCs w:val="21"/>
          <w:highlight w:val="none"/>
        </w:rPr>
        <w:t>人员</w:t>
      </w:r>
      <w:r>
        <w:rPr>
          <w:rFonts w:ascii="宋体" w:hAnsi="宋体" w:cs="等线"/>
          <w:kern w:val="0"/>
          <w:sz w:val="24"/>
          <w:szCs w:val="21"/>
          <w:highlight w:val="none"/>
        </w:rPr>
        <w:t>在1小时内到达运维现场提供服务。</w:t>
      </w:r>
    </w:p>
    <w:p>
      <w:pPr>
        <w:tabs>
          <w:tab w:val="left" w:pos="1162"/>
        </w:tabs>
        <w:adjustRightInd w:val="0"/>
        <w:snapToGrid w:val="0"/>
        <w:ind w:firstLine="480" w:firstLineChars="200"/>
        <w:textAlignment w:val="baseline"/>
        <w:rPr>
          <w:rFonts w:ascii="宋体" w:hAnsi="宋体" w:cs="等线"/>
          <w:kern w:val="0"/>
          <w:sz w:val="24"/>
          <w:szCs w:val="21"/>
          <w:highlight w:val="none"/>
        </w:rPr>
      </w:pPr>
      <w:r>
        <w:rPr>
          <w:rFonts w:hint="eastAsia" w:ascii="宋体" w:hAnsi="宋体" w:cs="等线"/>
          <w:kern w:val="0"/>
          <w:sz w:val="24"/>
          <w:szCs w:val="21"/>
          <w:highlight w:val="none"/>
        </w:rPr>
        <w:t>2</w:t>
      </w:r>
      <w:r>
        <w:rPr>
          <w:rFonts w:ascii="宋体" w:hAnsi="宋体" w:cs="等线"/>
          <w:kern w:val="0"/>
          <w:sz w:val="24"/>
          <w:szCs w:val="21"/>
          <w:highlight w:val="none"/>
        </w:rPr>
        <w:t>.</w:t>
      </w:r>
      <w:r>
        <w:rPr>
          <w:rFonts w:hint="eastAsia" w:ascii="宋体" w:hAnsi="宋体" w:cs="等线"/>
          <w:kern w:val="0"/>
          <w:sz w:val="24"/>
          <w:szCs w:val="21"/>
          <w:highlight w:val="none"/>
        </w:rPr>
        <w:t>对于虚拟</w:t>
      </w:r>
      <w:r>
        <w:rPr>
          <w:rFonts w:ascii="宋体" w:hAnsi="宋体" w:cs="等线"/>
          <w:kern w:val="0"/>
          <w:sz w:val="24"/>
          <w:szCs w:val="21"/>
          <w:highlight w:val="none"/>
        </w:rPr>
        <w:t>CPU、内存、存储等云主机资源和网络策略的调整，自提出明确需求至完成调整时间不超过4小时，重点保障时期云主机资源调整时间不超过2小时。针对重点保障时期的重要信息系统</w:t>
      </w:r>
      <w:r>
        <w:rPr>
          <w:rFonts w:hint="eastAsia" w:ascii="宋体" w:hAnsi="宋体" w:cs="等线"/>
          <w:kern w:val="0"/>
          <w:sz w:val="24"/>
          <w:szCs w:val="21"/>
          <w:highlight w:val="none"/>
        </w:rPr>
        <w:t>（根据采购人相关要求确定）的</w:t>
      </w:r>
      <w:r>
        <w:rPr>
          <w:rFonts w:ascii="宋体" w:hAnsi="宋体" w:cs="等线"/>
          <w:kern w:val="0"/>
          <w:sz w:val="24"/>
          <w:szCs w:val="21"/>
          <w:highlight w:val="none"/>
        </w:rPr>
        <w:t>云主机，投标人应按采购人要求进行实时监控，超过预警阈值时主动上调云资源，并第一时间通知采购人进行相应操作，确保系统平稳运行。</w:t>
      </w:r>
    </w:p>
    <w:p>
      <w:pPr>
        <w:tabs>
          <w:tab w:val="left" w:pos="1162"/>
        </w:tabs>
        <w:adjustRightInd w:val="0"/>
        <w:snapToGrid w:val="0"/>
        <w:ind w:firstLine="480" w:firstLineChars="200"/>
        <w:textAlignment w:val="baseline"/>
        <w:rPr>
          <w:rFonts w:ascii="宋体" w:hAnsi="宋体" w:cs="等线"/>
          <w:kern w:val="0"/>
          <w:sz w:val="24"/>
          <w:szCs w:val="21"/>
          <w:highlight w:val="none"/>
        </w:rPr>
      </w:pPr>
      <w:r>
        <w:rPr>
          <w:rFonts w:hint="eastAsia" w:ascii="宋体" w:hAnsi="宋体" w:cs="等线"/>
          <w:kern w:val="0"/>
          <w:sz w:val="24"/>
          <w:szCs w:val="21"/>
          <w:highlight w:val="none"/>
        </w:rPr>
        <w:t>3</w:t>
      </w:r>
      <w:r>
        <w:rPr>
          <w:rFonts w:ascii="宋体" w:hAnsi="宋体" w:cs="等线"/>
          <w:kern w:val="0"/>
          <w:sz w:val="24"/>
          <w:szCs w:val="21"/>
          <w:highlight w:val="none"/>
        </w:rPr>
        <w:t>.</w:t>
      </w:r>
      <w:r>
        <w:rPr>
          <w:rFonts w:hint="eastAsia" w:ascii="宋体" w:hAnsi="宋体" w:cs="等线"/>
          <w:kern w:val="0"/>
          <w:sz w:val="24"/>
          <w:szCs w:val="21"/>
          <w:highlight w:val="none"/>
        </w:rPr>
        <w:t>投标人应具备故障快速响应、定位和恢复能力，入云系统发生故障时，应在</w:t>
      </w:r>
      <w:r>
        <w:rPr>
          <w:rFonts w:ascii="宋体" w:hAnsi="宋体" w:cs="等线"/>
          <w:kern w:val="0"/>
          <w:sz w:val="24"/>
          <w:szCs w:val="21"/>
          <w:highlight w:val="none"/>
        </w:rPr>
        <w:t>30分钟内响应，响应后故障定位排除时限不超过30</w:t>
      </w:r>
      <w:r>
        <w:rPr>
          <w:rFonts w:hint="eastAsia" w:ascii="宋体" w:hAnsi="宋体" w:cs="等线"/>
          <w:kern w:val="0"/>
          <w:sz w:val="24"/>
          <w:szCs w:val="21"/>
          <w:highlight w:val="none"/>
        </w:rPr>
        <w:t>分钟，其中重要信息系统故障响应后的定位排除时限不超过</w:t>
      </w:r>
      <w:r>
        <w:rPr>
          <w:rFonts w:ascii="宋体" w:hAnsi="宋体" w:cs="等线"/>
          <w:kern w:val="0"/>
          <w:sz w:val="24"/>
          <w:szCs w:val="21"/>
          <w:highlight w:val="none"/>
        </w:rPr>
        <w:t>10</w:t>
      </w:r>
      <w:r>
        <w:rPr>
          <w:rFonts w:hint="eastAsia" w:ascii="宋体" w:hAnsi="宋体" w:cs="等线"/>
          <w:kern w:val="0"/>
          <w:sz w:val="24"/>
          <w:szCs w:val="21"/>
          <w:highlight w:val="none"/>
        </w:rPr>
        <w:t>分钟，整体需在</w:t>
      </w:r>
      <w:r>
        <w:rPr>
          <w:rFonts w:ascii="宋体" w:hAnsi="宋体" w:cs="等线"/>
          <w:kern w:val="0"/>
          <w:sz w:val="24"/>
          <w:szCs w:val="21"/>
          <w:highlight w:val="none"/>
        </w:rPr>
        <w:t>4个小时之内使系统恢复正常，故障处理完毕后需提供相关系统故障报告。</w:t>
      </w:r>
    </w:p>
    <w:p>
      <w:pPr>
        <w:tabs>
          <w:tab w:val="left" w:pos="1162"/>
        </w:tabs>
        <w:adjustRightInd w:val="0"/>
        <w:snapToGrid w:val="0"/>
        <w:ind w:firstLine="480" w:firstLineChars="200"/>
        <w:textAlignment w:val="baseline"/>
        <w:rPr>
          <w:rFonts w:ascii="宋体" w:hAnsi="宋体" w:cs="等线"/>
          <w:kern w:val="0"/>
          <w:sz w:val="24"/>
          <w:szCs w:val="21"/>
          <w:highlight w:val="none"/>
        </w:rPr>
      </w:pPr>
      <w:r>
        <w:rPr>
          <w:rFonts w:hint="eastAsia" w:ascii="宋体" w:hAnsi="宋体" w:cs="等线"/>
          <w:kern w:val="0"/>
          <w:sz w:val="24"/>
          <w:szCs w:val="21"/>
          <w:highlight w:val="none"/>
        </w:rPr>
        <w:t>4</w:t>
      </w:r>
      <w:r>
        <w:rPr>
          <w:rFonts w:ascii="宋体" w:hAnsi="宋体" w:cs="等线"/>
          <w:kern w:val="0"/>
          <w:sz w:val="24"/>
          <w:szCs w:val="21"/>
          <w:highlight w:val="none"/>
        </w:rPr>
        <w:t>.</w:t>
      </w:r>
      <w:r>
        <w:rPr>
          <w:rFonts w:hint="eastAsia" w:ascii="宋体" w:hAnsi="宋体" w:cs="等线"/>
          <w:kern w:val="0"/>
          <w:sz w:val="24"/>
          <w:szCs w:val="21"/>
          <w:highlight w:val="none"/>
        </w:rPr>
        <w:t>政务云出现故障时</w:t>
      </w:r>
      <w:bookmarkStart w:id="12" w:name="OLE_LINK6"/>
      <w:r>
        <w:rPr>
          <w:rFonts w:hint="eastAsia" w:ascii="宋体" w:hAnsi="宋体" w:cs="等线"/>
          <w:kern w:val="0"/>
          <w:sz w:val="24"/>
          <w:szCs w:val="21"/>
          <w:highlight w:val="none"/>
        </w:rPr>
        <w:t>，平均响应时间小于等于</w:t>
      </w:r>
      <w:r>
        <w:rPr>
          <w:rFonts w:hint="eastAsia" w:ascii="宋体" w:hAnsi="宋体" w:cs="等线"/>
          <w:kern w:val="0"/>
          <w:sz w:val="24"/>
          <w:szCs w:val="21"/>
          <w:highlight w:val="none"/>
          <w:lang w:val="en-US" w:eastAsia="zh-CN"/>
        </w:rPr>
        <w:t>15</w:t>
      </w:r>
      <w:r>
        <w:rPr>
          <w:rFonts w:ascii="宋体" w:hAnsi="宋体" w:cs="等线"/>
          <w:kern w:val="0"/>
          <w:sz w:val="24"/>
          <w:szCs w:val="21"/>
          <w:highlight w:val="none"/>
        </w:rPr>
        <w:t>分钟，平均故障恢复时间小于等于</w:t>
      </w:r>
      <w:r>
        <w:rPr>
          <w:rFonts w:hint="eastAsia" w:ascii="宋体" w:hAnsi="宋体" w:cs="等线"/>
          <w:kern w:val="0"/>
          <w:sz w:val="24"/>
          <w:szCs w:val="21"/>
          <w:highlight w:val="none"/>
          <w:lang w:val="en-US" w:eastAsia="zh-CN"/>
        </w:rPr>
        <w:t>30分钟</w:t>
      </w:r>
      <w:r>
        <w:rPr>
          <w:rFonts w:ascii="宋体" w:hAnsi="宋体" w:cs="等线"/>
          <w:kern w:val="0"/>
          <w:sz w:val="24"/>
          <w:szCs w:val="21"/>
          <w:highlight w:val="none"/>
        </w:rPr>
        <w:t>。</w:t>
      </w:r>
      <w:bookmarkEnd w:id="12"/>
      <w:r>
        <w:rPr>
          <w:rFonts w:hint="eastAsia" w:ascii="宋体" w:hAnsi="宋体" w:cs="等线"/>
          <w:kern w:val="0"/>
          <w:sz w:val="24"/>
          <w:szCs w:val="21"/>
          <w:highlight w:val="none"/>
        </w:rPr>
        <w:t>出现故障时应第一时间通知采购人，并及时反馈处置结果，故障结束后应提交相应的应急处置报告。</w:t>
      </w:r>
    </w:p>
    <w:p>
      <w:pPr>
        <w:keepNext/>
        <w:numPr>
          <w:ilvl w:val="3"/>
          <w:numId w:val="1"/>
        </w:numPr>
        <w:adjustRightInd w:val="0"/>
        <w:snapToGrid w:val="0"/>
        <w:ind w:firstLine="480" w:firstLineChars="200"/>
        <w:outlineLvl w:val="3"/>
        <w:rPr>
          <w:rFonts w:ascii="宋体" w:hAnsi="宋体" w:cs="宋体"/>
          <w:sz w:val="24"/>
          <w:szCs w:val="22"/>
          <w:highlight w:val="none"/>
        </w:rPr>
      </w:pPr>
      <w:r>
        <w:rPr>
          <w:rFonts w:ascii="宋体" w:hAnsi="宋体" w:cs="宋体"/>
          <w:sz w:val="24"/>
          <w:szCs w:val="22"/>
          <w:highlight w:val="none"/>
        </w:rPr>
        <w:t>重点保障要求</w:t>
      </w:r>
    </w:p>
    <w:p>
      <w:pPr>
        <w:adjustRightInd w:val="0"/>
        <w:snapToGrid w:val="0"/>
        <w:ind w:firstLine="480" w:firstLineChars="200"/>
        <w:textAlignment w:val="baseline"/>
        <w:rPr>
          <w:rFonts w:ascii="宋体" w:hAnsi="宋体" w:cs="等线"/>
          <w:kern w:val="0"/>
          <w:sz w:val="24"/>
          <w:szCs w:val="21"/>
          <w:highlight w:val="none"/>
        </w:rPr>
      </w:pPr>
      <w:r>
        <w:rPr>
          <w:rFonts w:hint="eastAsia" w:ascii="宋体" w:hAnsi="宋体" w:cs="等线"/>
          <w:kern w:val="0"/>
          <w:sz w:val="24"/>
          <w:szCs w:val="21"/>
          <w:highlight w:val="none"/>
        </w:rPr>
        <w:t>投标人应具备完善的系统服务保障体系，配备足够的技术人员，在重大节假日、重大活动及业务高峰期内加大运维保障力度，保证期间系统平稳运行。重保阶段的重要系统保障满足需要的900MB带宽独享，提供多运营商、多链路的带宽服务，并可灵活调整。</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 xml:space="preserve"> 服务标准</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8.2.1 为保障业务高峰期内系统平稳运行，缓解系统高峰期内因业务发生量增大而带来系统压力风险，要求投标人根据业务周期性特点，加大运维保障力度，保证在业务高峰期内系统平稳运行。</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8.2.2 重点保障时期重要信息系统云主机资源调整时间不超过1小时，针对重点保障时期的重要信息系统重要云主机，投标人应按采购人要求进行实时监控，超过预警阈值时主动上调云资源，并第一时间通知采购人进行相应操作，确保系统平稳运行。</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8.2.3按照国家、北京市相关规定和信息安全技术标准及规范要求,落实安全保障措施,通过信息安全测评机构的测评和政务云安全审查。</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8.2.4 除不可抗力或计划内维护作业造成的政务云服务中断外,政务云实行24小时不间断运行。</w:t>
      </w:r>
    </w:p>
    <w:p>
      <w:pPr>
        <w:keepNext/>
        <w:numPr>
          <w:ilvl w:val="1"/>
          <w:numId w:val="1"/>
        </w:numPr>
        <w:adjustRightInd w:val="0"/>
        <w:snapToGrid w:val="0"/>
        <w:ind w:left="0" w:firstLine="482" w:firstLineChars="200"/>
        <w:outlineLvl w:val="1"/>
        <w:rPr>
          <w:rFonts w:ascii="Arial" w:hAnsi="Arial"/>
          <w:b/>
          <w:sz w:val="24"/>
          <w:szCs w:val="22"/>
          <w:highlight w:val="none"/>
        </w:rPr>
      </w:pPr>
      <w:r>
        <w:rPr>
          <w:rFonts w:ascii="Arial" w:hAnsi="Arial"/>
          <w:b/>
          <w:sz w:val="24"/>
          <w:szCs w:val="22"/>
          <w:highlight w:val="none"/>
        </w:rPr>
        <w:t>迁移</w:t>
      </w:r>
      <w:r>
        <w:rPr>
          <w:rFonts w:hint="eastAsia" w:ascii="Arial" w:hAnsi="Arial"/>
          <w:b/>
          <w:sz w:val="24"/>
          <w:szCs w:val="22"/>
          <w:highlight w:val="none"/>
        </w:rPr>
        <w:t>服务</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服务内容</w:t>
      </w:r>
    </w:p>
    <w:p>
      <w:pPr>
        <w:adjustRightInd w:val="0"/>
        <w:snapToGrid w:val="0"/>
        <w:ind w:firstLine="480" w:firstLineChars="200"/>
        <w:rPr>
          <w:rFonts w:hint="eastAsia" w:ascii="宋体" w:hAnsi="宋体"/>
          <w:sz w:val="24"/>
          <w:szCs w:val="22"/>
          <w:highlight w:val="none"/>
        </w:rPr>
      </w:pPr>
      <w:r>
        <w:rPr>
          <w:rFonts w:ascii="宋体" w:hAnsi="宋体"/>
          <w:sz w:val="24"/>
          <w:szCs w:val="22"/>
          <w:highlight w:val="none"/>
        </w:rPr>
        <w:t>投标人需提供整体的业务上云迁移服务，应支持X86云主机迁移、X86物理主机迁移、单机数据库迁移、高可用数据库迁移等迁移场景。</w:t>
      </w:r>
      <w:r>
        <w:rPr>
          <w:rFonts w:hint="eastAsia" w:ascii="宋体" w:hAnsi="宋体"/>
          <w:sz w:val="24"/>
          <w:szCs w:val="22"/>
          <w:highlight w:val="none"/>
        </w:rPr>
        <w:t>提供信创环境迁移服务。</w:t>
      </w:r>
      <w:r>
        <w:rPr>
          <w:rFonts w:ascii="宋体" w:hAnsi="宋体"/>
          <w:sz w:val="24"/>
          <w:szCs w:val="22"/>
          <w:highlight w:val="none"/>
        </w:rPr>
        <w:t>负责需求调研、架构规划设计、应用迁移部署等工作。</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hint="eastAsia" w:ascii="宋体" w:hAnsi="宋体"/>
          <w:b/>
          <w:sz w:val="24"/>
          <w:szCs w:val="22"/>
          <w:highlight w:val="none"/>
        </w:rPr>
        <w:t>服务标准</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本项目涉及的业务系统为采购人在用的生产系统，目前在北京市政务云上平稳运行，因此业务连续性是首要的保障需求。迁移服务具体要求如下：</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9.2.1 投标人需编制业务连续性服务方案。</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9.2.2 本项目如涉及系统迁移，在连续性服务方案中需提供确实可行的迁移部署服务子方案，迁移部署服务子方案应包括（但不限于）迁移部署流程（包含但不限于应用、虚拟机和数据类迁移）、业务系统部署迁移方案。迁移部署服务子方案应明确需要采购人配合的具体工作内容及时长，针对系统迁移过程中容易造成业务系统中断的环节，包含但不限于互联网及政务外网IP变更割接、业务数据同步及切换上线、应急回退方案等，进行风险评估，提出详细解决方案。</w:t>
      </w:r>
    </w:p>
    <w:p>
      <w:pPr>
        <w:adjustRightInd w:val="0"/>
        <w:snapToGrid w:val="0"/>
        <w:ind w:firstLine="480" w:firstLineChars="200"/>
        <w:rPr>
          <w:rFonts w:hint="eastAsia" w:ascii="宋体" w:hAnsi="宋体" w:cs="宋体"/>
          <w:sz w:val="24"/>
          <w:szCs w:val="22"/>
          <w:highlight w:val="none"/>
        </w:rPr>
      </w:pPr>
      <w:r>
        <w:rPr>
          <w:rFonts w:hint="eastAsia" w:ascii="宋体" w:hAnsi="宋体" w:cs="宋体"/>
          <w:sz w:val="24"/>
          <w:szCs w:val="22"/>
          <w:highlight w:val="none"/>
        </w:rPr>
        <w:t>9.2.3 本项目如涉及系统迁移，为保障业务系统的连续性，投标人应承诺自中标之日起，积极与原服务商对接，在5个工作日内，完成系统迁移平滑过渡，且因此产生的各项费用（包括但不限于测试阶段的云资源费用，系统开发商对业务系统的部署、调试费用等），应包含在投标人的报价中，提供“承诺函”并加盖投标人公章。</w:t>
      </w:r>
    </w:p>
    <w:p>
      <w:pPr>
        <w:keepNext/>
        <w:numPr>
          <w:ilvl w:val="0"/>
          <w:numId w:val="1"/>
        </w:numPr>
        <w:adjustRightInd w:val="0"/>
        <w:snapToGrid w:val="0"/>
        <w:ind w:firstLine="562" w:firstLineChars="200"/>
        <w:outlineLvl w:val="0"/>
        <w:rPr>
          <w:rFonts w:hint="eastAsia" w:ascii="宋体" w:hAnsi="宋体"/>
          <w:b/>
          <w:kern w:val="44"/>
          <w:sz w:val="28"/>
          <w:szCs w:val="22"/>
          <w:highlight w:val="none"/>
        </w:rPr>
      </w:pPr>
      <w:r>
        <w:rPr>
          <w:rFonts w:hint="eastAsia" w:ascii="宋体" w:hAnsi="宋体"/>
          <w:b/>
          <w:kern w:val="44"/>
          <w:sz w:val="28"/>
          <w:szCs w:val="22"/>
          <w:highlight w:val="none"/>
        </w:rPr>
        <w:t xml:space="preserve"> 运维</w:t>
      </w:r>
      <w:r>
        <w:rPr>
          <w:rFonts w:ascii="宋体" w:hAnsi="宋体"/>
          <w:b/>
          <w:kern w:val="44"/>
          <w:sz w:val="28"/>
          <w:szCs w:val="22"/>
          <w:highlight w:val="none"/>
        </w:rPr>
        <w:t>团队要求</w:t>
      </w:r>
    </w:p>
    <w:p>
      <w:pPr>
        <w:tabs>
          <w:tab w:val="left" w:pos="1162"/>
        </w:tabs>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服务期内，投标人须设有7×24小时电话响应服务、具备运维团队，提供售后服务保障。团队成员应明确职责，架构清晰，岗位设置合理，且具备与本项目相关的项目经验。</w:t>
      </w:r>
    </w:p>
    <w:p>
      <w:pPr>
        <w:tabs>
          <w:tab w:val="left" w:pos="1162"/>
        </w:tabs>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投标人须提供项目经理</w:t>
      </w:r>
      <w:r>
        <w:rPr>
          <w:rFonts w:ascii="宋体" w:hAnsi="宋体" w:cs="等线"/>
          <w:kern w:val="0"/>
          <w:sz w:val="24"/>
          <w:szCs w:val="21"/>
          <w:highlight w:val="none"/>
        </w:rPr>
        <w:t>1人、技术负责人1人以及相应实施人员，项目团队人员8人（含项目经理和技术负责人）及以上</w:t>
      </w:r>
      <w:r>
        <w:rPr>
          <w:rFonts w:hint="eastAsia" w:ascii="宋体" w:hAnsi="宋体" w:cs="等线"/>
          <w:kern w:val="0"/>
          <w:sz w:val="24"/>
          <w:szCs w:val="21"/>
          <w:highlight w:val="none"/>
        </w:rPr>
        <w:t>。为本项目提供服务。要求如下：</w:t>
      </w:r>
    </w:p>
    <w:p>
      <w:pPr>
        <w:tabs>
          <w:tab w:val="left" w:pos="1162"/>
        </w:tabs>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项目经理具备5年及以上类似工作经验，且具有信息系统项目管理师（高级）证书或高级职称等同类证书。</w:t>
      </w:r>
    </w:p>
    <w:p>
      <w:pPr>
        <w:tabs>
          <w:tab w:val="left" w:pos="1162"/>
        </w:tabs>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技术负责人具备5年及以上类似工作经验，且具有CISP（注册信息安全专业人员）等同类证书</w:t>
      </w:r>
      <w:r>
        <w:rPr>
          <w:rFonts w:ascii="宋体" w:hAnsi="宋体" w:cs="等线"/>
          <w:kern w:val="0"/>
          <w:sz w:val="24"/>
          <w:szCs w:val="21"/>
          <w:highlight w:val="none"/>
        </w:rPr>
        <w:t>。</w:t>
      </w:r>
    </w:p>
    <w:p>
      <w:pPr>
        <w:tabs>
          <w:tab w:val="left" w:pos="1162"/>
        </w:tabs>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团队成员（除项目经理和技术负责人之外）具有</w:t>
      </w:r>
      <w:r>
        <w:rPr>
          <w:rFonts w:ascii="宋体" w:hAnsi="宋体" w:cs="等线"/>
          <w:kern w:val="0"/>
          <w:sz w:val="24"/>
          <w:szCs w:val="21"/>
          <w:highlight w:val="none"/>
        </w:rPr>
        <w:t>CISP</w:t>
      </w:r>
      <w:r>
        <w:rPr>
          <w:rFonts w:hint="eastAsia" w:ascii="宋体" w:hAnsi="宋体" w:cs="等线"/>
          <w:kern w:val="0"/>
          <w:sz w:val="24"/>
          <w:szCs w:val="21"/>
          <w:highlight w:val="none"/>
        </w:rPr>
        <w:t>等同类</w:t>
      </w:r>
      <w:r>
        <w:rPr>
          <w:rFonts w:ascii="宋体" w:hAnsi="宋体" w:cs="等线"/>
          <w:kern w:val="0"/>
          <w:sz w:val="24"/>
          <w:szCs w:val="21"/>
          <w:highlight w:val="none"/>
        </w:rPr>
        <w:t>证书。</w:t>
      </w:r>
    </w:p>
    <w:p>
      <w:pPr>
        <w:adjustRightInd w:val="0"/>
        <w:snapToGrid w:val="0"/>
        <w:ind w:firstLine="480" w:firstLineChars="200"/>
        <w:textAlignment w:val="baseline"/>
        <w:rPr>
          <w:rFonts w:hint="eastAsia" w:ascii="宋体" w:hAnsi="宋体" w:cs="等线"/>
          <w:kern w:val="0"/>
          <w:sz w:val="24"/>
          <w:szCs w:val="21"/>
          <w:highlight w:val="none"/>
        </w:rPr>
      </w:pPr>
      <w:r>
        <w:rPr>
          <w:rFonts w:hint="eastAsia" w:ascii="宋体" w:hAnsi="宋体" w:cs="等线"/>
          <w:kern w:val="0"/>
          <w:sz w:val="24"/>
          <w:szCs w:val="21"/>
          <w:highlight w:val="none"/>
        </w:rPr>
        <w:t>项目技术负责人应是专职负责人，在服务期内不可更换。</w:t>
      </w:r>
      <w:r>
        <w:rPr>
          <w:rFonts w:ascii="宋体" w:hAnsi="宋体" w:cs="等线"/>
          <w:kern w:val="0"/>
          <w:sz w:val="24"/>
          <w:szCs w:val="21"/>
          <w:highlight w:val="none"/>
        </w:rPr>
        <w:t>项目成员如有变化，需提前</w:t>
      </w:r>
      <w:r>
        <w:rPr>
          <w:rFonts w:hint="eastAsia" w:ascii="宋体" w:hAnsi="宋体" w:cs="等线"/>
          <w:kern w:val="0"/>
          <w:sz w:val="24"/>
          <w:szCs w:val="21"/>
          <w:highlight w:val="none"/>
        </w:rPr>
        <w:t>一个月</w:t>
      </w:r>
      <w:r>
        <w:rPr>
          <w:rFonts w:ascii="宋体" w:hAnsi="宋体" w:cs="等线"/>
          <w:kern w:val="0"/>
          <w:sz w:val="24"/>
          <w:szCs w:val="21"/>
          <w:highlight w:val="none"/>
        </w:rPr>
        <w:t>通知采购人。</w:t>
      </w:r>
    </w:p>
    <w:p>
      <w:pPr>
        <w:keepNext/>
        <w:numPr>
          <w:ilvl w:val="0"/>
          <w:numId w:val="1"/>
        </w:numPr>
        <w:adjustRightInd w:val="0"/>
        <w:snapToGrid w:val="0"/>
        <w:ind w:firstLine="562" w:firstLineChars="200"/>
        <w:outlineLvl w:val="0"/>
        <w:rPr>
          <w:rFonts w:hint="eastAsia" w:ascii="宋体" w:hAnsi="宋体"/>
          <w:b/>
          <w:kern w:val="44"/>
          <w:sz w:val="28"/>
          <w:szCs w:val="22"/>
          <w:highlight w:val="none"/>
        </w:rPr>
      </w:pPr>
      <w:r>
        <w:rPr>
          <w:rFonts w:hint="eastAsia" w:ascii="宋体" w:hAnsi="宋体"/>
          <w:b/>
          <w:kern w:val="44"/>
          <w:sz w:val="28"/>
          <w:szCs w:val="22"/>
          <w:highlight w:val="none"/>
        </w:rPr>
        <w:t xml:space="preserve"> 商务要求</w:t>
      </w:r>
    </w:p>
    <w:p>
      <w:pPr>
        <w:keepNext/>
        <w:numPr>
          <w:ilvl w:val="1"/>
          <w:numId w:val="1"/>
        </w:numPr>
        <w:adjustRightInd w:val="0"/>
        <w:snapToGrid w:val="0"/>
        <w:ind w:left="0" w:firstLine="482" w:firstLineChars="200"/>
        <w:outlineLvl w:val="1"/>
        <w:rPr>
          <w:rFonts w:ascii="Arial" w:hAnsi="Arial"/>
          <w:b/>
          <w:sz w:val="24"/>
          <w:szCs w:val="22"/>
          <w:highlight w:val="none"/>
        </w:rPr>
      </w:pPr>
      <w:r>
        <w:rPr>
          <w:rFonts w:ascii="Arial" w:hAnsi="Arial"/>
          <w:b/>
          <w:sz w:val="24"/>
          <w:szCs w:val="22"/>
          <w:highlight w:val="none"/>
        </w:rPr>
        <w:t>服务地点</w:t>
      </w:r>
    </w:p>
    <w:p>
      <w:pPr>
        <w:adjustRightInd w:val="0"/>
        <w:snapToGrid w:val="0"/>
        <w:ind w:firstLine="480" w:firstLineChars="200"/>
        <w:rPr>
          <w:rFonts w:hint="eastAsia" w:ascii="宋体" w:hAnsi="宋体"/>
          <w:sz w:val="24"/>
          <w:szCs w:val="22"/>
          <w:highlight w:val="none"/>
        </w:rPr>
      </w:pPr>
      <w:r>
        <w:rPr>
          <w:rFonts w:hint="eastAsia" w:ascii="宋体" w:hAnsi="宋体"/>
          <w:sz w:val="24"/>
          <w:szCs w:val="22"/>
          <w:highlight w:val="none"/>
        </w:rPr>
        <w:t>北京市政务云机房及采购人办公地现场。</w:t>
      </w:r>
    </w:p>
    <w:p>
      <w:pPr>
        <w:keepNext/>
        <w:numPr>
          <w:ilvl w:val="1"/>
          <w:numId w:val="1"/>
        </w:numPr>
        <w:adjustRightInd w:val="0"/>
        <w:snapToGrid w:val="0"/>
        <w:ind w:left="0" w:firstLine="482" w:firstLineChars="200"/>
        <w:outlineLvl w:val="1"/>
        <w:rPr>
          <w:rFonts w:ascii="Arial" w:hAnsi="Arial"/>
          <w:b/>
          <w:sz w:val="24"/>
          <w:szCs w:val="22"/>
          <w:highlight w:val="none"/>
        </w:rPr>
      </w:pPr>
      <w:r>
        <w:rPr>
          <w:rFonts w:ascii="Arial" w:hAnsi="Arial"/>
          <w:b/>
          <w:sz w:val="24"/>
          <w:szCs w:val="22"/>
          <w:highlight w:val="none"/>
        </w:rPr>
        <w:t>服务期限</w:t>
      </w:r>
    </w:p>
    <w:p>
      <w:pPr>
        <w:adjustRightInd w:val="0"/>
        <w:snapToGrid w:val="0"/>
        <w:ind w:firstLine="480" w:firstLineChars="200"/>
        <w:rPr>
          <w:rFonts w:hint="eastAsia" w:ascii="宋体" w:hAnsi="宋体"/>
          <w:sz w:val="24"/>
          <w:szCs w:val="22"/>
          <w:highlight w:val="none"/>
        </w:rPr>
      </w:pPr>
      <w:r>
        <w:rPr>
          <w:rFonts w:ascii="宋体" w:hAnsi="宋体"/>
          <w:sz w:val="24"/>
          <w:szCs w:val="22"/>
          <w:highlight w:val="none"/>
        </w:rPr>
        <w:t>自合同签订之日起</w:t>
      </w:r>
      <w:r>
        <w:rPr>
          <w:rFonts w:hint="eastAsia" w:ascii="宋体" w:hAnsi="宋体"/>
          <w:sz w:val="24"/>
          <w:szCs w:val="22"/>
          <w:highlight w:val="none"/>
        </w:rPr>
        <w:t>12个</w:t>
      </w:r>
      <w:r>
        <w:rPr>
          <w:rFonts w:ascii="宋体" w:hAnsi="宋体"/>
          <w:sz w:val="24"/>
          <w:szCs w:val="22"/>
          <w:highlight w:val="none"/>
        </w:rPr>
        <w:t>月</w:t>
      </w:r>
      <w:r>
        <w:rPr>
          <w:rFonts w:hint="eastAsia" w:ascii="宋体" w:hAnsi="宋体"/>
          <w:sz w:val="24"/>
          <w:szCs w:val="22"/>
          <w:highlight w:val="none"/>
        </w:rPr>
        <w:t>。</w:t>
      </w:r>
    </w:p>
    <w:p>
      <w:pPr>
        <w:keepNext/>
        <w:numPr>
          <w:ilvl w:val="1"/>
          <w:numId w:val="1"/>
        </w:numPr>
        <w:adjustRightInd w:val="0"/>
        <w:snapToGrid w:val="0"/>
        <w:ind w:left="0" w:firstLine="482" w:firstLineChars="200"/>
        <w:outlineLvl w:val="1"/>
        <w:rPr>
          <w:rFonts w:hint="eastAsia" w:ascii="Arial" w:hAnsi="Arial"/>
          <w:b/>
          <w:sz w:val="24"/>
          <w:szCs w:val="22"/>
          <w:highlight w:val="none"/>
        </w:rPr>
      </w:pPr>
      <w:r>
        <w:rPr>
          <w:rFonts w:hint="eastAsia" w:ascii="Arial" w:hAnsi="Arial"/>
          <w:b/>
          <w:sz w:val="24"/>
          <w:szCs w:val="22"/>
          <w:highlight w:val="none"/>
        </w:rPr>
        <w:t>服务费用及支付方式</w:t>
      </w:r>
    </w:p>
    <w:p>
      <w:pPr>
        <w:adjustRightInd w:val="0"/>
        <w:snapToGrid w:val="0"/>
        <w:ind w:firstLine="480" w:firstLineChars="200"/>
        <w:rPr>
          <w:rFonts w:hint="eastAsia" w:ascii="宋体" w:hAnsi="宋体"/>
          <w:sz w:val="24"/>
          <w:szCs w:val="22"/>
          <w:highlight w:val="none"/>
        </w:rPr>
      </w:pPr>
      <w:r>
        <w:rPr>
          <w:rFonts w:hint="eastAsia" w:ascii="宋体" w:hAnsi="宋体"/>
          <w:sz w:val="24"/>
          <w:szCs w:val="22"/>
          <w:highlight w:val="none"/>
        </w:rPr>
        <w:t>1标的费用共计人民币小写：886.3万元。</w:t>
      </w:r>
    </w:p>
    <w:p>
      <w:pPr>
        <w:adjustRightInd w:val="0"/>
        <w:snapToGrid w:val="0"/>
        <w:ind w:firstLine="480" w:firstLineChars="200"/>
        <w:rPr>
          <w:rFonts w:hint="eastAsia" w:ascii="宋体" w:hAnsi="宋体"/>
          <w:sz w:val="24"/>
          <w:szCs w:val="22"/>
          <w:highlight w:val="none"/>
        </w:rPr>
      </w:pPr>
      <w:r>
        <w:rPr>
          <w:rFonts w:hint="eastAsia" w:ascii="宋体" w:hAnsi="宋体"/>
          <w:sz w:val="24"/>
          <w:szCs w:val="22"/>
          <w:highlight w:val="none"/>
        </w:rPr>
        <w:t>2合同签订后20个工作日内投标人向采购人提供合同金额80%的增值税普通发票，采购人收到发票后向投标人支付合同金额的80%。</w:t>
      </w:r>
    </w:p>
    <w:p>
      <w:pPr>
        <w:adjustRightInd w:val="0"/>
        <w:snapToGrid w:val="0"/>
        <w:ind w:firstLine="480" w:firstLineChars="200"/>
        <w:rPr>
          <w:rFonts w:hint="eastAsia" w:ascii="宋体" w:hAnsi="宋体"/>
          <w:sz w:val="24"/>
          <w:szCs w:val="22"/>
          <w:highlight w:val="none"/>
        </w:rPr>
      </w:pPr>
      <w:r>
        <w:rPr>
          <w:rFonts w:hint="eastAsia" w:ascii="宋体" w:hAnsi="宋体"/>
          <w:sz w:val="24"/>
          <w:szCs w:val="22"/>
          <w:highlight w:val="none"/>
        </w:rPr>
        <w:t>3年底前，投标人向采购人提交已完成工作的总结报告和服务成果，提供合同金额20%的增值税普通发票，采购人确认工作成果并收到发票后向投标人支付合同尾款。</w:t>
      </w:r>
    </w:p>
    <w:p>
      <w:pPr>
        <w:adjustRightInd w:val="0"/>
        <w:snapToGrid w:val="0"/>
        <w:ind w:firstLine="480" w:firstLineChars="200"/>
        <w:rPr>
          <w:rFonts w:hint="eastAsia" w:ascii="宋体" w:hAnsi="宋体"/>
          <w:sz w:val="24"/>
          <w:szCs w:val="22"/>
          <w:highlight w:val="none"/>
        </w:rPr>
      </w:pPr>
      <w:r>
        <w:rPr>
          <w:rFonts w:hint="eastAsia" w:ascii="宋体" w:hAnsi="宋体"/>
          <w:sz w:val="24"/>
          <w:szCs w:val="22"/>
          <w:highlight w:val="none"/>
        </w:rPr>
        <w:t>4投标人应在每次付款前向采购人交付等额的法定正规发票。发票应符合开具时国家法律法规及政策对发票类型、税种、税率的相关要求。所开具的发票不符合约定的，采购人有权延期付款，且无需承担违约责任。</w:t>
      </w:r>
    </w:p>
    <w:p>
      <w:pPr>
        <w:keepNext/>
        <w:numPr>
          <w:ilvl w:val="1"/>
          <w:numId w:val="1"/>
        </w:numPr>
        <w:adjustRightInd w:val="0"/>
        <w:snapToGrid w:val="0"/>
        <w:ind w:left="0" w:firstLine="482" w:firstLineChars="200"/>
        <w:outlineLvl w:val="1"/>
        <w:rPr>
          <w:rFonts w:ascii="Arial" w:hAnsi="Arial"/>
          <w:b/>
          <w:sz w:val="24"/>
          <w:szCs w:val="22"/>
          <w:highlight w:val="none"/>
        </w:rPr>
      </w:pPr>
      <w:r>
        <w:rPr>
          <w:rFonts w:ascii="Arial" w:hAnsi="Arial"/>
          <w:b/>
          <w:sz w:val="24"/>
          <w:szCs w:val="22"/>
          <w:highlight w:val="none"/>
        </w:rPr>
        <w:t>验收服务标准</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ascii="宋体" w:hAnsi="宋体"/>
          <w:b/>
          <w:sz w:val="24"/>
          <w:szCs w:val="22"/>
          <w:highlight w:val="none"/>
        </w:rPr>
        <w:t>服务绩效指标</w:t>
      </w:r>
    </w:p>
    <w:p>
      <w:pPr>
        <w:adjustRightInd w:val="0"/>
        <w:snapToGrid w:val="0"/>
        <w:ind w:firstLine="480" w:firstLineChars="200"/>
        <w:rPr>
          <w:rFonts w:hint="eastAsia" w:ascii="宋体" w:hAnsi="宋体"/>
          <w:sz w:val="24"/>
          <w:szCs w:val="22"/>
          <w:highlight w:val="none"/>
        </w:rPr>
      </w:pPr>
      <w:r>
        <w:rPr>
          <w:rFonts w:ascii="宋体" w:hAnsi="宋体"/>
          <w:sz w:val="24"/>
          <w:szCs w:val="22"/>
          <w:highlight w:val="none"/>
        </w:rPr>
        <w:t>（1）云服务全年整体可用性≥99.9%；</w:t>
      </w:r>
    </w:p>
    <w:p>
      <w:pPr>
        <w:adjustRightInd w:val="0"/>
        <w:snapToGrid w:val="0"/>
        <w:ind w:firstLine="480" w:firstLineChars="200"/>
        <w:rPr>
          <w:rFonts w:hint="eastAsia" w:ascii="宋体" w:hAnsi="宋体"/>
          <w:sz w:val="24"/>
          <w:szCs w:val="22"/>
          <w:highlight w:val="none"/>
        </w:rPr>
      </w:pPr>
      <w:r>
        <w:rPr>
          <w:rFonts w:ascii="宋体" w:hAnsi="宋体"/>
          <w:sz w:val="24"/>
          <w:szCs w:val="22"/>
          <w:highlight w:val="none"/>
        </w:rPr>
        <w:t>（2）故障响应率100%；</w:t>
      </w:r>
    </w:p>
    <w:p>
      <w:pPr>
        <w:adjustRightInd w:val="0"/>
        <w:snapToGrid w:val="0"/>
        <w:ind w:firstLine="480" w:firstLineChars="200"/>
        <w:rPr>
          <w:rFonts w:hint="eastAsia" w:ascii="宋体" w:hAnsi="宋体"/>
          <w:sz w:val="24"/>
          <w:szCs w:val="22"/>
          <w:highlight w:val="none"/>
        </w:rPr>
      </w:pPr>
      <w:r>
        <w:rPr>
          <w:rFonts w:ascii="宋体" w:hAnsi="宋体"/>
          <w:sz w:val="24"/>
          <w:szCs w:val="22"/>
          <w:highlight w:val="none"/>
        </w:rPr>
        <w:t>（3）应急响应时间≤5分钟（重大事件1分钟内响应）；</w:t>
      </w:r>
    </w:p>
    <w:p>
      <w:pPr>
        <w:keepNext/>
        <w:numPr>
          <w:ilvl w:val="2"/>
          <w:numId w:val="1"/>
        </w:numPr>
        <w:adjustRightInd w:val="0"/>
        <w:snapToGrid w:val="0"/>
        <w:ind w:firstLine="482" w:firstLineChars="200"/>
        <w:outlineLvl w:val="2"/>
        <w:rPr>
          <w:rFonts w:hint="eastAsia" w:ascii="宋体" w:hAnsi="宋体"/>
          <w:b/>
          <w:sz w:val="24"/>
          <w:szCs w:val="22"/>
          <w:highlight w:val="none"/>
        </w:rPr>
      </w:pPr>
      <w:r>
        <w:rPr>
          <w:rFonts w:ascii="宋体" w:hAnsi="宋体"/>
          <w:b/>
          <w:sz w:val="24"/>
          <w:szCs w:val="22"/>
          <w:highlight w:val="none"/>
        </w:rPr>
        <w:t>项目验收要求</w:t>
      </w:r>
    </w:p>
    <w:p>
      <w:pPr>
        <w:adjustRightInd w:val="0"/>
        <w:snapToGrid w:val="0"/>
        <w:ind w:firstLine="480" w:firstLineChars="200"/>
        <w:rPr>
          <w:rFonts w:hint="eastAsia" w:ascii="宋体" w:hAnsi="宋体"/>
          <w:sz w:val="24"/>
          <w:szCs w:val="22"/>
          <w:highlight w:val="none"/>
        </w:rPr>
      </w:pPr>
      <w:r>
        <w:rPr>
          <w:rFonts w:ascii="宋体" w:hAnsi="宋体"/>
          <w:sz w:val="24"/>
          <w:szCs w:val="22"/>
          <w:highlight w:val="none"/>
        </w:rPr>
        <w:t>（1）投标人所提供的北京市市级政务云基础资源服务应遵循客观、科学、合理的原则，符合《北京市市级政务云管理办法》的相关标准及要求。</w:t>
      </w:r>
    </w:p>
    <w:p>
      <w:pPr>
        <w:adjustRightInd w:val="0"/>
        <w:snapToGrid w:val="0"/>
        <w:ind w:firstLine="480" w:firstLineChars="200"/>
        <w:rPr>
          <w:rFonts w:hint="eastAsia" w:ascii="宋体" w:hAnsi="宋体"/>
          <w:sz w:val="24"/>
          <w:szCs w:val="22"/>
          <w:highlight w:val="none"/>
        </w:rPr>
      </w:pPr>
      <w:r>
        <w:rPr>
          <w:rFonts w:ascii="宋体" w:hAnsi="宋体"/>
          <w:sz w:val="24"/>
          <w:szCs w:val="22"/>
          <w:highlight w:val="none"/>
        </w:rPr>
        <w:t>（2）投标人所提供资源应满足采购文件规定的要求。保证合同期内系统安全稳定运行，不因硬件故障导致服务中断</w:t>
      </w:r>
      <w:r>
        <w:rPr>
          <w:rFonts w:hint="eastAsia" w:ascii="宋体" w:hAnsi="宋体"/>
          <w:sz w:val="24"/>
          <w:szCs w:val="22"/>
          <w:highlight w:val="none"/>
        </w:rPr>
        <w:t>4</w:t>
      </w:r>
      <w:r>
        <w:rPr>
          <w:rFonts w:ascii="宋体" w:hAnsi="宋体"/>
          <w:sz w:val="24"/>
          <w:szCs w:val="22"/>
          <w:highlight w:val="none"/>
        </w:rPr>
        <w:t>小时及以上。</w:t>
      </w:r>
    </w:p>
    <w:p>
      <w:pPr>
        <w:adjustRightInd w:val="0"/>
        <w:snapToGrid w:val="0"/>
        <w:ind w:firstLine="480" w:firstLineChars="200"/>
        <w:rPr>
          <w:rFonts w:hint="eastAsia" w:ascii="宋体" w:hAnsi="宋体"/>
          <w:sz w:val="24"/>
          <w:szCs w:val="22"/>
          <w:highlight w:val="none"/>
        </w:rPr>
      </w:pPr>
      <w:r>
        <w:rPr>
          <w:rFonts w:ascii="宋体" w:hAnsi="宋体"/>
          <w:sz w:val="24"/>
          <w:szCs w:val="22"/>
          <w:highlight w:val="none"/>
        </w:rPr>
        <w:t>（3）服务期满后</w:t>
      </w:r>
      <w:r>
        <w:rPr>
          <w:rFonts w:hint="eastAsia" w:ascii="宋体" w:hAnsi="宋体"/>
          <w:sz w:val="24"/>
          <w:szCs w:val="22"/>
          <w:highlight w:val="none"/>
        </w:rPr>
        <w:t>10</w:t>
      </w:r>
      <w:r>
        <w:rPr>
          <w:rFonts w:ascii="宋体" w:hAnsi="宋体"/>
          <w:sz w:val="24"/>
          <w:szCs w:val="22"/>
          <w:highlight w:val="none"/>
        </w:rPr>
        <w:t>个工作日开始对合同项目进行验收，投标人应当在采购人指定的验收日前向采购人提交验收报告。验收报告的内容包括但不限于，合同规定的各项服务清单，各系统设备运行情况。</w:t>
      </w:r>
    </w:p>
    <w:p>
      <w:pPr>
        <w:adjustRightInd w:val="0"/>
        <w:snapToGrid w:val="0"/>
        <w:ind w:firstLine="480" w:firstLineChars="200"/>
        <w:rPr>
          <w:rFonts w:hint="eastAsia" w:ascii="宋体" w:hAnsi="宋体"/>
          <w:sz w:val="24"/>
          <w:szCs w:val="22"/>
          <w:highlight w:val="none"/>
        </w:rPr>
      </w:pPr>
      <w:r>
        <w:rPr>
          <w:rFonts w:ascii="宋体" w:hAnsi="宋体"/>
          <w:sz w:val="24"/>
          <w:szCs w:val="22"/>
          <w:highlight w:val="none"/>
        </w:rPr>
        <w:t>（4）服务期届满，投标人按照采购人要求完成所有项目，各项记录、报告等文档齐全，无任何系统遗留问题，并通过由采购人组织的专家验收评审，方可通过验收。</w:t>
      </w:r>
    </w:p>
    <w:p>
      <w:pPr>
        <w:keepNext/>
        <w:numPr>
          <w:ilvl w:val="0"/>
          <w:numId w:val="1"/>
        </w:numPr>
        <w:adjustRightInd w:val="0"/>
        <w:snapToGrid w:val="0"/>
        <w:ind w:firstLine="562" w:firstLineChars="200"/>
        <w:outlineLvl w:val="0"/>
        <w:rPr>
          <w:rFonts w:hint="eastAsia" w:ascii="宋体" w:hAnsi="宋体"/>
          <w:b/>
          <w:kern w:val="44"/>
          <w:sz w:val="28"/>
          <w:szCs w:val="22"/>
          <w:highlight w:val="none"/>
        </w:rPr>
      </w:pPr>
      <w:r>
        <w:rPr>
          <w:rFonts w:hint="eastAsia" w:ascii="宋体" w:hAnsi="宋体"/>
          <w:b/>
          <w:kern w:val="44"/>
          <w:sz w:val="28"/>
          <w:szCs w:val="22"/>
          <w:highlight w:val="none"/>
        </w:rPr>
        <w:t xml:space="preserve"> 其他相关要求</w:t>
      </w:r>
    </w:p>
    <w:p>
      <w:pPr>
        <w:keepNext/>
        <w:numPr>
          <w:ilvl w:val="1"/>
          <w:numId w:val="1"/>
        </w:numPr>
        <w:adjustRightInd w:val="0"/>
        <w:snapToGrid w:val="0"/>
        <w:ind w:left="0" w:firstLine="482" w:firstLineChars="200"/>
        <w:outlineLvl w:val="1"/>
        <w:rPr>
          <w:rFonts w:hint="eastAsia" w:ascii="Arial" w:hAnsi="Arial"/>
          <w:b/>
          <w:sz w:val="24"/>
          <w:szCs w:val="22"/>
          <w:highlight w:val="none"/>
        </w:rPr>
      </w:pPr>
      <w:r>
        <w:rPr>
          <w:rFonts w:hint="eastAsia" w:ascii="Arial" w:hAnsi="Arial"/>
          <w:b/>
          <w:sz w:val="24"/>
          <w:szCs w:val="22"/>
          <w:highlight w:val="none"/>
        </w:rPr>
        <w:t>知识产权和保密要求</w:t>
      </w:r>
    </w:p>
    <w:p>
      <w:pPr>
        <w:adjustRightInd w:val="0"/>
        <w:snapToGrid w:val="0"/>
        <w:ind w:firstLine="480" w:firstLineChars="200"/>
        <w:textAlignment w:val="baseline"/>
        <w:rPr>
          <w:rFonts w:hint="eastAsia" w:ascii="宋体" w:hAnsi="宋体" w:cs="等线"/>
          <w:kern w:val="0"/>
          <w:sz w:val="24"/>
          <w:szCs w:val="21"/>
          <w:highlight w:val="none"/>
        </w:rPr>
      </w:pPr>
      <w:r>
        <w:rPr>
          <w:rFonts w:ascii="宋体" w:hAnsi="宋体" w:cs="等线"/>
          <w:kern w:val="0"/>
          <w:sz w:val="24"/>
          <w:szCs w:val="21"/>
          <w:highlight w:val="none"/>
        </w:rPr>
        <w:t>投标人应确保本项目所提交成果无知识产权纠纷，项目成果的知识产权属于项目委托方。</w:t>
      </w:r>
    </w:p>
    <w:p>
      <w:pPr>
        <w:adjustRightInd w:val="0"/>
        <w:snapToGrid w:val="0"/>
        <w:ind w:firstLine="480" w:firstLineChars="200"/>
        <w:textAlignment w:val="baseline"/>
        <w:rPr>
          <w:rFonts w:ascii="宋体" w:hAnsi="宋体" w:cs="等线"/>
          <w:kern w:val="0"/>
          <w:sz w:val="24"/>
          <w:szCs w:val="21"/>
          <w:highlight w:val="none"/>
        </w:rPr>
      </w:pPr>
      <w:r>
        <w:rPr>
          <w:rFonts w:ascii="宋体" w:hAnsi="宋体" w:cs="等线"/>
          <w:kern w:val="0"/>
          <w:sz w:val="24"/>
          <w:szCs w:val="21"/>
          <w:highlight w:val="none"/>
        </w:rPr>
        <w:t>在签订和履行合同过程中从采购人处获知的技术和商业秘密，无论在合同期限内还是合同终止后，均应遵守国家有关版权、专利、商标等知识产权方面的法律规定，尊重需求方的知识产权，对所知悉的采购人的技术秘密和商业秘密负有保密责任。未经采购人事先书面授权，不得以任何方式向任何其他组织或个人泄露、转让、许可使用、交换、赠与或与任何其他组织或个人共同使用或不正当使用（依据国家或上级部门指示所做的赠送除外）。违反本条规定给对方造成损失的，违约方应负相关的法律责任。</w:t>
      </w:r>
    </w:p>
    <w:p>
      <w:pPr>
        <w:keepNext/>
        <w:numPr>
          <w:ilvl w:val="1"/>
          <w:numId w:val="1"/>
        </w:numPr>
        <w:adjustRightInd w:val="0"/>
        <w:snapToGrid w:val="0"/>
        <w:ind w:left="0" w:firstLine="482" w:firstLineChars="200"/>
        <w:outlineLvl w:val="1"/>
        <w:rPr>
          <w:rFonts w:ascii="Arial" w:hAnsi="Arial"/>
          <w:b/>
          <w:sz w:val="24"/>
          <w:szCs w:val="22"/>
          <w:highlight w:val="none"/>
        </w:rPr>
      </w:pPr>
      <w:r>
        <w:rPr>
          <w:rFonts w:hint="eastAsia" w:ascii="Arial" w:hAnsi="Arial"/>
          <w:b/>
          <w:sz w:val="24"/>
          <w:szCs w:val="22"/>
          <w:highlight w:val="none"/>
        </w:rPr>
        <w:t>售后服务及培训要求</w:t>
      </w:r>
    </w:p>
    <w:p>
      <w:pPr>
        <w:adjustRightInd w:val="0"/>
        <w:snapToGrid w:val="0"/>
        <w:ind w:firstLine="480" w:firstLineChars="200"/>
        <w:textAlignment w:val="baseline"/>
        <w:rPr>
          <w:rFonts w:ascii="宋体" w:hAnsi="宋体" w:cs="等线"/>
          <w:kern w:val="0"/>
          <w:sz w:val="24"/>
          <w:szCs w:val="21"/>
          <w:highlight w:val="none"/>
        </w:rPr>
      </w:pPr>
      <w:r>
        <w:rPr>
          <w:rFonts w:hint="eastAsia" w:ascii="宋体" w:hAnsi="宋体" w:cs="等线"/>
          <w:kern w:val="0"/>
          <w:sz w:val="24"/>
          <w:szCs w:val="21"/>
          <w:highlight w:val="none"/>
        </w:rPr>
        <w:t>投标人提供全年</w:t>
      </w:r>
      <w:r>
        <w:rPr>
          <w:rFonts w:ascii="宋体" w:hAnsi="宋体" w:cs="等线"/>
          <w:kern w:val="0"/>
          <w:sz w:val="24"/>
          <w:szCs w:val="21"/>
          <w:highlight w:val="none"/>
        </w:rPr>
        <w:t>7×24技术支持，为采购人提供咨询服务。保证系统</w:t>
      </w:r>
      <w:r>
        <w:rPr>
          <w:rFonts w:hint="eastAsia" w:ascii="宋体" w:hAnsi="宋体" w:cs="等线"/>
          <w:kern w:val="0"/>
          <w:sz w:val="24"/>
          <w:szCs w:val="21"/>
          <w:highlight w:val="none"/>
        </w:rPr>
        <w:t>全年7</w:t>
      </w:r>
      <w:r>
        <w:rPr>
          <w:rFonts w:ascii="宋体" w:hAnsi="宋体" w:cs="等线"/>
          <w:kern w:val="0"/>
          <w:sz w:val="24"/>
          <w:szCs w:val="21"/>
          <w:highlight w:val="none"/>
        </w:rPr>
        <w:t>×24小时不间断稳定运行，系统故障时间不能超过4小时（经上级领导及直属单位或主管部门批准的系统停机维护时间除外）。</w:t>
      </w:r>
    </w:p>
    <w:p>
      <w:pPr>
        <w:adjustRightInd w:val="0"/>
        <w:snapToGrid w:val="0"/>
        <w:ind w:firstLine="480" w:firstLineChars="200"/>
        <w:textAlignment w:val="baseline"/>
        <w:rPr>
          <w:rFonts w:ascii="宋体" w:hAnsi="宋体" w:cs="等线"/>
          <w:kern w:val="0"/>
          <w:sz w:val="24"/>
          <w:szCs w:val="21"/>
          <w:highlight w:val="none"/>
        </w:rPr>
      </w:pPr>
      <w:r>
        <w:rPr>
          <w:rFonts w:hint="eastAsia" w:ascii="宋体" w:hAnsi="宋体" w:cs="等线"/>
          <w:kern w:val="0"/>
          <w:sz w:val="24"/>
          <w:szCs w:val="21"/>
          <w:highlight w:val="none"/>
        </w:rPr>
        <w:t>投标人应提供云服务操作手册，并为采购人提供必要的使用培训。</w:t>
      </w:r>
    </w:p>
    <w:p>
      <w:pPr>
        <w:adjustRightInd w:val="0"/>
        <w:snapToGrid w:val="0"/>
        <w:ind w:firstLine="480" w:firstLineChars="200"/>
        <w:textAlignment w:val="baseline"/>
        <w:rPr>
          <w:rFonts w:hint="eastAsia" w:ascii="宋体" w:hAnsi="宋体"/>
          <w:sz w:val="24"/>
          <w:szCs w:val="22"/>
          <w:highlight w:val="none"/>
        </w:rPr>
      </w:pPr>
      <w:r>
        <w:rPr>
          <w:rFonts w:hint="eastAsia" w:ascii="宋体" w:hAnsi="宋体" w:cs="等线"/>
          <w:kern w:val="0"/>
          <w:sz w:val="24"/>
          <w:szCs w:val="21"/>
          <w:highlight w:val="none"/>
        </w:rPr>
        <w:t>投标人提供的政务云平台需通过网络安全等级保护三级测评和网信办云计算服务安全评估。</w:t>
      </w:r>
    </w:p>
    <w:p>
      <w:pPr>
        <w:spacing w:line="360" w:lineRule="auto"/>
        <w:contextualSpacing/>
        <w:rPr>
          <w:sz w:val="24"/>
          <w:highlight w:val="none"/>
        </w:rPr>
      </w:pPr>
    </w:p>
    <w:p>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BD243"/>
    <w:multiLevelType w:val="multilevel"/>
    <w:tmpl w:val="B59BD243"/>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240" w:firstLine="0"/>
      </w:pPr>
      <w:rPr>
        <w:rFonts w:hint="eastAsia" w:ascii="宋体" w:hAnsi="宋体" w:eastAsia="宋体" w:cs="宋体"/>
      </w:rPr>
    </w:lvl>
    <w:lvl w:ilvl="2" w:tentative="0">
      <w:start w:val="1"/>
      <w:numFmt w:val="decimal"/>
      <w:isLgl/>
      <w:suff w:val="nothing"/>
      <w:lvlText w:val="%2.%3"/>
      <w:lvlJc w:val="left"/>
      <w:pPr>
        <w:ind w:left="0" w:firstLine="400"/>
      </w:pPr>
      <w:rPr>
        <w:rFonts w:hint="eastAsia" w:ascii="宋体" w:hAnsi="宋体" w:eastAsia="宋体" w:cs="宋体"/>
      </w:rPr>
    </w:lvl>
    <w:lvl w:ilvl="3" w:tentative="0">
      <w:start w:val="1"/>
      <w:numFmt w:val="decimal"/>
      <w:isLgl/>
      <w:suff w:val="nothing"/>
      <w:lvlText w:val="%2.%3.%4"/>
      <w:lvlJc w:val="left"/>
      <w:pPr>
        <w:ind w:left="0"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2A04574"/>
    <w:multiLevelType w:val="singleLevel"/>
    <w:tmpl w:val="12A04574"/>
    <w:lvl w:ilvl="0" w:tentative="0">
      <w:start w:val="1"/>
      <w:numFmt w:val="decimal"/>
      <w:lvlText w:val="%1."/>
      <w:lvlJc w:val="left"/>
      <w:pPr>
        <w:ind w:left="425" w:hanging="425"/>
      </w:pPr>
      <w:rPr>
        <w:rFonts w:hint="default"/>
      </w:rPr>
    </w:lvl>
  </w:abstractNum>
  <w:abstractNum w:abstractNumId="2">
    <w:nsid w:val="2E900A9B"/>
    <w:multiLevelType w:val="singleLevel"/>
    <w:tmpl w:val="2E900A9B"/>
    <w:lvl w:ilvl="0" w:tentative="0">
      <w:start w:val="1"/>
      <w:numFmt w:val="decimal"/>
      <w:lvlText w:val="%1."/>
      <w:lvlJc w:val="left"/>
      <w:pPr>
        <w:ind w:left="425" w:hanging="425"/>
      </w:pPr>
      <w:rPr>
        <w:rFonts w:hint="default"/>
      </w:rPr>
    </w:lvl>
  </w:abstractNum>
  <w:abstractNum w:abstractNumId="3">
    <w:nsid w:val="78940FC7"/>
    <w:multiLevelType w:val="singleLevel"/>
    <w:tmpl w:val="78940FC7"/>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D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2025-04-28T07:15:19Z</dcterms:created>
  <dc:creator>user</dc:creator>
  <cp:lastModifiedBy>郭</cp:lastModifiedBy>
  <dcterms:modified xsi:type="dcterms:W3CDTF">2025-04-28T07:15:26Z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