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93EFE">
      <w:pPr>
        <w:spacing w:line="360" w:lineRule="auto"/>
        <w:jc w:val="center"/>
        <w:outlineLvl w:val="0"/>
        <w:rPr>
          <w:rFonts w:ascii="Times New Roman" w:hAnsi="Times New Roman" w:eastAsia="宋体" w:cs="Times New Roman"/>
          <w:b/>
          <w:sz w:val="36"/>
          <w:szCs w:val="36"/>
        </w:rPr>
      </w:pPr>
      <w:r>
        <w:rPr>
          <w:rFonts w:ascii="Times New Roman" w:hAnsi="Times New Roman" w:eastAsia="宋体" w:cs="Times New Roman"/>
          <w:b/>
          <w:sz w:val="36"/>
          <w:szCs w:val="36"/>
        </w:rPr>
        <w:t>第四章   采购需求</w:t>
      </w:r>
    </w:p>
    <w:p w14:paraId="36C2610E">
      <w:pPr>
        <w:spacing w:line="360" w:lineRule="auto"/>
        <w:contextualSpacing/>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一、</w:t>
      </w:r>
      <w:r>
        <w:rPr>
          <w:rFonts w:ascii="Times New Roman" w:hAnsi="Times New Roman" w:eastAsia="宋体" w:cs="Times New Roman"/>
          <w:b/>
          <w:bCs/>
          <w:color w:val="000000"/>
          <w:sz w:val="24"/>
        </w:rPr>
        <w:t>采购标的</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4"/>
        <w:gridCol w:w="2097"/>
        <w:gridCol w:w="1158"/>
        <w:gridCol w:w="3568"/>
      </w:tblGrid>
      <w:tr w14:paraId="4964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90" w:type="dxa"/>
            <w:vAlign w:val="center"/>
          </w:tcPr>
          <w:p w14:paraId="5A121433">
            <w:pPr>
              <w:jc w:val="center"/>
              <w:rPr>
                <w:rFonts w:ascii="Times New Roman" w:hAnsi="Times New Roman" w:eastAsia="宋体" w:cs="Times New Roman"/>
                <w:bCs/>
                <w:szCs w:val="21"/>
              </w:rPr>
            </w:pPr>
            <w:r>
              <w:rPr>
                <w:rFonts w:ascii="Times New Roman" w:hAnsi="Times New Roman" w:eastAsia="宋体" w:cs="Times New Roman"/>
                <w:bCs/>
                <w:szCs w:val="21"/>
              </w:rPr>
              <w:t>包号</w:t>
            </w:r>
          </w:p>
        </w:tc>
        <w:tc>
          <w:tcPr>
            <w:tcW w:w="1524" w:type="dxa"/>
            <w:vAlign w:val="center"/>
          </w:tcPr>
          <w:p w14:paraId="029DD8A0">
            <w:pPr>
              <w:jc w:val="center"/>
              <w:rPr>
                <w:rFonts w:ascii="Times New Roman" w:hAnsi="Times New Roman" w:eastAsia="宋体" w:cs="Times New Roman"/>
                <w:bCs/>
                <w:szCs w:val="21"/>
              </w:rPr>
            </w:pPr>
            <w:r>
              <w:rPr>
                <w:rFonts w:ascii="Times New Roman" w:hAnsi="Times New Roman" w:eastAsia="宋体" w:cs="Times New Roman"/>
                <w:bCs/>
                <w:szCs w:val="21"/>
              </w:rPr>
              <w:t>标的名称</w:t>
            </w:r>
          </w:p>
        </w:tc>
        <w:tc>
          <w:tcPr>
            <w:tcW w:w="2097" w:type="dxa"/>
            <w:vAlign w:val="center"/>
          </w:tcPr>
          <w:p w14:paraId="7C8C1B68">
            <w:pPr>
              <w:jc w:val="center"/>
              <w:rPr>
                <w:rFonts w:ascii="Times New Roman" w:hAnsi="Times New Roman" w:eastAsia="宋体" w:cs="Times New Roman"/>
                <w:bCs/>
                <w:szCs w:val="21"/>
              </w:rPr>
            </w:pPr>
            <w:r>
              <w:rPr>
                <w:rFonts w:ascii="Times New Roman" w:hAnsi="Times New Roman" w:eastAsia="宋体" w:cs="Times New Roman"/>
                <w:bCs/>
                <w:szCs w:val="21"/>
              </w:rPr>
              <w:t>采购包预算金额</w:t>
            </w:r>
          </w:p>
          <w:p w14:paraId="26046836">
            <w:pPr>
              <w:jc w:val="center"/>
              <w:rPr>
                <w:rFonts w:ascii="Times New Roman" w:hAnsi="Times New Roman" w:eastAsia="宋体" w:cs="Times New Roman"/>
                <w:bCs/>
                <w:szCs w:val="21"/>
              </w:rPr>
            </w:pPr>
            <w:r>
              <w:rPr>
                <w:rFonts w:ascii="Times New Roman" w:hAnsi="Times New Roman" w:eastAsia="宋体" w:cs="Times New Roman"/>
                <w:bCs/>
                <w:szCs w:val="21"/>
              </w:rPr>
              <w:t>（万元）</w:t>
            </w:r>
          </w:p>
        </w:tc>
        <w:tc>
          <w:tcPr>
            <w:tcW w:w="1158" w:type="dxa"/>
            <w:vAlign w:val="center"/>
          </w:tcPr>
          <w:p w14:paraId="121E9ABD">
            <w:pPr>
              <w:jc w:val="center"/>
              <w:rPr>
                <w:rFonts w:ascii="Times New Roman" w:hAnsi="Times New Roman" w:eastAsia="宋体" w:cs="Times New Roman"/>
                <w:bCs/>
                <w:szCs w:val="21"/>
              </w:rPr>
            </w:pPr>
            <w:r>
              <w:rPr>
                <w:rFonts w:ascii="Times New Roman" w:hAnsi="Times New Roman" w:eastAsia="宋体" w:cs="Times New Roman"/>
                <w:bCs/>
                <w:szCs w:val="21"/>
              </w:rPr>
              <w:t>数量</w:t>
            </w:r>
          </w:p>
        </w:tc>
        <w:tc>
          <w:tcPr>
            <w:tcW w:w="3568" w:type="dxa"/>
            <w:vAlign w:val="center"/>
          </w:tcPr>
          <w:p w14:paraId="3B230433">
            <w:pPr>
              <w:jc w:val="center"/>
              <w:rPr>
                <w:rFonts w:ascii="Times New Roman" w:hAnsi="Times New Roman" w:eastAsia="宋体" w:cs="Times New Roman"/>
                <w:szCs w:val="21"/>
              </w:rPr>
            </w:pPr>
            <w:r>
              <w:rPr>
                <w:rFonts w:ascii="Times New Roman" w:hAnsi="Times New Roman" w:eastAsia="宋体" w:cs="Times New Roman"/>
                <w:szCs w:val="21"/>
              </w:rPr>
              <w:t>简要技术需求或服务要求</w:t>
            </w:r>
          </w:p>
        </w:tc>
      </w:tr>
      <w:tr w14:paraId="5FBD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690" w:type="dxa"/>
            <w:vAlign w:val="center"/>
          </w:tcPr>
          <w:p w14:paraId="40E0CFC0">
            <w:pPr>
              <w:jc w:val="center"/>
              <w:rPr>
                <w:rFonts w:ascii="Times New Roman" w:hAnsi="Times New Roman" w:eastAsia="宋体" w:cs="Times New Roman"/>
                <w:bCs/>
                <w:szCs w:val="21"/>
              </w:rPr>
            </w:pPr>
            <w:r>
              <w:rPr>
                <w:rFonts w:ascii="Times New Roman" w:hAnsi="Times New Roman" w:eastAsia="宋体" w:cs="Times New Roman"/>
                <w:bCs/>
                <w:szCs w:val="21"/>
              </w:rPr>
              <w:t>01</w:t>
            </w:r>
          </w:p>
        </w:tc>
        <w:tc>
          <w:tcPr>
            <w:tcW w:w="1524" w:type="dxa"/>
            <w:vAlign w:val="center"/>
          </w:tcPr>
          <w:p w14:paraId="0B8EDCEF">
            <w:pPr>
              <w:jc w:val="center"/>
              <w:rPr>
                <w:rFonts w:ascii="Times New Roman" w:hAnsi="Times New Roman" w:eastAsia="宋体" w:cs="Times New Roman"/>
                <w:bCs/>
                <w:szCs w:val="21"/>
              </w:rPr>
            </w:pPr>
            <w:r>
              <w:rPr>
                <w:rFonts w:hint="eastAsia" w:ascii="Times New Roman" w:hAnsi="Times New Roman" w:eastAsia="宋体" w:cs="Times New Roman"/>
                <w:bCs/>
                <w:szCs w:val="21"/>
              </w:rPr>
              <w:t>五人卡通鸟造型电动船</w:t>
            </w:r>
          </w:p>
        </w:tc>
        <w:tc>
          <w:tcPr>
            <w:tcW w:w="2097" w:type="dxa"/>
            <w:vAlign w:val="center"/>
          </w:tcPr>
          <w:p w14:paraId="02BE6AAF">
            <w:pPr>
              <w:jc w:val="center"/>
              <w:rPr>
                <w:rFonts w:ascii="Times New Roman" w:hAnsi="Times New Roman" w:eastAsia="宋体" w:cs="Times New Roman"/>
                <w:bCs/>
                <w:szCs w:val="21"/>
              </w:rPr>
            </w:pPr>
            <w:r>
              <w:rPr>
                <w:rFonts w:hint="eastAsia" w:ascii="Times New Roman" w:hAnsi="Times New Roman" w:eastAsia="宋体" w:cs="Times New Roman"/>
                <w:bCs/>
                <w:szCs w:val="21"/>
              </w:rPr>
              <w:t>101.6</w:t>
            </w:r>
          </w:p>
        </w:tc>
        <w:tc>
          <w:tcPr>
            <w:tcW w:w="1158" w:type="dxa"/>
            <w:vAlign w:val="center"/>
          </w:tcPr>
          <w:p w14:paraId="5E0F7558">
            <w:pPr>
              <w:jc w:val="center"/>
              <w:rPr>
                <w:rFonts w:ascii="Times New Roman" w:hAnsi="Times New Roman" w:eastAsia="宋体" w:cs="Times New Roman"/>
                <w:bCs/>
                <w:szCs w:val="21"/>
              </w:rPr>
            </w:pPr>
            <w:r>
              <w:rPr>
                <w:rFonts w:hint="eastAsia" w:ascii="Times New Roman" w:hAnsi="Times New Roman" w:eastAsia="宋体" w:cs="Times New Roman"/>
                <w:bCs/>
                <w:szCs w:val="21"/>
              </w:rPr>
              <w:t>20</w:t>
            </w:r>
          </w:p>
        </w:tc>
        <w:tc>
          <w:tcPr>
            <w:tcW w:w="3568" w:type="dxa"/>
            <w:vAlign w:val="center"/>
          </w:tcPr>
          <w:p w14:paraId="12158C89">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本项目拟购置20条双体设计、玻璃钢船体、功率350W、续航时间8-9小时、额定乘员5人的、抗风和稳定性符合海事要求，船体设计合理，便于游客上下船，安全系数高的卡通</w:t>
            </w:r>
            <w:r>
              <w:rPr>
                <w:rFonts w:hint="eastAsia" w:ascii="Times New Roman" w:hAnsi="Times New Roman" w:eastAsia="宋体" w:cs="Times New Roman"/>
                <w:bCs/>
                <w:szCs w:val="21"/>
              </w:rPr>
              <w:t>鸟造</w:t>
            </w:r>
            <w:r>
              <w:rPr>
                <w:rFonts w:hint="eastAsia" w:ascii="Times New Roman" w:hAnsi="Times New Roman" w:eastAsia="宋体" w:cs="Times New Roman"/>
                <w:kern w:val="0"/>
                <w:szCs w:val="21"/>
              </w:rPr>
              <w:t>型电动船。每条船配有N200型号电瓶2块，详见采购需求。</w:t>
            </w:r>
          </w:p>
        </w:tc>
      </w:tr>
    </w:tbl>
    <w:p w14:paraId="7770582E">
      <w:pPr>
        <w:spacing w:line="360" w:lineRule="auto"/>
        <w:ind w:firstLine="480" w:firstLineChars="200"/>
        <w:contextualSpacing/>
        <w:rPr>
          <w:rFonts w:ascii="Times New Roman" w:hAnsi="Times New Roman" w:eastAsia="宋体" w:cs="Times New Roman"/>
          <w:bCs/>
          <w:sz w:val="24"/>
        </w:rPr>
      </w:pPr>
      <w:r>
        <w:rPr>
          <w:rFonts w:hint="eastAsia" w:ascii="Times New Roman" w:hAnsi="Times New Roman" w:eastAsia="宋体" w:cs="Times New Roman"/>
          <w:bCs/>
          <w:sz w:val="24"/>
        </w:rPr>
        <w:t>本项目不接受进口产品</w:t>
      </w:r>
    </w:p>
    <w:p w14:paraId="2BF3DABE">
      <w:pPr>
        <w:spacing w:line="360" w:lineRule="auto"/>
        <w:contextualSpacing/>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二、商务要求：</w:t>
      </w:r>
    </w:p>
    <w:p w14:paraId="451B7294">
      <w:pPr>
        <w:spacing w:line="360" w:lineRule="auto"/>
        <w:ind w:firstLine="480" w:firstLineChars="200"/>
        <w:contextualSpacing/>
        <w:rPr>
          <w:rFonts w:ascii="Times New Roman" w:hAnsi="Times New Roman" w:eastAsia="宋体" w:cs="Times New Roman"/>
          <w:color w:val="000000"/>
          <w:sz w:val="24"/>
        </w:rPr>
      </w:pPr>
      <w:r>
        <w:rPr>
          <w:rFonts w:hint="eastAsia" w:ascii="Times New Roman" w:hAnsi="Times New Roman" w:eastAsia="宋体" w:cs="Times New Roman"/>
          <w:color w:val="000000"/>
          <w:sz w:val="24"/>
        </w:rPr>
        <w:t>交货地点：北京市陶然亭公园码头</w:t>
      </w:r>
    </w:p>
    <w:p w14:paraId="49078383">
      <w:pPr>
        <w:spacing w:line="360" w:lineRule="auto"/>
        <w:ind w:firstLine="480" w:firstLineChars="200"/>
        <w:contextualSpacing/>
        <w:rPr>
          <w:rFonts w:ascii="Times New Roman" w:hAnsi="Times New Roman" w:eastAsia="宋体" w:cs="Times New Roman"/>
          <w:color w:val="000000"/>
          <w:sz w:val="24"/>
        </w:rPr>
      </w:pPr>
      <w:r>
        <w:rPr>
          <w:rFonts w:hint="eastAsia" w:ascii="Times New Roman" w:hAnsi="Times New Roman" w:eastAsia="宋体" w:cs="Times New Roman"/>
          <w:color w:val="000000"/>
          <w:sz w:val="24"/>
        </w:rPr>
        <w:t>交货时间：合同签订后，</w:t>
      </w:r>
      <w:r>
        <w:rPr>
          <w:rFonts w:hint="eastAsia" w:ascii="Times New Roman" w:hAnsi="Times New Roman" w:eastAsia="宋体" w:cs="Times New Roman"/>
          <w:sz w:val="24"/>
        </w:rPr>
        <w:t>二十日内交付并安装调试完成。</w:t>
      </w:r>
      <w:r>
        <w:rPr>
          <w:rFonts w:hint="eastAsia" w:ascii="Times New Roman" w:hAnsi="Times New Roman" w:eastAsia="宋体" w:cs="Times New Roman"/>
          <w:color w:val="000000"/>
          <w:sz w:val="24"/>
        </w:rPr>
        <w:t>（具体时间视公园湖面情况，以园方通知时间为准）</w:t>
      </w:r>
    </w:p>
    <w:p w14:paraId="404D1A12">
      <w:pPr>
        <w:widowControl w:val="0"/>
        <w:tabs>
          <w:tab w:val="left" w:pos="567"/>
        </w:tabs>
        <w:spacing w:before="120" w:line="360" w:lineRule="auto"/>
        <w:ind w:firstLine="480"/>
        <w:jc w:val="both"/>
        <w:rPr>
          <w:rFonts w:hint="eastAsia" w:ascii="宋体" w:hAnsi="宋体" w:eastAsia="宋体" w:cs="Times New Roman"/>
          <w:iCs/>
          <w:kern w:val="2"/>
          <w:sz w:val="24"/>
          <w:szCs w:val="24"/>
          <w:lang w:val="en-US" w:eastAsia="zh-CN" w:bidi="ar-SA"/>
        </w:rPr>
      </w:pPr>
      <w:r>
        <w:rPr>
          <w:rFonts w:hint="eastAsia" w:ascii="宋体" w:hAnsi="宋体" w:eastAsia="宋体" w:cs="Times New Roman"/>
          <w:kern w:val="2"/>
          <w:sz w:val="24"/>
          <w:szCs w:val="24"/>
          <w:lang w:val="en-US" w:eastAsia="zh-CN" w:bidi="ar-SA"/>
        </w:rPr>
        <w:t>付款条件：</w:t>
      </w:r>
      <w:r>
        <w:rPr>
          <w:rFonts w:hint="eastAsia" w:ascii="宋体" w:hAnsi="宋体" w:eastAsia="宋体" w:cs="Times New Roman"/>
          <w:iCs/>
          <w:kern w:val="2"/>
          <w:sz w:val="24"/>
          <w:szCs w:val="24"/>
          <w:lang w:val="en-US" w:eastAsia="zh-CN" w:bidi="ar-SA"/>
        </w:rPr>
        <w:t>游船到达甲方指定地点并经甲方及北京船检部门验收合格后30个工作日内，甲方向乙方一次性支付合同总价款100%。</w:t>
      </w:r>
    </w:p>
    <w:p w14:paraId="68EE0A70">
      <w:pPr>
        <w:spacing w:line="360" w:lineRule="auto"/>
        <w:ind w:firstLine="480" w:firstLineChars="200"/>
        <w:contextualSpacing/>
        <w:rPr>
          <w:rFonts w:ascii="Times New Roman" w:hAnsi="Times New Roman" w:eastAsia="宋体" w:cs="Times New Roman"/>
          <w:sz w:val="24"/>
        </w:rPr>
      </w:pPr>
      <w:r>
        <w:rPr>
          <w:rFonts w:ascii="Times New Roman" w:hAnsi="Times New Roman" w:eastAsia="宋体" w:cs="Times New Roman"/>
          <w:sz w:val="24"/>
        </w:rPr>
        <w:t>包装和运输</w:t>
      </w:r>
      <w:r>
        <w:rPr>
          <w:rFonts w:hint="eastAsia" w:ascii="Times New Roman" w:hAnsi="Times New Roman" w:eastAsia="宋体" w:cs="Times New Roman"/>
          <w:sz w:val="24"/>
        </w:rPr>
        <w:t>：</w:t>
      </w:r>
      <w:r>
        <w:rPr>
          <w:rFonts w:ascii="Times New Roman" w:hAnsi="Times New Roman" w:eastAsia="宋体" w:cs="Times New Roman"/>
          <w:sz w:val="24"/>
        </w:rPr>
        <w:t>（须满足《关于印发&lt;商品包装政府采购需求标准（试行）&gt;、&lt;快递包装政府采购需求标准（试行）&gt;的通知》（财办库﹝2020﹞123号））</w:t>
      </w:r>
    </w:p>
    <w:p w14:paraId="0F136C18">
      <w:pPr>
        <w:spacing w:line="360" w:lineRule="auto"/>
        <w:ind w:firstLine="480" w:firstLineChars="200"/>
        <w:contextualSpacing/>
        <w:rPr>
          <w:rFonts w:ascii="Times New Roman" w:hAnsi="Times New Roman" w:eastAsia="宋体" w:cs="Times New Roman"/>
          <w:color w:val="000000"/>
          <w:sz w:val="24"/>
        </w:rPr>
      </w:pPr>
      <w:r>
        <w:rPr>
          <w:rFonts w:hint="eastAsia" w:ascii="Times New Roman" w:hAnsi="Times New Roman" w:eastAsia="宋体" w:cs="Times New Roman"/>
          <w:color w:val="000000"/>
          <w:sz w:val="24"/>
        </w:rPr>
        <w:t>售后服务：船体质保期1年。为保障船只正常使用，质保期（1 年）间投标人提供技术支持、维护保养，由此产生的费用由投标人承担。型号N200游船用电瓶，带原液，符合国家标准，质保2年。</w:t>
      </w:r>
    </w:p>
    <w:p w14:paraId="77267C6D">
      <w:pPr>
        <w:widowControl/>
        <w:spacing w:line="360" w:lineRule="auto"/>
        <w:contextualSpacing/>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三、</w:t>
      </w:r>
      <w:r>
        <w:rPr>
          <w:rFonts w:ascii="Times New Roman" w:hAnsi="Times New Roman" w:eastAsia="宋体" w:cs="Times New Roman"/>
          <w:b/>
          <w:bCs/>
          <w:color w:val="000000"/>
          <w:sz w:val="24"/>
        </w:rPr>
        <w:t>为落实政府采购政策需满足的要求</w:t>
      </w:r>
    </w:p>
    <w:p w14:paraId="1A806C25">
      <w:pPr>
        <w:widowControl w:val="0"/>
        <w:tabs>
          <w:tab w:val="left" w:pos="567"/>
        </w:tabs>
        <w:spacing w:before="120"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 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4BC1755F">
      <w:pPr>
        <w:widowControl w:val="0"/>
        <w:tabs>
          <w:tab w:val="left" w:pos="567"/>
        </w:tabs>
        <w:spacing w:before="120"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 监狱企业扶持政策：投标人如为监狱企业将视同为小型或微型企业，且所投产品为小型或微型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57C0A49D">
      <w:pPr>
        <w:widowControl w:val="0"/>
        <w:tabs>
          <w:tab w:val="left" w:pos="567"/>
        </w:tabs>
        <w:spacing w:before="120"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 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1477F27B">
      <w:pPr>
        <w:widowControl w:val="0"/>
        <w:tabs>
          <w:tab w:val="left" w:pos="567"/>
        </w:tabs>
        <w:spacing w:before="120"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 鼓励节能政策：投标人的投标产品属于财政部、发展改革委公布的“节能产品政府采购品目清单”范围的，投标人需提供国家确定的认证机构出具的、处于有效期之</w:t>
      </w:r>
    </w:p>
    <w:p w14:paraId="589E0B2F">
      <w:pPr>
        <w:widowControl w:val="0"/>
        <w:tabs>
          <w:tab w:val="left" w:pos="567"/>
        </w:tabs>
        <w:spacing w:before="120" w:line="360" w:lineRule="auto"/>
        <w:jc w:val="both"/>
        <w:rPr>
          <w:rFonts w:hint="eastAsia"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内的节能产品认证证书。国家确定的认证机构和节能产品获证产品信息可从市场监管总局组建的节能产品、环境标志产品认证结果信息发布平台或中国政府采购网（www.ccgp.gov.cn</w:t>
      </w:r>
      <w:r>
        <w:rPr>
          <w:rFonts w:hint="eastAsia" w:ascii="宋体" w:hAnsi="宋体" w:eastAsia="宋体" w:cs="Times New Roman"/>
          <w:kern w:val="2"/>
          <w:sz w:val="24"/>
          <w:szCs w:val="24"/>
          <w:lang w:val="en-US" w:eastAsia="zh-CN" w:bidi="ar-SA"/>
        </w:rPr>
        <w:t>）建立的认证结果信息发布平台链接中查询下载。</w:t>
      </w:r>
      <w:r>
        <w:rPr>
          <w:rFonts w:ascii="宋体" w:hAnsi="宋体" w:eastAsia="宋体" w:cs="Times New Roman"/>
          <w:kern w:val="2"/>
          <w:sz w:val="24"/>
          <w:szCs w:val="24"/>
          <w:lang w:val="en-US" w:eastAsia="zh-CN" w:bidi="ar-SA"/>
        </w:rPr>
        <w:t xml:space="preserve"> </w:t>
      </w:r>
    </w:p>
    <w:p w14:paraId="421FF43F">
      <w:pPr>
        <w:widowControl w:val="0"/>
        <w:tabs>
          <w:tab w:val="left" w:pos="567"/>
        </w:tabs>
        <w:spacing w:before="120" w:line="360" w:lineRule="auto"/>
        <w:ind w:firstLine="480" w:firstLineChars="200"/>
        <w:jc w:val="both"/>
        <w:rPr>
          <w:rFonts w:hint="eastAsia"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 xml:space="preserve">5. </w:t>
      </w:r>
      <w:r>
        <w:rPr>
          <w:rFonts w:hint="eastAsia" w:ascii="宋体" w:hAnsi="宋体" w:eastAsia="宋体" w:cs="Times New Roman"/>
          <w:kern w:val="2"/>
          <w:sz w:val="24"/>
          <w:szCs w:val="24"/>
          <w:lang w:val="en-US" w:eastAsia="zh-CN" w:bidi="ar-SA"/>
        </w:rPr>
        <w:t>鼓励环保政策：投标人的投标产品属于财政部、生态环境部公布的</w:t>
      </w:r>
      <w:r>
        <w:rPr>
          <w:rFonts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环境标志产品政府采购品目清单</w:t>
      </w:r>
      <w:r>
        <w:rPr>
          <w:rFonts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t>
      </w:r>
      <w:r>
        <w:rPr>
          <w:rFonts w:ascii="宋体" w:hAnsi="宋体" w:eastAsia="宋体" w:cs="Times New Roman"/>
          <w:kern w:val="2"/>
          <w:sz w:val="24"/>
          <w:szCs w:val="24"/>
          <w:lang w:val="en-US" w:eastAsia="zh-CN" w:bidi="ar-SA"/>
        </w:rPr>
        <w:t>www.ccgp.gov.cn</w:t>
      </w:r>
      <w:r>
        <w:rPr>
          <w:rFonts w:hint="eastAsia" w:ascii="宋体" w:hAnsi="宋体" w:eastAsia="宋体" w:cs="Times New Roman"/>
          <w:kern w:val="2"/>
          <w:sz w:val="24"/>
          <w:szCs w:val="24"/>
          <w:lang w:val="en-US" w:eastAsia="zh-CN" w:bidi="ar-SA"/>
        </w:rPr>
        <w:t>）建立的认证结果信息发布平台链接中查询下载。</w:t>
      </w:r>
      <w:r>
        <w:rPr>
          <w:rFonts w:ascii="宋体" w:hAnsi="宋体" w:eastAsia="宋体" w:cs="Times New Roman"/>
          <w:kern w:val="2"/>
          <w:sz w:val="24"/>
          <w:szCs w:val="24"/>
          <w:lang w:val="en-US" w:eastAsia="zh-CN" w:bidi="ar-SA"/>
        </w:rPr>
        <w:t xml:space="preserve"> </w:t>
      </w:r>
    </w:p>
    <w:p w14:paraId="5EE9FD7C">
      <w:pPr>
        <w:widowControl w:val="0"/>
        <w:tabs>
          <w:tab w:val="left" w:pos="567"/>
        </w:tabs>
        <w:spacing w:before="120" w:line="22" w:lineRule="atLeast"/>
        <w:jc w:val="both"/>
        <w:rPr>
          <w:rFonts w:ascii="Times New Roman" w:hAnsi="Times New Roman" w:eastAsia="宋体" w:cs="Times New Roman"/>
          <w:b/>
          <w:bCs/>
          <w:color w:val="000000"/>
          <w:kern w:val="2"/>
          <w:sz w:val="24"/>
          <w:szCs w:val="24"/>
          <w:lang w:val="en-US" w:eastAsia="zh-CN" w:bidi="ar-SA"/>
        </w:rPr>
      </w:pPr>
    </w:p>
    <w:p w14:paraId="51AE6DC4">
      <w:pPr>
        <w:widowControl w:val="0"/>
        <w:shd w:val="clear" w:color="auto" w:fill="auto"/>
        <w:tabs>
          <w:tab w:val="left" w:pos="8514"/>
        </w:tabs>
        <w:spacing w:line="360" w:lineRule="auto"/>
        <w:ind w:firstLine="0"/>
        <w:jc w:val="left"/>
        <w:rPr>
          <w:rFonts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b/>
          <w:bCs/>
          <w:color w:val="000000"/>
          <w:kern w:val="2"/>
          <w:sz w:val="24"/>
          <w:szCs w:val="24"/>
          <w:lang w:val="en-US" w:eastAsia="zh-CN" w:bidi="ar-SA"/>
        </w:rPr>
        <w:t>四、 采购内容</w:t>
      </w:r>
    </w:p>
    <w:p w14:paraId="2BB5CB60">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本项目拟购置20条双体设计、玻璃钢船体、功率350W、续航时间8-9小时、额定乘员5人的、抗风和稳定性符合海事要求，船体设计合理，便于游客上下船，安全系数高的卡通鸟造型电动船。每条船配有N200型号电瓶2块。</w:t>
      </w:r>
    </w:p>
    <w:p w14:paraId="7847ED2D">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（一）技术要求</w:t>
      </w:r>
    </w:p>
    <w:p w14:paraId="7A62C63D">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1.技术要求</w:t>
      </w:r>
    </w:p>
    <w:p w14:paraId="3A5C0BC5">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根据陶然亭公园水域条件，五人卡通鸟造型电动船应在5月初至11月中旬在湖面能够正常航行。</w:t>
      </w:r>
    </w:p>
    <w:p w14:paraId="783C56E9">
      <w:pPr>
        <w:widowControl w:val="0"/>
        <w:shd w:val="clear" w:color="auto" w:fill="FFFFFF"/>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产品出厂时，供应商应出具完整资料，《出厂检验报告》、《产品合格证》以及供应商的资质。</w:t>
      </w:r>
    </w:p>
    <w:p w14:paraId="3DDF1A63">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2.技术规格</w:t>
      </w:r>
    </w:p>
    <w:p w14:paraId="3304179D">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（1）动力形式：电动</w:t>
      </w:r>
    </w:p>
    <w:p w14:paraId="3F0ABF19">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（2）船体材料：玻璃钢材质</w:t>
      </w:r>
    </w:p>
    <w:p w14:paraId="1A51EC7D">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（3）适航区域：内河C级航区（公园内水面）</w:t>
      </w:r>
    </w:p>
    <w:p w14:paraId="53EA390C">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（4）电瓶型号：N200电瓶，符合国标要求。</w:t>
      </w:r>
    </w:p>
    <w:p w14:paraId="5B9B5FB1">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（二）具体要求</w:t>
      </w:r>
    </w:p>
    <w:p w14:paraId="72B2FD70">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1.五人卡通鸟造型电动船</w:t>
      </w:r>
    </w:p>
    <w:p w14:paraId="57B1A05B">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（1）船型</w:t>
      </w:r>
    </w:p>
    <w:p w14:paraId="5461A7D6">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此船型用于陶然亭游客自驾，要求卡通鸟造造型、双体结构，外观新颖，布局合理，方便实用。</w:t>
      </w:r>
    </w:p>
    <w:p w14:paraId="4170A258">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（2）技术参数</w:t>
      </w:r>
    </w:p>
    <w:p w14:paraId="1910EF80">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总长：4.7-4.9米★，船宽：1.55-1.7米★，型深：0.5-0.7米★，吃水：0.3-0.4米★，乘员：5人★</w:t>
      </w:r>
    </w:p>
    <w:p w14:paraId="39C0B9B2">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功率：350W，电压：24V，航速：3-5KM/H，续航时间：8-9小时</w:t>
      </w:r>
    </w:p>
    <w:p w14:paraId="31A0C459">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（3）配置表</w:t>
      </w:r>
    </w:p>
    <w:tbl>
      <w:tblPr>
        <w:tblStyle w:val="2"/>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2955"/>
        <w:gridCol w:w="2156"/>
      </w:tblGrid>
      <w:tr w14:paraId="26C4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7F994645">
            <w:pPr>
              <w:jc w:val="center"/>
              <w:rPr>
                <w:rFonts w:ascii="Times New Roman" w:hAnsi="Times New Roman" w:eastAsia="宋体" w:cs="Times New Roman"/>
                <w:b/>
                <w:bCs/>
              </w:rPr>
            </w:pPr>
            <w:r>
              <w:rPr>
                <w:rFonts w:hint="eastAsia" w:ascii="Times New Roman" w:hAnsi="Times New Roman" w:eastAsia="宋体" w:cs="Times New Roman"/>
                <w:b/>
                <w:bCs/>
              </w:rPr>
              <w:t>名称</w:t>
            </w:r>
          </w:p>
        </w:tc>
        <w:tc>
          <w:tcPr>
            <w:tcW w:w="2955" w:type="dxa"/>
            <w:vAlign w:val="center"/>
          </w:tcPr>
          <w:p w14:paraId="3629D142">
            <w:pPr>
              <w:jc w:val="center"/>
              <w:rPr>
                <w:rFonts w:ascii="Times New Roman" w:hAnsi="Times New Roman" w:eastAsia="宋体" w:cs="Times New Roman"/>
                <w:b/>
                <w:bCs/>
              </w:rPr>
            </w:pPr>
            <w:r>
              <w:rPr>
                <w:rFonts w:hint="eastAsia" w:ascii="Times New Roman" w:hAnsi="Times New Roman" w:eastAsia="宋体" w:cs="Times New Roman"/>
                <w:b/>
                <w:bCs/>
              </w:rPr>
              <w:t>规格</w:t>
            </w:r>
          </w:p>
        </w:tc>
        <w:tc>
          <w:tcPr>
            <w:tcW w:w="2156" w:type="dxa"/>
            <w:vAlign w:val="center"/>
          </w:tcPr>
          <w:p w14:paraId="7D4DA51E">
            <w:pPr>
              <w:jc w:val="center"/>
              <w:rPr>
                <w:rFonts w:ascii="Times New Roman" w:hAnsi="Times New Roman" w:eastAsia="宋体" w:cs="Times New Roman"/>
                <w:b/>
                <w:bCs/>
              </w:rPr>
            </w:pPr>
            <w:r>
              <w:rPr>
                <w:rFonts w:hint="eastAsia" w:ascii="Times New Roman" w:hAnsi="Times New Roman" w:eastAsia="宋体" w:cs="Times New Roman"/>
                <w:b/>
                <w:bCs/>
              </w:rPr>
              <w:t>数量</w:t>
            </w:r>
          </w:p>
        </w:tc>
      </w:tr>
      <w:tr w14:paraId="11C5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8" w:type="dxa"/>
            <w:gridSpan w:val="3"/>
            <w:vAlign w:val="center"/>
          </w:tcPr>
          <w:p w14:paraId="58F3886E">
            <w:pPr>
              <w:jc w:val="left"/>
              <w:rPr>
                <w:rFonts w:ascii="Times New Roman" w:hAnsi="Times New Roman" w:eastAsia="宋体" w:cs="Times New Roman"/>
              </w:rPr>
            </w:pPr>
            <w:r>
              <w:rPr>
                <w:rFonts w:hint="eastAsia" w:ascii="Times New Roman" w:hAnsi="Times New Roman" w:eastAsia="宋体" w:cs="Times New Roman"/>
              </w:rPr>
              <w:t>一．玻璃钢船体</w:t>
            </w:r>
          </w:p>
        </w:tc>
      </w:tr>
      <w:tr w14:paraId="42AA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87" w:type="dxa"/>
            <w:vAlign w:val="center"/>
          </w:tcPr>
          <w:p w14:paraId="6BE3BE10">
            <w:pPr>
              <w:jc w:val="center"/>
              <w:rPr>
                <w:rFonts w:ascii="Times New Roman" w:hAnsi="Times New Roman" w:eastAsia="宋体" w:cs="Times New Roman"/>
              </w:rPr>
            </w:pPr>
            <w:r>
              <w:rPr>
                <w:rFonts w:hint="eastAsia" w:ascii="Times New Roman" w:hAnsi="Times New Roman" w:eastAsia="宋体" w:cs="Times New Roman"/>
              </w:rPr>
              <w:t>船用树脂</w:t>
            </w:r>
          </w:p>
        </w:tc>
        <w:tc>
          <w:tcPr>
            <w:tcW w:w="2955" w:type="dxa"/>
            <w:vAlign w:val="center"/>
          </w:tcPr>
          <w:p w14:paraId="1AFF5803">
            <w:pPr>
              <w:jc w:val="center"/>
              <w:rPr>
                <w:rFonts w:ascii="Times New Roman" w:hAnsi="Times New Roman" w:eastAsia="宋体" w:cs="Times New Roman"/>
              </w:rPr>
            </w:pPr>
            <w:r>
              <w:rPr>
                <w:rFonts w:hint="eastAsia" w:ascii="Times New Roman" w:hAnsi="Times New Roman" w:eastAsia="宋体" w:cs="Times New Roman"/>
              </w:rPr>
              <w:t>189#船用树脂</w:t>
            </w:r>
          </w:p>
        </w:tc>
        <w:tc>
          <w:tcPr>
            <w:tcW w:w="2156" w:type="dxa"/>
            <w:vAlign w:val="center"/>
          </w:tcPr>
          <w:p w14:paraId="50E029A7">
            <w:pPr>
              <w:jc w:val="center"/>
              <w:rPr>
                <w:rFonts w:ascii="Times New Roman" w:hAnsi="Times New Roman" w:eastAsia="宋体" w:cs="Times New Roman"/>
              </w:rPr>
            </w:pPr>
            <w:r>
              <w:rPr>
                <w:rFonts w:hint="eastAsia" w:ascii="Times New Roman" w:hAnsi="Times New Roman" w:eastAsia="宋体" w:cs="Times New Roman"/>
              </w:rPr>
              <w:t>1船套</w:t>
            </w:r>
          </w:p>
        </w:tc>
      </w:tr>
      <w:tr w14:paraId="45F7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87" w:type="dxa"/>
            <w:vAlign w:val="center"/>
          </w:tcPr>
          <w:p w14:paraId="3041D18A">
            <w:pPr>
              <w:jc w:val="center"/>
              <w:rPr>
                <w:rFonts w:ascii="Times New Roman" w:hAnsi="Times New Roman" w:eastAsia="宋体" w:cs="Times New Roman"/>
              </w:rPr>
            </w:pPr>
            <w:r>
              <w:rPr>
                <w:rFonts w:hint="eastAsia" w:ascii="Times New Roman" w:hAnsi="Times New Roman" w:eastAsia="宋体" w:cs="Times New Roman"/>
              </w:rPr>
              <w:t>船用纤维</w:t>
            </w:r>
          </w:p>
        </w:tc>
        <w:tc>
          <w:tcPr>
            <w:tcW w:w="2955" w:type="dxa"/>
            <w:vAlign w:val="center"/>
          </w:tcPr>
          <w:p w14:paraId="68107A71">
            <w:pPr>
              <w:jc w:val="center"/>
              <w:rPr>
                <w:rFonts w:ascii="Times New Roman" w:hAnsi="Times New Roman" w:eastAsia="宋体" w:cs="Times New Roman"/>
              </w:rPr>
            </w:pPr>
            <w:r>
              <w:rPr>
                <w:rFonts w:hint="eastAsia" w:ascii="Times New Roman" w:hAnsi="Times New Roman" w:eastAsia="宋体" w:cs="Times New Roman"/>
              </w:rPr>
              <w:t>无碱毡</w:t>
            </w:r>
          </w:p>
        </w:tc>
        <w:tc>
          <w:tcPr>
            <w:tcW w:w="2156" w:type="dxa"/>
            <w:vAlign w:val="center"/>
          </w:tcPr>
          <w:p w14:paraId="5B361CB0">
            <w:pPr>
              <w:jc w:val="center"/>
              <w:rPr>
                <w:rFonts w:ascii="Times New Roman" w:hAnsi="Times New Roman" w:eastAsia="宋体" w:cs="Times New Roman"/>
              </w:rPr>
            </w:pPr>
            <w:r>
              <w:rPr>
                <w:rFonts w:hint="eastAsia" w:ascii="Times New Roman" w:hAnsi="Times New Roman" w:eastAsia="宋体" w:cs="Times New Roman"/>
              </w:rPr>
              <w:t>1船套</w:t>
            </w:r>
          </w:p>
        </w:tc>
      </w:tr>
      <w:tr w14:paraId="7EC0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87" w:type="dxa"/>
            <w:vAlign w:val="center"/>
          </w:tcPr>
          <w:p w14:paraId="3FDFEB44">
            <w:pPr>
              <w:jc w:val="center"/>
              <w:rPr>
                <w:rFonts w:ascii="Times New Roman" w:hAnsi="Times New Roman" w:eastAsia="宋体" w:cs="Times New Roman"/>
              </w:rPr>
            </w:pPr>
            <w:r>
              <w:rPr>
                <w:rFonts w:hint="eastAsia" w:ascii="Times New Roman" w:hAnsi="Times New Roman" w:eastAsia="宋体" w:cs="Times New Roman"/>
              </w:rPr>
              <w:t>船用纤维</w:t>
            </w:r>
          </w:p>
        </w:tc>
        <w:tc>
          <w:tcPr>
            <w:tcW w:w="2955" w:type="dxa"/>
            <w:vAlign w:val="center"/>
          </w:tcPr>
          <w:p w14:paraId="0C5166EC">
            <w:pPr>
              <w:jc w:val="center"/>
              <w:rPr>
                <w:rFonts w:ascii="Times New Roman" w:hAnsi="Times New Roman" w:eastAsia="宋体" w:cs="Times New Roman"/>
              </w:rPr>
            </w:pPr>
            <w:r>
              <w:rPr>
                <w:rFonts w:hint="eastAsia" w:ascii="Times New Roman" w:hAnsi="Times New Roman" w:eastAsia="宋体" w:cs="Times New Roman"/>
              </w:rPr>
              <w:t>玻纤布</w:t>
            </w:r>
          </w:p>
        </w:tc>
        <w:tc>
          <w:tcPr>
            <w:tcW w:w="2156" w:type="dxa"/>
            <w:vAlign w:val="center"/>
          </w:tcPr>
          <w:p w14:paraId="29E62FB2">
            <w:pPr>
              <w:jc w:val="center"/>
              <w:rPr>
                <w:rFonts w:ascii="Times New Roman" w:hAnsi="Times New Roman" w:eastAsia="宋体" w:cs="Times New Roman"/>
              </w:rPr>
            </w:pPr>
            <w:r>
              <w:rPr>
                <w:rFonts w:hint="eastAsia" w:ascii="Times New Roman" w:hAnsi="Times New Roman" w:eastAsia="宋体" w:cs="Times New Roman"/>
              </w:rPr>
              <w:t>1船套</w:t>
            </w:r>
          </w:p>
        </w:tc>
      </w:tr>
      <w:tr w14:paraId="392E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87" w:type="dxa"/>
            <w:vAlign w:val="center"/>
          </w:tcPr>
          <w:p w14:paraId="3C5AEC38">
            <w:pPr>
              <w:jc w:val="center"/>
              <w:rPr>
                <w:rFonts w:ascii="Times New Roman" w:hAnsi="Times New Roman" w:eastAsia="宋体" w:cs="Times New Roman"/>
              </w:rPr>
            </w:pPr>
            <w:r>
              <w:rPr>
                <w:rFonts w:hint="eastAsia" w:ascii="Times New Roman" w:hAnsi="Times New Roman" w:eastAsia="宋体" w:cs="Times New Roman"/>
              </w:rPr>
              <w:t>船用彩色胶衣</w:t>
            </w:r>
          </w:p>
        </w:tc>
        <w:tc>
          <w:tcPr>
            <w:tcW w:w="2955" w:type="dxa"/>
            <w:vAlign w:val="center"/>
          </w:tcPr>
          <w:p w14:paraId="0724F458">
            <w:pPr>
              <w:jc w:val="center"/>
              <w:rPr>
                <w:rFonts w:ascii="Times New Roman" w:hAnsi="Times New Roman" w:eastAsia="宋体" w:cs="Times New Roman"/>
              </w:rPr>
            </w:pPr>
            <w:r>
              <w:rPr>
                <w:rFonts w:hint="eastAsia" w:ascii="Times New Roman" w:hAnsi="Times New Roman" w:eastAsia="宋体" w:cs="Times New Roman"/>
              </w:rPr>
              <w:t>高光胶衣</w:t>
            </w:r>
          </w:p>
        </w:tc>
        <w:tc>
          <w:tcPr>
            <w:tcW w:w="2156" w:type="dxa"/>
            <w:vAlign w:val="center"/>
          </w:tcPr>
          <w:p w14:paraId="2FBE78D6">
            <w:pPr>
              <w:jc w:val="center"/>
              <w:rPr>
                <w:rFonts w:ascii="Times New Roman" w:hAnsi="Times New Roman" w:eastAsia="宋体" w:cs="Times New Roman"/>
              </w:rPr>
            </w:pPr>
            <w:r>
              <w:rPr>
                <w:rFonts w:hint="eastAsia" w:ascii="Times New Roman" w:hAnsi="Times New Roman" w:eastAsia="宋体" w:cs="Times New Roman"/>
              </w:rPr>
              <w:t>1船套</w:t>
            </w:r>
          </w:p>
        </w:tc>
      </w:tr>
      <w:tr w14:paraId="168B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8" w:type="dxa"/>
            <w:gridSpan w:val="3"/>
            <w:vAlign w:val="center"/>
          </w:tcPr>
          <w:p w14:paraId="44D766B4">
            <w:pPr>
              <w:jc w:val="left"/>
              <w:rPr>
                <w:rFonts w:ascii="Times New Roman" w:hAnsi="Times New Roman" w:eastAsia="宋体" w:cs="Times New Roman"/>
              </w:rPr>
            </w:pPr>
            <w:r>
              <w:rPr>
                <w:rFonts w:hint="eastAsia" w:ascii="Times New Roman" w:hAnsi="Times New Roman" w:eastAsia="宋体" w:cs="Times New Roman"/>
              </w:rPr>
              <w:t>二.船顶及船内配置</w:t>
            </w:r>
          </w:p>
        </w:tc>
      </w:tr>
      <w:tr w14:paraId="5E6C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0E1BB3D1">
            <w:pPr>
              <w:jc w:val="center"/>
              <w:rPr>
                <w:rFonts w:ascii="Times New Roman" w:hAnsi="Times New Roman" w:eastAsia="宋体" w:cs="Times New Roman"/>
              </w:rPr>
            </w:pPr>
            <w:r>
              <w:rPr>
                <w:rFonts w:hint="eastAsia" w:ascii="Times New Roman" w:hAnsi="Times New Roman" w:eastAsia="宋体" w:cs="Times New Roman"/>
              </w:rPr>
              <w:t>扶手、护栏</w:t>
            </w:r>
          </w:p>
        </w:tc>
        <w:tc>
          <w:tcPr>
            <w:tcW w:w="2955" w:type="dxa"/>
            <w:vAlign w:val="center"/>
          </w:tcPr>
          <w:p w14:paraId="57CE1AC9">
            <w:pPr>
              <w:jc w:val="center"/>
              <w:rPr>
                <w:rFonts w:ascii="Times New Roman" w:hAnsi="Times New Roman" w:eastAsia="宋体" w:cs="Times New Roman"/>
              </w:rPr>
            </w:pPr>
            <w:r>
              <w:rPr>
                <w:rFonts w:hint="eastAsia" w:ascii="Times New Roman" w:hAnsi="Times New Roman" w:eastAsia="宋体" w:cs="Times New Roman"/>
              </w:rPr>
              <w:t>不锈钢</w:t>
            </w:r>
          </w:p>
        </w:tc>
        <w:tc>
          <w:tcPr>
            <w:tcW w:w="2156" w:type="dxa"/>
            <w:vAlign w:val="center"/>
          </w:tcPr>
          <w:p w14:paraId="18E68443">
            <w:pPr>
              <w:jc w:val="center"/>
              <w:rPr>
                <w:rFonts w:ascii="Times New Roman" w:hAnsi="Times New Roman" w:eastAsia="宋体" w:cs="Times New Roman"/>
              </w:rPr>
            </w:pPr>
            <w:r>
              <w:rPr>
                <w:rFonts w:hint="eastAsia" w:ascii="Times New Roman" w:hAnsi="Times New Roman" w:eastAsia="宋体" w:cs="Times New Roman"/>
              </w:rPr>
              <w:t>1套</w:t>
            </w:r>
          </w:p>
        </w:tc>
      </w:tr>
      <w:tr w14:paraId="7E19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0D05188C">
            <w:pPr>
              <w:jc w:val="center"/>
              <w:rPr>
                <w:rFonts w:ascii="Times New Roman" w:hAnsi="Times New Roman" w:eastAsia="宋体" w:cs="Times New Roman"/>
              </w:rPr>
            </w:pPr>
            <w:r>
              <w:rPr>
                <w:rFonts w:hint="eastAsia" w:ascii="Times New Roman" w:hAnsi="Times New Roman" w:eastAsia="宋体" w:cs="Times New Roman"/>
              </w:rPr>
              <w:t>桌面及杯架</w:t>
            </w:r>
          </w:p>
        </w:tc>
        <w:tc>
          <w:tcPr>
            <w:tcW w:w="2955" w:type="dxa"/>
            <w:vAlign w:val="center"/>
          </w:tcPr>
          <w:p w14:paraId="178B66A3">
            <w:pPr>
              <w:jc w:val="center"/>
              <w:rPr>
                <w:rFonts w:ascii="Times New Roman" w:hAnsi="Times New Roman" w:eastAsia="宋体" w:cs="Times New Roman"/>
              </w:rPr>
            </w:pPr>
            <w:r>
              <w:rPr>
                <w:rFonts w:hint="eastAsia" w:ascii="Times New Roman" w:hAnsi="Times New Roman" w:eastAsia="宋体" w:cs="Times New Roman"/>
              </w:rPr>
              <w:t>玻璃钢</w:t>
            </w:r>
          </w:p>
        </w:tc>
        <w:tc>
          <w:tcPr>
            <w:tcW w:w="2156" w:type="dxa"/>
            <w:vAlign w:val="center"/>
          </w:tcPr>
          <w:p w14:paraId="59ED4265">
            <w:pPr>
              <w:jc w:val="center"/>
              <w:rPr>
                <w:rFonts w:ascii="Times New Roman" w:hAnsi="Times New Roman" w:eastAsia="宋体" w:cs="Times New Roman"/>
              </w:rPr>
            </w:pPr>
            <w:r>
              <w:rPr>
                <w:rFonts w:hint="eastAsia" w:ascii="Times New Roman" w:hAnsi="Times New Roman" w:eastAsia="宋体" w:cs="Times New Roman"/>
              </w:rPr>
              <w:t>1套</w:t>
            </w:r>
          </w:p>
        </w:tc>
      </w:tr>
      <w:tr w14:paraId="5A96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21ECAC18">
            <w:pPr>
              <w:jc w:val="center"/>
              <w:rPr>
                <w:rFonts w:ascii="Times New Roman" w:hAnsi="Times New Roman" w:eastAsia="宋体" w:cs="Times New Roman"/>
              </w:rPr>
            </w:pPr>
            <w:r>
              <w:rPr>
                <w:rFonts w:hint="eastAsia" w:ascii="Times New Roman" w:hAnsi="Times New Roman" w:eastAsia="宋体" w:cs="Times New Roman"/>
              </w:rPr>
              <w:t>置物架、挂钩</w:t>
            </w:r>
          </w:p>
        </w:tc>
        <w:tc>
          <w:tcPr>
            <w:tcW w:w="2955" w:type="dxa"/>
            <w:vAlign w:val="center"/>
          </w:tcPr>
          <w:p w14:paraId="0F92D263">
            <w:pPr>
              <w:jc w:val="center"/>
              <w:rPr>
                <w:rFonts w:ascii="Times New Roman" w:hAnsi="Times New Roman" w:eastAsia="宋体" w:cs="Times New Roman"/>
              </w:rPr>
            </w:pPr>
            <w:r>
              <w:rPr>
                <w:rFonts w:hint="eastAsia" w:ascii="Times New Roman" w:hAnsi="Times New Roman" w:eastAsia="宋体" w:cs="Times New Roman"/>
              </w:rPr>
              <w:t>不锈钢</w:t>
            </w:r>
          </w:p>
        </w:tc>
        <w:tc>
          <w:tcPr>
            <w:tcW w:w="2156" w:type="dxa"/>
            <w:vAlign w:val="center"/>
          </w:tcPr>
          <w:p w14:paraId="0E9DE640">
            <w:pPr>
              <w:jc w:val="center"/>
              <w:rPr>
                <w:rFonts w:ascii="Times New Roman" w:hAnsi="Times New Roman" w:eastAsia="宋体" w:cs="Times New Roman"/>
              </w:rPr>
            </w:pPr>
            <w:r>
              <w:rPr>
                <w:rFonts w:hint="eastAsia" w:ascii="Times New Roman" w:hAnsi="Times New Roman" w:eastAsia="宋体" w:cs="Times New Roman"/>
              </w:rPr>
              <w:t>1套</w:t>
            </w:r>
          </w:p>
        </w:tc>
      </w:tr>
      <w:tr w14:paraId="30D1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6A32D027">
            <w:pPr>
              <w:jc w:val="center"/>
              <w:rPr>
                <w:rFonts w:ascii="Times New Roman" w:hAnsi="Times New Roman" w:eastAsia="宋体" w:cs="Times New Roman"/>
              </w:rPr>
            </w:pPr>
            <w:r>
              <w:rPr>
                <w:rFonts w:hint="eastAsia" w:ascii="Times New Roman" w:hAnsi="Times New Roman" w:eastAsia="宋体" w:cs="Times New Roman"/>
              </w:rPr>
              <w:t>座椅</w:t>
            </w:r>
          </w:p>
        </w:tc>
        <w:tc>
          <w:tcPr>
            <w:tcW w:w="2955" w:type="dxa"/>
            <w:vAlign w:val="center"/>
          </w:tcPr>
          <w:p w14:paraId="3A6847B4">
            <w:pPr>
              <w:jc w:val="center"/>
              <w:rPr>
                <w:rFonts w:ascii="Times New Roman" w:hAnsi="Times New Roman" w:eastAsia="宋体" w:cs="Times New Roman"/>
              </w:rPr>
            </w:pPr>
            <w:r>
              <w:rPr>
                <w:rFonts w:hint="eastAsia" w:ascii="Times New Roman" w:hAnsi="Times New Roman" w:eastAsia="宋体" w:cs="Times New Roman"/>
              </w:rPr>
              <w:t>玻璃钢</w:t>
            </w:r>
          </w:p>
        </w:tc>
        <w:tc>
          <w:tcPr>
            <w:tcW w:w="2156" w:type="dxa"/>
            <w:vAlign w:val="center"/>
          </w:tcPr>
          <w:p w14:paraId="4D938E92">
            <w:pPr>
              <w:jc w:val="center"/>
              <w:rPr>
                <w:rFonts w:ascii="Times New Roman" w:hAnsi="Times New Roman" w:eastAsia="宋体" w:cs="Times New Roman"/>
              </w:rPr>
            </w:pPr>
            <w:r>
              <w:rPr>
                <w:rFonts w:hint="eastAsia" w:ascii="Times New Roman" w:hAnsi="Times New Roman" w:eastAsia="宋体" w:cs="Times New Roman"/>
              </w:rPr>
              <w:t>1套</w:t>
            </w:r>
          </w:p>
        </w:tc>
      </w:tr>
      <w:tr w14:paraId="02D6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6815E50C">
            <w:pPr>
              <w:jc w:val="center"/>
              <w:rPr>
                <w:rFonts w:ascii="Times New Roman" w:hAnsi="Times New Roman" w:eastAsia="宋体" w:cs="Times New Roman"/>
              </w:rPr>
            </w:pPr>
            <w:r>
              <w:rPr>
                <w:rFonts w:hint="eastAsia" w:ascii="Times New Roman" w:hAnsi="Times New Roman" w:eastAsia="宋体" w:cs="Times New Roman"/>
              </w:rPr>
              <w:t>顶蓬</w:t>
            </w:r>
          </w:p>
        </w:tc>
        <w:tc>
          <w:tcPr>
            <w:tcW w:w="2955" w:type="dxa"/>
            <w:vAlign w:val="center"/>
          </w:tcPr>
          <w:p w14:paraId="2B00F060">
            <w:pPr>
              <w:jc w:val="center"/>
              <w:rPr>
                <w:rFonts w:ascii="Times New Roman" w:hAnsi="Times New Roman" w:eastAsia="宋体" w:cs="Times New Roman"/>
              </w:rPr>
            </w:pPr>
            <w:r>
              <w:rPr>
                <w:rFonts w:hint="eastAsia" w:ascii="Times New Roman" w:hAnsi="Times New Roman" w:eastAsia="宋体" w:cs="Times New Roman"/>
              </w:rPr>
              <w:t>玻璃钢</w:t>
            </w:r>
          </w:p>
        </w:tc>
        <w:tc>
          <w:tcPr>
            <w:tcW w:w="2156" w:type="dxa"/>
            <w:vAlign w:val="center"/>
          </w:tcPr>
          <w:p w14:paraId="5E1265BF">
            <w:pPr>
              <w:jc w:val="center"/>
              <w:rPr>
                <w:rFonts w:ascii="Times New Roman" w:hAnsi="Times New Roman" w:eastAsia="宋体" w:cs="Times New Roman"/>
              </w:rPr>
            </w:pPr>
            <w:r>
              <w:rPr>
                <w:rFonts w:hint="eastAsia" w:ascii="Times New Roman" w:hAnsi="Times New Roman" w:eastAsia="宋体" w:cs="Times New Roman"/>
              </w:rPr>
              <w:t>1个</w:t>
            </w:r>
          </w:p>
        </w:tc>
      </w:tr>
      <w:tr w14:paraId="0D94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8" w:type="dxa"/>
            <w:gridSpan w:val="3"/>
            <w:vAlign w:val="center"/>
          </w:tcPr>
          <w:p w14:paraId="6C838BB9">
            <w:pPr>
              <w:jc w:val="left"/>
              <w:rPr>
                <w:rFonts w:ascii="Times New Roman" w:hAnsi="Times New Roman" w:eastAsia="宋体" w:cs="Times New Roman"/>
              </w:rPr>
            </w:pPr>
            <w:r>
              <w:rPr>
                <w:rFonts w:hint="eastAsia" w:ascii="Times New Roman" w:hAnsi="Times New Roman" w:eastAsia="宋体" w:cs="Times New Roman"/>
              </w:rPr>
              <w:t>三．传动设备</w:t>
            </w:r>
          </w:p>
        </w:tc>
      </w:tr>
      <w:tr w14:paraId="1B51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090E8ACA">
            <w:pPr>
              <w:jc w:val="center"/>
              <w:rPr>
                <w:rFonts w:ascii="Times New Roman" w:hAnsi="Times New Roman" w:eastAsia="宋体" w:cs="Times New Roman"/>
              </w:rPr>
            </w:pPr>
            <w:r>
              <w:rPr>
                <w:rFonts w:hint="eastAsia" w:ascii="Times New Roman" w:hAnsi="Times New Roman" w:eastAsia="宋体" w:cs="Times New Roman"/>
              </w:rPr>
              <w:t>电动机</w:t>
            </w:r>
          </w:p>
        </w:tc>
        <w:tc>
          <w:tcPr>
            <w:tcW w:w="2955" w:type="dxa"/>
            <w:vAlign w:val="center"/>
          </w:tcPr>
          <w:p w14:paraId="0DEF286D">
            <w:pPr>
              <w:jc w:val="center"/>
              <w:rPr>
                <w:rFonts w:ascii="Times New Roman" w:hAnsi="Times New Roman" w:eastAsia="宋体" w:cs="Times New Roman"/>
              </w:rPr>
            </w:pPr>
            <w:r>
              <w:rPr>
                <w:rFonts w:hint="eastAsia" w:ascii="Times New Roman" w:hAnsi="Times New Roman" w:eastAsia="宋体" w:cs="Times New Roman"/>
              </w:rPr>
              <w:t>350W无刷电机</w:t>
            </w:r>
          </w:p>
        </w:tc>
        <w:tc>
          <w:tcPr>
            <w:tcW w:w="2156" w:type="dxa"/>
            <w:vAlign w:val="center"/>
          </w:tcPr>
          <w:p w14:paraId="2AEE8430">
            <w:pPr>
              <w:jc w:val="center"/>
              <w:rPr>
                <w:rFonts w:ascii="Times New Roman" w:hAnsi="Times New Roman" w:eastAsia="宋体" w:cs="Times New Roman"/>
              </w:rPr>
            </w:pPr>
            <w:r>
              <w:rPr>
                <w:rFonts w:hint="eastAsia" w:ascii="Times New Roman" w:hAnsi="Times New Roman" w:eastAsia="宋体" w:cs="Times New Roman"/>
              </w:rPr>
              <w:t>1台</w:t>
            </w:r>
          </w:p>
        </w:tc>
      </w:tr>
      <w:tr w14:paraId="17F7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311D5699">
            <w:pPr>
              <w:jc w:val="center"/>
              <w:rPr>
                <w:rFonts w:ascii="Times New Roman" w:hAnsi="Times New Roman" w:eastAsia="宋体" w:cs="Times New Roman"/>
              </w:rPr>
            </w:pPr>
            <w:r>
              <w:rPr>
                <w:rFonts w:hint="eastAsia" w:ascii="Times New Roman" w:hAnsi="Times New Roman" w:eastAsia="宋体" w:cs="Times New Roman"/>
              </w:rPr>
              <w:t>不锈钢轴系</w:t>
            </w:r>
          </w:p>
        </w:tc>
        <w:tc>
          <w:tcPr>
            <w:tcW w:w="2955" w:type="dxa"/>
            <w:vAlign w:val="center"/>
          </w:tcPr>
          <w:p w14:paraId="4D900618">
            <w:pPr>
              <w:jc w:val="center"/>
              <w:rPr>
                <w:rFonts w:ascii="Times New Roman" w:hAnsi="Times New Roman" w:eastAsia="宋体" w:cs="Times New Roman"/>
              </w:rPr>
            </w:pPr>
          </w:p>
        </w:tc>
        <w:tc>
          <w:tcPr>
            <w:tcW w:w="2156" w:type="dxa"/>
            <w:vAlign w:val="center"/>
          </w:tcPr>
          <w:p w14:paraId="2946B0BE">
            <w:pPr>
              <w:jc w:val="center"/>
              <w:rPr>
                <w:rFonts w:ascii="Times New Roman" w:hAnsi="Times New Roman" w:eastAsia="宋体" w:cs="Times New Roman"/>
              </w:rPr>
            </w:pPr>
            <w:r>
              <w:rPr>
                <w:rFonts w:hint="eastAsia" w:ascii="Times New Roman" w:hAnsi="Times New Roman" w:eastAsia="宋体" w:cs="Times New Roman"/>
              </w:rPr>
              <w:t>1套</w:t>
            </w:r>
          </w:p>
        </w:tc>
      </w:tr>
      <w:tr w14:paraId="7822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87" w:type="dxa"/>
            <w:vAlign w:val="center"/>
          </w:tcPr>
          <w:p w14:paraId="03EC888A">
            <w:pPr>
              <w:jc w:val="center"/>
              <w:rPr>
                <w:rFonts w:ascii="Times New Roman" w:hAnsi="Times New Roman" w:eastAsia="宋体" w:cs="Times New Roman"/>
              </w:rPr>
            </w:pPr>
            <w:r>
              <w:rPr>
                <w:rFonts w:hint="eastAsia" w:ascii="Times New Roman" w:hAnsi="Times New Roman" w:eastAsia="宋体" w:cs="Times New Roman"/>
              </w:rPr>
              <w:t>不锈钢舵系</w:t>
            </w:r>
          </w:p>
        </w:tc>
        <w:tc>
          <w:tcPr>
            <w:tcW w:w="2955" w:type="dxa"/>
            <w:vAlign w:val="center"/>
          </w:tcPr>
          <w:p w14:paraId="243EC231">
            <w:pPr>
              <w:jc w:val="center"/>
              <w:rPr>
                <w:rFonts w:ascii="Times New Roman" w:hAnsi="Times New Roman" w:eastAsia="宋体" w:cs="Times New Roman"/>
              </w:rPr>
            </w:pPr>
          </w:p>
        </w:tc>
        <w:tc>
          <w:tcPr>
            <w:tcW w:w="2156" w:type="dxa"/>
            <w:vAlign w:val="center"/>
          </w:tcPr>
          <w:p w14:paraId="16ACA426">
            <w:pPr>
              <w:jc w:val="center"/>
              <w:rPr>
                <w:rFonts w:ascii="Times New Roman" w:hAnsi="Times New Roman" w:eastAsia="宋体" w:cs="Times New Roman"/>
              </w:rPr>
            </w:pPr>
            <w:r>
              <w:rPr>
                <w:rFonts w:hint="eastAsia" w:ascii="Times New Roman" w:hAnsi="Times New Roman" w:eastAsia="宋体" w:cs="Times New Roman"/>
              </w:rPr>
              <w:t>1套</w:t>
            </w:r>
          </w:p>
        </w:tc>
      </w:tr>
      <w:tr w14:paraId="1D0F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87" w:type="dxa"/>
            <w:vAlign w:val="center"/>
          </w:tcPr>
          <w:p w14:paraId="4DFA0793">
            <w:pPr>
              <w:jc w:val="center"/>
              <w:rPr>
                <w:rFonts w:ascii="Times New Roman" w:hAnsi="Times New Roman" w:eastAsia="宋体" w:cs="Times New Roman"/>
              </w:rPr>
            </w:pPr>
            <w:r>
              <w:rPr>
                <w:rFonts w:hint="eastAsia" w:ascii="Times New Roman" w:hAnsi="Times New Roman" w:eastAsia="宋体" w:cs="Times New Roman"/>
              </w:rPr>
              <w:t>螺旋桨</w:t>
            </w:r>
          </w:p>
        </w:tc>
        <w:tc>
          <w:tcPr>
            <w:tcW w:w="2955" w:type="dxa"/>
            <w:vAlign w:val="center"/>
          </w:tcPr>
          <w:p w14:paraId="0C01619B">
            <w:pPr>
              <w:jc w:val="center"/>
              <w:rPr>
                <w:rFonts w:ascii="Times New Roman" w:hAnsi="Times New Roman" w:eastAsia="宋体" w:cs="Times New Roman"/>
              </w:rPr>
            </w:pPr>
            <w:r>
              <w:rPr>
                <w:rFonts w:hint="eastAsia" w:ascii="Times New Roman" w:hAnsi="Times New Roman" w:eastAsia="宋体" w:cs="Times New Roman"/>
              </w:rPr>
              <w:t>直径20CM</w:t>
            </w:r>
          </w:p>
        </w:tc>
        <w:tc>
          <w:tcPr>
            <w:tcW w:w="2156" w:type="dxa"/>
            <w:vAlign w:val="center"/>
          </w:tcPr>
          <w:p w14:paraId="2C0A2A90">
            <w:pPr>
              <w:jc w:val="center"/>
              <w:rPr>
                <w:rFonts w:ascii="Times New Roman" w:hAnsi="Times New Roman" w:eastAsia="宋体" w:cs="Times New Roman"/>
              </w:rPr>
            </w:pPr>
            <w:r>
              <w:rPr>
                <w:rFonts w:hint="eastAsia" w:ascii="Times New Roman" w:hAnsi="Times New Roman" w:eastAsia="宋体" w:cs="Times New Roman"/>
              </w:rPr>
              <w:t>1个</w:t>
            </w:r>
          </w:p>
        </w:tc>
      </w:tr>
    </w:tbl>
    <w:p w14:paraId="798A4C04">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2.游船电瓶</w:t>
      </w:r>
    </w:p>
    <w:p w14:paraId="499328EB">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型号N200游船用电瓶，带原液，符合国家标准，</w:t>
      </w:r>
      <w:r>
        <w:rPr>
          <w:rFonts w:hint="eastAsia" w:ascii="宋体" w:hAnsi="宋体" w:eastAsia="宋体" w:cs="宋体"/>
          <w:b/>
          <w:bCs/>
          <w:color w:val="000000"/>
          <w:kern w:val="0"/>
          <w:sz w:val="24"/>
          <w:szCs w:val="22"/>
          <w:lang w:val="en-US" w:eastAsia="zh-CN" w:bidi="ar-SA"/>
        </w:rPr>
        <w:t>质保2年</w:t>
      </w:r>
      <w:r>
        <w:rPr>
          <w:rFonts w:hint="eastAsia" w:ascii="宋体" w:hAnsi="宋体" w:eastAsia="宋体" w:cs="宋体"/>
          <w:color w:val="000000"/>
          <w:kern w:val="0"/>
          <w:sz w:val="24"/>
          <w:szCs w:val="22"/>
          <w:lang w:val="en-US" w:eastAsia="zh-CN" w:bidi="ar-SA"/>
        </w:rPr>
        <w:t>。</w:t>
      </w:r>
    </w:p>
    <w:p w14:paraId="2D9595C4">
      <w:pPr>
        <w:widowControl w:val="0"/>
        <w:shd w:val="clear" w:color="auto" w:fill="auto"/>
        <w:tabs>
          <w:tab w:val="left" w:pos="8514"/>
        </w:tabs>
        <w:spacing w:line="360" w:lineRule="auto"/>
        <w:ind w:firstLine="0"/>
        <w:jc w:val="left"/>
        <w:rPr>
          <w:rFonts w:hint="eastAsia" w:ascii="宋体" w:hAnsi="宋体" w:eastAsia="宋体" w:cs="宋体"/>
          <w:color w:val="000000"/>
          <w:kern w:val="0"/>
          <w:sz w:val="24"/>
          <w:szCs w:val="22"/>
          <w:lang w:val="en-US" w:eastAsia="zh-CN" w:bidi="ar-SA"/>
        </w:rPr>
      </w:pPr>
      <w:r>
        <w:rPr>
          <w:rFonts w:hint="eastAsia" w:ascii="Times New Roman" w:hAnsi="Times New Roman" w:eastAsia="宋体" w:cs="MingLiU"/>
          <w:b/>
          <w:color w:val="000000"/>
          <w:kern w:val="0"/>
          <w:sz w:val="24"/>
          <w:szCs w:val="24"/>
          <w:lang w:val="en-US" w:eastAsia="zh-CN" w:bidi="zh-CN"/>
        </w:rPr>
        <w:t>五</w:t>
      </w:r>
      <w:r>
        <w:rPr>
          <w:rFonts w:hint="eastAsia" w:ascii="Times New Roman" w:hAnsi="Times New Roman" w:eastAsia="MingLiU" w:cs="MingLiU"/>
          <w:b/>
          <w:color w:val="000000"/>
          <w:kern w:val="0"/>
          <w:sz w:val="24"/>
          <w:szCs w:val="24"/>
          <w:lang w:val="en-US" w:eastAsia="zh-CN" w:bidi="zh-CN"/>
        </w:rPr>
        <w:t>、实施管理要求</w:t>
      </w:r>
    </w:p>
    <w:p w14:paraId="5E9F443D">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（一）项目实施计划进度要求</w:t>
      </w:r>
    </w:p>
    <w:p w14:paraId="1F09AF4E">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按照项目合同要求确保该项目按时有序有效进行。在具体实施过程中，该计划的进度要求部分需经双方共同协商最终确定，按其拟定的项目进度表组织施工。提供的进度计划和保障措施合理可行、有针对性，合同签订之日起二十日内完成全部供货并安装调试完毕。</w:t>
      </w:r>
    </w:p>
    <w:p w14:paraId="51970054">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（二）项目实施人员组织要求</w:t>
      </w:r>
    </w:p>
    <w:p w14:paraId="28F46AD0">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针对该项目配备人员，分工及责任明确，做到岗位与经历及资质符合。项目部组织结构应合理，人员专业配置齐全、从业经验丰富，拟投入本项目建造的管理人员全部具有丰富的玻璃钢船舶建造经验和经历。</w:t>
      </w:r>
    </w:p>
    <w:p w14:paraId="43B26E4D">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（三）项目实施产品质量保障</w:t>
      </w:r>
    </w:p>
    <w:p w14:paraId="2F3E576A">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针对本项目实施，应建立相应的产品质量保障措施，具有完善的内部质检保障部门、质量保证体系、全过程质量控制管理、质量验收控制等，且措施具体、详细、可行性强。</w:t>
      </w:r>
    </w:p>
    <w:p w14:paraId="05AC5660">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（四）售后服务与技术支持</w:t>
      </w:r>
    </w:p>
    <w:p w14:paraId="3F7A64AF">
      <w:pPr>
        <w:widowControl w:val="0"/>
        <w:shd w:val="clear" w:color="auto" w:fill="auto"/>
        <w:tabs>
          <w:tab w:val="left" w:pos="8514"/>
        </w:tabs>
        <w:spacing w:line="360" w:lineRule="auto"/>
        <w:ind w:firstLine="480" w:firstLineChars="200"/>
        <w:jc w:val="left"/>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lang w:val="en-US" w:eastAsia="zh-CN" w:bidi="ar-SA"/>
        </w:rPr>
        <w:t>售后服务方案应合理、维修响应及时，质保期内因产品质量原因所产生的问题，在48小时内提供免费维修服务，须建立稳定的售后服务管理和技术队伍，在质量保证期内提供免费的技术支持和售后服务。</w:t>
      </w:r>
    </w:p>
    <w:p w14:paraId="5575762C">
      <w:pPr>
        <w:widowControl w:val="0"/>
        <w:shd w:val="clear" w:color="auto" w:fill="auto"/>
        <w:tabs>
          <w:tab w:val="left" w:pos="8514"/>
        </w:tabs>
        <w:spacing w:line="360" w:lineRule="auto"/>
        <w:ind w:firstLine="480" w:firstLineChars="200"/>
        <w:jc w:val="left"/>
        <w:rPr>
          <w:rFonts w:hint="eastAsia" w:ascii="MingLiU" w:hAnsi="MingLiU" w:eastAsia="MingLiU" w:cs="MingLiU"/>
          <w:color w:val="000000"/>
          <w:kern w:val="0"/>
          <w:sz w:val="24"/>
          <w:szCs w:val="46"/>
          <w:lang w:val="zh-CN" w:eastAsia="zh-CN" w:bidi="zh-CN"/>
        </w:rPr>
      </w:pPr>
      <w:r>
        <w:rPr>
          <w:rFonts w:hint="eastAsia" w:ascii="宋体" w:hAnsi="宋体" w:eastAsia="宋体" w:cs="宋体"/>
          <w:color w:val="000000"/>
          <w:kern w:val="0"/>
          <w:sz w:val="24"/>
          <w:szCs w:val="22"/>
          <w:lang w:val="en-US" w:eastAsia="zh-CN" w:bidi="ar-SA"/>
        </w:rPr>
        <w:t>船体质保期1年。为保障船只正常使用，质保期（1 年）间投标人提供技术支持、维护保养，由此产生的费用由投标人承担。</w:t>
      </w:r>
    </w:p>
    <w:p w14:paraId="164365B5">
      <w:pPr>
        <w:spacing w:line="360" w:lineRule="auto"/>
        <w:contextualSpacing/>
        <w:rPr>
          <w:rFonts w:ascii="Times New Roman" w:hAnsi="Times New Roman" w:eastAsia="宋体" w:cs="Times New Roman"/>
          <w:sz w:val="24"/>
        </w:rPr>
      </w:pPr>
    </w:p>
    <w:p w14:paraId="32A17D90">
      <w:pPr>
        <w:spacing w:line="360" w:lineRule="auto"/>
        <w:contextualSpacing/>
        <w:rPr>
          <w:rFonts w:ascii="Times New Roman" w:hAnsi="Times New Roman" w:eastAsia="宋体" w:cs="Times New Roman"/>
          <w:sz w:val="24"/>
        </w:rPr>
      </w:pPr>
      <w:r>
        <w:rPr>
          <w:rFonts w:hint="eastAsia" w:ascii="Times New Roman" w:hAnsi="Times New Roman" w:eastAsia="宋体" w:cs="Times New Roman"/>
          <w:sz w:val="24"/>
        </w:rPr>
        <w:t>六、验收标准</w:t>
      </w:r>
    </w:p>
    <w:p w14:paraId="785AC89D">
      <w:pPr>
        <w:spacing w:line="360" w:lineRule="auto"/>
        <w:contextualSpacing/>
        <w:rPr>
          <w:rFonts w:ascii="Times New Roman" w:hAnsi="Times New Roman" w:eastAsia="宋体" w:cs="Times New Roman"/>
          <w:sz w:val="24"/>
        </w:rPr>
      </w:pPr>
      <w:r>
        <w:rPr>
          <w:rFonts w:hint="eastAsia" w:ascii="Times New Roman" w:hAnsi="Times New Roman" w:eastAsia="宋体" w:cs="Times New Roman"/>
          <w:sz w:val="24"/>
        </w:rPr>
        <w:t>供应商应出具完整资料，《出厂检验报告》、《产品合格证》以及供应商的资质。保证出售船舶所具的性能与说明书相符，并须在交付前先行试航，以证明其性能。</w:t>
      </w:r>
    </w:p>
    <w:p w14:paraId="7FFB6D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46AE8"/>
    <w:rsid w:val="3394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2025-04-02T01:43:00Z</dcterms:created>
  <dc:creator>용복</dc:creator>
  <cp:lastModifiedBy>용복</cp:lastModifiedBy>
  <dcterms:modified xsi:type="dcterms:W3CDTF">2025-04-02T01:43:35Z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3196CEC48633477FA2411361FFA3CEF1_11</vt:lpwstr>
  </property>
  <property fmtid="{D5CDD505-2E9C-101B-9397-08002B2CF9AE}" pid="4" name="KSOTemplateDocerSaveRecord">
    <vt:lpwstr>eyJoZGlkIjoiN2RmZjE3MjE2ZmJmMzEwOWI1N2JiOTk4YjdkOWM3NjYiLCJ1c2VySWQiOiI0MzgxMDYyNzAifQ==</vt:lpwstr>
  </property>
</Properties>
</file>