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numPr>
          <w:ilvl w:val="0"/>
          <w:numId w:val="1"/>
        </w:numPr>
        <w:tabs>
          <w:tab w:val="left" w:pos="1630"/>
        </w:tabs>
        <w:spacing w:line="460" w:lineRule="exact"/>
        <w:ind w:left="8"/>
        <w:jc w:val="center"/>
        <w:rPr>
          <w:rFonts w:hint="eastAsia"/>
          <w:b/>
          <w:bCs/>
          <w:color w:val="auto"/>
          <w:spacing w:val="0"/>
          <w:highlight w:val="none"/>
          <w:lang w:eastAsia="zh-CN"/>
        </w:rPr>
      </w:pPr>
      <w:bookmarkStart w:id="0" w:name="_Toc5779"/>
      <w:r>
        <w:rPr>
          <w:rFonts w:hint="eastAsia"/>
          <w:b/>
          <w:bCs/>
          <w:color w:val="auto"/>
          <w:spacing w:val="0"/>
          <w:highlight w:val="none"/>
          <w:lang w:eastAsia="zh-CN"/>
        </w:rPr>
        <w:t>采购需求</w:t>
      </w:r>
      <w:bookmarkEnd w:id="0"/>
    </w:p>
    <w:p>
      <w:pPr>
        <w:numPr>
          <w:ilvl w:val="0"/>
          <w:numId w:val="0"/>
        </w:numPr>
        <w:rPr>
          <w:color w:val="auto"/>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40" w:lineRule="exact"/>
        <w:contextualSpacing/>
        <w:textAlignment w:val="auto"/>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val="en-US" w:eastAsia="zh-CN"/>
        </w:rPr>
        <w:t xml:space="preserve">一、采购标的需实现的功能或者目标，以及为落实政府采购政策需满足的要求 </w:t>
      </w:r>
    </w:p>
    <w:p>
      <w:pPr>
        <w:keepNext w:val="0"/>
        <w:keepLines w:val="0"/>
        <w:pageBreakBefore w:val="0"/>
        <w:widowControl w:val="0"/>
        <w:kinsoku/>
        <w:wordWrap/>
        <w:overflowPunct/>
        <w:topLinePunct w:val="0"/>
        <w:autoSpaceDE w:val="0"/>
        <w:autoSpaceDN w:val="0"/>
        <w:bidi w:val="0"/>
        <w:adjustRightInd/>
        <w:snapToGrid/>
        <w:spacing w:line="540" w:lineRule="exact"/>
        <w:contextualSpacing/>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 xml:space="preserve">(一)采购标的需实现的功能或者目标： </w:t>
      </w:r>
    </w:p>
    <w:p>
      <w:pPr>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contextualSpacing/>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 xml:space="preserve">本次招标采购是为首都医科大学附属北京地坛医院医用设备购置（追加），投标人应根据招标文件所提出的设备技术规格和服务要求，综合考虑设备的适用性，选择需要最佳性能价格比的设备前来投标。投标人应以技术先进的设备、优良的服务和优惠的价格，充分显示自己的竞争实力。 </w:t>
      </w:r>
    </w:p>
    <w:p>
      <w:pPr>
        <w:keepNext w:val="0"/>
        <w:keepLines w:val="0"/>
        <w:pageBreakBefore w:val="0"/>
        <w:widowControl w:val="0"/>
        <w:kinsoku/>
        <w:wordWrap/>
        <w:overflowPunct/>
        <w:topLinePunct w:val="0"/>
        <w:autoSpaceDE w:val="0"/>
        <w:autoSpaceDN w:val="0"/>
        <w:bidi w:val="0"/>
        <w:adjustRightInd/>
        <w:snapToGrid/>
        <w:spacing w:line="540" w:lineRule="exact"/>
        <w:contextualSpacing/>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 xml:space="preserve">（二）为落实政府采购政策需满足的要求 </w:t>
      </w:r>
    </w:p>
    <w:p>
      <w:pPr>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contextualSpacing/>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 xml:space="preserve">1. 促进中小企业发展政策：根据《政府采购促进中小企业发展管理办法》规定，本项目采购货物为中型、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 </w:t>
      </w:r>
    </w:p>
    <w:p>
      <w:pPr>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contextualSpacing/>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 xml:space="preserve">2. 监狱企业扶持政策：投标人如为监狱企业将视同为小型或微型企业，且所投产品为小型或微型企业生产的，应提供由省级以上监狱管理局、戒毒管理局（含新疆生产建设兵团）出具的属于监狱企业的证明文件。投标人应对提交的属于监狱企业的证明文件的真实性负责，提交的监狱企业的证明文件不真实的，应承担相应的法律责任。 </w:t>
      </w:r>
    </w:p>
    <w:p>
      <w:pPr>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contextualSpacing/>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 xml:space="preserve">3. 促进残疾人就业政府采购政策：根据《三部门联合发布关于促进残疾人就业政府采购政策的通知》（财库〔2017〕141 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 </w:t>
      </w:r>
    </w:p>
    <w:p>
      <w:pPr>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contextualSpacing/>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 鼓励节能政策：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w:t>
      </w:r>
    </w:p>
    <w:p>
      <w:pPr>
        <w:keepNext w:val="0"/>
        <w:keepLines w:val="0"/>
        <w:pageBreakBefore w:val="0"/>
        <w:widowControl w:val="0"/>
        <w:kinsoku/>
        <w:wordWrap/>
        <w:overflowPunct/>
        <w:topLinePunct w:val="0"/>
        <w:autoSpaceDE w:val="0"/>
        <w:autoSpaceDN w:val="0"/>
        <w:bidi w:val="0"/>
        <w:adjustRightInd/>
        <w:snapToGrid/>
        <w:spacing w:line="540" w:lineRule="exact"/>
        <w:contextualSpacing/>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 xml:space="preserve">（www.ccgp.gov.cn）建立的认证结果信息发布平台链接中查询下载。 </w:t>
      </w:r>
    </w:p>
    <w:p>
      <w:pPr>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contextualSpacing/>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 xml:space="preserve">5. 鼓励环保政策：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ww.ccgp.gov.cn）建立的认证结果信息发布平台链接中查询下载。 </w:t>
      </w:r>
    </w:p>
    <w:p>
      <w:pPr>
        <w:keepNext w:val="0"/>
        <w:keepLines w:val="0"/>
        <w:pageBreakBefore w:val="0"/>
        <w:widowControl w:val="0"/>
        <w:kinsoku/>
        <w:wordWrap/>
        <w:overflowPunct/>
        <w:topLinePunct w:val="0"/>
        <w:autoSpaceDE w:val="0"/>
        <w:autoSpaceDN w:val="0"/>
        <w:bidi w:val="0"/>
        <w:adjustRightInd/>
        <w:snapToGrid/>
        <w:spacing w:line="540" w:lineRule="exact"/>
        <w:contextualSpacing/>
        <w:textAlignment w:val="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 xml:space="preserve">二、采购标的需执行的国家相关标准、行业标准、地方标准或者其他标准、规范 </w:t>
      </w:r>
    </w:p>
    <w:p>
      <w:pPr>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contextualSpacing/>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 xml:space="preserve">★1. 投标产品属于医疗器械的，应按原国家食品药品监督管理总局颁发的《医疗器械注册管理办法》，办理医疗器械注册证或者办理备案，投标人须提供医疗器械注册证复印件或备案凭证。 </w:t>
      </w:r>
    </w:p>
    <w:p>
      <w:pPr>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contextualSpacing/>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 xml:space="preserve">★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 </w:t>
      </w:r>
    </w:p>
    <w:p>
      <w:pPr>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contextualSpacing/>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 xml:space="preserve">★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 </w:t>
      </w:r>
    </w:p>
    <w:p>
      <w:pPr>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contextualSpacing/>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 xml:space="preserve">★4.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 </w:t>
      </w:r>
    </w:p>
    <w:p>
      <w:pPr>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contextualSpacing/>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 xml:space="preserve">5.投标产品的包装应符合《财政部等三部门联合印发商品包装和快递包装政府采购需求标准（试行）》（财办库〔2020〕123 号）的规定。 </w:t>
      </w:r>
    </w:p>
    <w:p>
      <w:pPr>
        <w:keepNext w:val="0"/>
        <w:keepLines w:val="0"/>
        <w:pageBreakBefore w:val="0"/>
        <w:widowControl w:val="0"/>
        <w:kinsoku/>
        <w:wordWrap/>
        <w:overflowPunct/>
        <w:topLinePunct w:val="0"/>
        <w:autoSpaceDE w:val="0"/>
        <w:autoSpaceDN w:val="0"/>
        <w:bidi w:val="0"/>
        <w:adjustRightInd/>
        <w:snapToGrid/>
        <w:spacing w:line="540" w:lineRule="exact"/>
        <w:contextualSpacing/>
        <w:textAlignment w:val="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 xml:space="preserve">三、采购标的的数量、采购项目交付或者实施的时间和地点 </w:t>
      </w:r>
    </w:p>
    <w:p>
      <w:pPr>
        <w:pStyle w:val="8"/>
        <w:keepNext w:val="0"/>
        <w:keepLines w:val="0"/>
        <w:pageBreakBefore w:val="0"/>
        <w:tabs>
          <w:tab w:val="left" w:pos="470"/>
          <w:tab w:val="left" w:pos="7040"/>
        </w:tabs>
        <w:kinsoku/>
        <w:wordWrap/>
        <w:overflowPunct/>
        <w:topLinePunct w:val="0"/>
        <w:bidi w:val="0"/>
        <w:adjustRightInd/>
        <w:snapToGrid/>
        <w:spacing w:before="154" w:line="480" w:lineRule="exact"/>
        <w:ind w:left="121" w:right="1830" w:firstLine="241" w:firstLineChars="100"/>
        <w:rPr>
          <w:rFonts w:hint="eastAsia" w:ascii="宋体" w:hAnsi="宋体" w:eastAsia="宋体" w:cs="宋体"/>
          <w:color w:val="auto"/>
          <w:spacing w:val="0"/>
          <w:sz w:val="24"/>
          <w:szCs w:val="24"/>
          <w:highlight w:val="none"/>
          <w:lang w:eastAsia="zh-CN"/>
        </w:rPr>
      </w:pPr>
      <w:r>
        <w:rPr>
          <w:rFonts w:hint="eastAsia" w:ascii="宋体" w:hAnsi="宋体" w:eastAsia="宋体" w:cs="宋体"/>
          <w:b/>
          <w:bCs/>
          <w:color w:val="auto"/>
          <w:spacing w:val="0"/>
          <w:sz w:val="24"/>
          <w:szCs w:val="24"/>
          <w:highlight w:val="none"/>
          <w:lang w:val="en-US" w:eastAsia="zh-CN"/>
        </w:rPr>
        <w:t>（一）采购标的的数量</w:t>
      </w:r>
      <w:r>
        <w:rPr>
          <w:rFonts w:hint="eastAsia" w:ascii="宋体" w:hAnsi="宋体" w:eastAsia="宋体" w:cs="宋体"/>
          <w:b w:val="0"/>
          <w:bCs w:val="0"/>
          <w:color w:val="auto"/>
          <w:spacing w:val="0"/>
          <w:sz w:val="24"/>
          <w:szCs w:val="24"/>
          <w:highlight w:val="none"/>
          <w:lang w:eastAsia="zh-CN"/>
        </w:rPr>
        <w:t>（</w:t>
      </w:r>
      <w:r>
        <w:rPr>
          <w:rFonts w:hint="eastAsia" w:ascii="宋体" w:hAnsi="宋体" w:eastAsia="宋体" w:cs="宋体"/>
          <w:color w:val="auto"/>
          <w:spacing w:val="0"/>
          <w:sz w:val="24"/>
          <w:szCs w:val="24"/>
          <w:highlight w:val="none"/>
          <w:lang w:eastAsia="zh-CN"/>
        </w:rPr>
        <w:t xml:space="preserve">货物需求一览表） </w:t>
      </w:r>
    </w:p>
    <w:tbl>
      <w:tblPr>
        <w:tblStyle w:val="7"/>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63"/>
        <w:gridCol w:w="3675"/>
        <w:gridCol w:w="137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exact"/>
          <w:tblHeader/>
          <w:jc w:val="center"/>
        </w:trPr>
        <w:tc>
          <w:tcPr>
            <w:tcW w:w="787" w:type="dxa"/>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包号</w:t>
            </w:r>
          </w:p>
        </w:tc>
        <w:tc>
          <w:tcPr>
            <w:tcW w:w="1363" w:type="dxa"/>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品目号</w:t>
            </w:r>
          </w:p>
        </w:tc>
        <w:tc>
          <w:tcPr>
            <w:tcW w:w="3675" w:type="dxa"/>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eastAsia="zh-CN"/>
              </w:rPr>
              <w:t>采购</w:t>
            </w:r>
            <w:r>
              <w:rPr>
                <w:rFonts w:hint="eastAsia" w:ascii="宋体" w:hAnsi="宋体" w:eastAsia="宋体" w:cs="宋体"/>
                <w:b/>
                <w:bCs/>
                <w:color w:val="auto"/>
                <w:spacing w:val="0"/>
                <w:sz w:val="24"/>
                <w:szCs w:val="24"/>
                <w:highlight w:val="none"/>
              </w:rPr>
              <w:t>内容</w:t>
            </w:r>
          </w:p>
        </w:tc>
        <w:tc>
          <w:tcPr>
            <w:tcW w:w="1376" w:type="dxa"/>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数量</w:t>
            </w:r>
          </w:p>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（台/套）</w:t>
            </w:r>
          </w:p>
        </w:tc>
        <w:tc>
          <w:tcPr>
            <w:tcW w:w="1411" w:type="dxa"/>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是否允许采购进口产品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87" w:type="dxa"/>
            <w:vMerge w:val="restart"/>
            <w:vAlign w:val="center"/>
          </w:tcPr>
          <w:p>
            <w:pPr>
              <w:pStyle w:val="9"/>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bookmarkStart w:id="1" w:name="_Toc16033"/>
            <w:r>
              <w:rPr>
                <w:rFonts w:hint="eastAsia" w:ascii="宋体" w:hAnsi="宋体" w:eastAsia="宋体" w:cs="宋体"/>
                <w:color w:val="auto"/>
                <w:spacing w:val="0"/>
                <w:sz w:val="24"/>
                <w:szCs w:val="24"/>
                <w:highlight w:val="none"/>
                <w:lang w:val="en-US" w:eastAsia="zh-CN"/>
              </w:rPr>
              <w:t>7</w:t>
            </w:r>
          </w:p>
        </w:tc>
        <w:tc>
          <w:tcPr>
            <w:tcW w:w="1363"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7-1</w:t>
            </w:r>
          </w:p>
        </w:tc>
        <w:tc>
          <w:tcPr>
            <w:tcW w:w="3675"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肝脏无创定量超声诊断仪</w:t>
            </w:r>
          </w:p>
        </w:tc>
        <w:tc>
          <w:tcPr>
            <w:tcW w:w="1376"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1</w:t>
            </w:r>
          </w:p>
        </w:tc>
        <w:tc>
          <w:tcPr>
            <w:tcW w:w="1411"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87" w:type="dxa"/>
            <w:vMerge w:val="continue"/>
            <w:vAlign w:val="center"/>
          </w:tcPr>
          <w:p>
            <w:pPr>
              <w:pStyle w:val="9"/>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p>
        </w:tc>
        <w:tc>
          <w:tcPr>
            <w:tcW w:w="1363"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7-2</w:t>
            </w:r>
          </w:p>
        </w:tc>
        <w:tc>
          <w:tcPr>
            <w:tcW w:w="3675"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牙科综合治疗机</w:t>
            </w:r>
          </w:p>
        </w:tc>
        <w:tc>
          <w:tcPr>
            <w:tcW w:w="1376"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2</w:t>
            </w:r>
          </w:p>
        </w:tc>
        <w:tc>
          <w:tcPr>
            <w:tcW w:w="1411"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87" w:type="dxa"/>
            <w:vMerge w:val="continue"/>
            <w:vAlign w:val="center"/>
          </w:tcPr>
          <w:p>
            <w:pPr>
              <w:pStyle w:val="9"/>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p>
        </w:tc>
        <w:tc>
          <w:tcPr>
            <w:tcW w:w="1363"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7-3</w:t>
            </w:r>
          </w:p>
        </w:tc>
        <w:tc>
          <w:tcPr>
            <w:tcW w:w="3675"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微波治疗仪</w:t>
            </w:r>
          </w:p>
        </w:tc>
        <w:tc>
          <w:tcPr>
            <w:tcW w:w="1376"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2</w:t>
            </w:r>
          </w:p>
        </w:tc>
        <w:tc>
          <w:tcPr>
            <w:tcW w:w="1411"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87" w:type="dxa"/>
            <w:vMerge w:val="restart"/>
            <w:vAlign w:val="center"/>
          </w:tcPr>
          <w:p>
            <w:pPr>
              <w:pStyle w:val="9"/>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9</w:t>
            </w:r>
          </w:p>
        </w:tc>
        <w:tc>
          <w:tcPr>
            <w:tcW w:w="1363"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9-1</w:t>
            </w:r>
          </w:p>
        </w:tc>
        <w:tc>
          <w:tcPr>
            <w:tcW w:w="3675"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运动心肺综合测试系统</w:t>
            </w:r>
          </w:p>
        </w:tc>
        <w:tc>
          <w:tcPr>
            <w:tcW w:w="1376"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1</w:t>
            </w:r>
          </w:p>
        </w:tc>
        <w:tc>
          <w:tcPr>
            <w:tcW w:w="1411"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87" w:type="dxa"/>
            <w:vMerge w:val="continue"/>
            <w:vAlign w:val="center"/>
          </w:tcPr>
          <w:p>
            <w:pPr>
              <w:pStyle w:val="9"/>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p>
        </w:tc>
        <w:tc>
          <w:tcPr>
            <w:tcW w:w="1363"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9-2</w:t>
            </w:r>
          </w:p>
        </w:tc>
        <w:tc>
          <w:tcPr>
            <w:tcW w:w="3675"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硬质支气管镜系统</w:t>
            </w:r>
          </w:p>
        </w:tc>
        <w:tc>
          <w:tcPr>
            <w:tcW w:w="1376"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1</w:t>
            </w:r>
          </w:p>
        </w:tc>
        <w:tc>
          <w:tcPr>
            <w:tcW w:w="1411"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87" w:type="dxa"/>
            <w:vMerge w:val="continue"/>
            <w:vAlign w:val="center"/>
          </w:tcPr>
          <w:p>
            <w:pPr>
              <w:pStyle w:val="9"/>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p>
        </w:tc>
        <w:tc>
          <w:tcPr>
            <w:tcW w:w="1363"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9-3</w:t>
            </w:r>
          </w:p>
        </w:tc>
        <w:tc>
          <w:tcPr>
            <w:tcW w:w="3675"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强脉冲光与激光系统</w:t>
            </w:r>
          </w:p>
        </w:tc>
        <w:tc>
          <w:tcPr>
            <w:tcW w:w="1376"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1</w:t>
            </w:r>
          </w:p>
        </w:tc>
        <w:tc>
          <w:tcPr>
            <w:tcW w:w="1411"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87" w:type="dxa"/>
            <w:vMerge w:val="continue"/>
            <w:vAlign w:val="center"/>
          </w:tcPr>
          <w:p>
            <w:pPr>
              <w:pStyle w:val="9"/>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p>
        </w:tc>
        <w:tc>
          <w:tcPr>
            <w:tcW w:w="1363"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9-4</w:t>
            </w:r>
          </w:p>
        </w:tc>
        <w:tc>
          <w:tcPr>
            <w:tcW w:w="3675"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干眼综合分析仪</w:t>
            </w:r>
          </w:p>
        </w:tc>
        <w:tc>
          <w:tcPr>
            <w:tcW w:w="1376"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kern w:val="0"/>
                <w:sz w:val="24"/>
                <w:szCs w:val="24"/>
                <w:highlight w:val="none"/>
              </w:rPr>
              <w:t>1</w:t>
            </w:r>
          </w:p>
        </w:tc>
        <w:tc>
          <w:tcPr>
            <w:tcW w:w="1411" w:type="dxa"/>
            <w:shd w:val="clear" w:color="auto" w:fill="auto"/>
            <w:vAlign w:val="center"/>
          </w:tcPr>
          <w:p>
            <w:pPr>
              <w:keepNext w:val="0"/>
              <w:keepLines w:val="0"/>
              <w:pageBreakBefore w:val="0"/>
              <w:widowControl/>
              <w:kinsoku/>
              <w:wordWrap/>
              <w:overflowPunct/>
              <w:topLinePunct w:val="0"/>
              <w:bidi w:val="0"/>
              <w:adjustRightInd/>
              <w:snapToGrid/>
              <w:spacing w:line="480" w:lineRule="exact"/>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kern w:val="0"/>
                <w:sz w:val="24"/>
                <w:szCs w:val="24"/>
                <w:highlight w:val="none"/>
              </w:rPr>
              <w:t>否</w:t>
            </w:r>
          </w:p>
        </w:tc>
      </w:tr>
    </w:tbl>
    <w:p>
      <w:pPr>
        <w:keepNext w:val="0"/>
        <w:keepLines w:val="0"/>
        <w:pageBreakBefore w:val="0"/>
        <w:widowControl w:val="0"/>
        <w:kinsoku/>
        <w:wordWrap/>
        <w:overflowPunct/>
        <w:topLinePunct w:val="0"/>
        <w:bidi w:val="0"/>
        <w:adjustRightInd/>
        <w:snapToGrid/>
        <w:spacing w:line="540" w:lineRule="exact"/>
        <w:ind w:firstLine="241" w:firstLineChars="100"/>
        <w:contextualSpacing/>
        <w:rPr>
          <w:rFonts w:hint="eastAsia" w:ascii="宋体" w:hAnsi="宋体" w:eastAsia="宋体" w:cs="宋体"/>
          <w:color w:val="auto"/>
          <w:spacing w:val="0"/>
          <w:sz w:val="24"/>
          <w:szCs w:val="24"/>
          <w:highlight w:val="none"/>
          <w:lang w:eastAsia="zh-CN"/>
        </w:rPr>
      </w:pPr>
      <w:bookmarkStart w:id="2" w:name="_Toc24426"/>
      <w:bookmarkStart w:id="3" w:name="_Toc30905"/>
      <w:r>
        <w:rPr>
          <w:rFonts w:hint="eastAsia" w:ascii="宋体" w:hAnsi="宋体" w:eastAsia="宋体" w:cs="宋体"/>
          <w:b/>
          <w:bCs/>
          <w:color w:val="auto"/>
          <w:spacing w:val="0"/>
          <w:sz w:val="24"/>
          <w:szCs w:val="24"/>
          <w:highlight w:val="none"/>
          <w:lang w:val="en-US" w:eastAsia="zh-CN"/>
        </w:rPr>
        <w:t>（二）采购项目交付或者实施的时间和地点：</w:t>
      </w:r>
      <w:r>
        <w:rPr>
          <w:rFonts w:hint="eastAsia" w:ascii="宋体" w:hAnsi="宋体" w:eastAsia="宋体" w:cs="宋体"/>
          <w:color w:val="auto"/>
          <w:spacing w:val="0"/>
          <w:sz w:val="24"/>
          <w:szCs w:val="24"/>
          <w:highlight w:val="none"/>
          <w:lang w:val="en-US" w:eastAsia="zh-CN"/>
        </w:rPr>
        <w:t xml:space="preserve"> </w:t>
      </w:r>
    </w:p>
    <w:p>
      <w:pPr>
        <w:keepNext w:val="0"/>
        <w:keepLines w:val="0"/>
        <w:pageBreakBefore w:val="0"/>
        <w:widowControl w:val="0"/>
        <w:kinsoku/>
        <w:wordWrap/>
        <w:overflowPunct/>
        <w:topLinePunct w:val="0"/>
        <w:bidi w:val="0"/>
        <w:adjustRightInd/>
        <w:snapToGrid/>
        <w:spacing w:line="450" w:lineRule="exact"/>
        <w:ind w:firstLine="240" w:firstLineChars="100"/>
        <w:contextualSpacing/>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1、采购项目（标的）实施的时间：</w:t>
      </w:r>
      <w:bookmarkEnd w:id="2"/>
      <w:bookmarkEnd w:id="3"/>
      <w:r>
        <w:rPr>
          <w:rFonts w:hint="eastAsia" w:ascii="宋体" w:hAnsi="宋体" w:eastAsia="宋体" w:cs="宋体"/>
          <w:color w:val="auto"/>
          <w:spacing w:val="0"/>
          <w:sz w:val="24"/>
          <w:szCs w:val="24"/>
          <w:highlight w:val="none"/>
          <w:lang w:val="en-US" w:eastAsia="zh-CN"/>
        </w:rPr>
        <w:t>合同签订后60天内</w:t>
      </w:r>
    </w:p>
    <w:p>
      <w:pPr>
        <w:keepNext w:val="0"/>
        <w:keepLines w:val="0"/>
        <w:pageBreakBefore w:val="0"/>
        <w:widowControl w:val="0"/>
        <w:kinsoku/>
        <w:wordWrap/>
        <w:overflowPunct/>
        <w:topLinePunct w:val="0"/>
        <w:bidi w:val="0"/>
        <w:adjustRightInd/>
        <w:snapToGrid/>
        <w:spacing w:line="450" w:lineRule="exact"/>
        <w:ind w:firstLine="240" w:firstLineChars="100"/>
        <w:contextualSpacing/>
        <w:rPr>
          <w:rFonts w:hint="eastAsia" w:ascii="宋体" w:hAnsi="宋体" w:eastAsia="宋体" w:cs="宋体"/>
          <w:color w:val="auto"/>
          <w:spacing w:val="0"/>
          <w:sz w:val="24"/>
          <w:szCs w:val="24"/>
          <w:highlight w:val="none"/>
          <w:lang w:eastAsia="zh-CN"/>
        </w:rPr>
      </w:pPr>
      <w:bookmarkStart w:id="4" w:name="_Toc31467"/>
      <w:bookmarkStart w:id="5" w:name="_Toc24878"/>
      <w:r>
        <w:rPr>
          <w:rFonts w:hint="eastAsia" w:ascii="宋体" w:hAnsi="宋体" w:eastAsia="宋体" w:cs="宋体"/>
          <w:color w:val="auto"/>
          <w:spacing w:val="0"/>
          <w:sz w:val="24"/>
          <w:szCs w:val="24"/>
          <w:highlight w:val="none"/>
          <w:lang w:eastAsia="zh-CN"/>
        </w:rPr>
        <w:t>2、采购项目（标的）实施的地点：</w:t>
      </w:r>
      <w:bookmarkEnd w:id="4"/>
      <w:bookmarkEnd w:id="5"/>
      <w:r>
        <w:rPr>
          <w:rFonts w:hint="eastAsia" w:ascii="宋体" w:hAnsi="宋体" w:eastAsia="宋体" w:cs="宋体"/>
          <w:color w:val="auto"/>
          <w:spacing w:val="0"/>
          <w:sz w:val="24"/>
          <w:szCs w:val="24"/>
          <w:highlight w:val="none"/>
          <w:lang w:eastAsia="zh-CN"/>
        </w:rPr>
        <w:t>朝阳区京顺东街8号</w:t>
      </w:r>
    </w:p>
    <w:p>
      <w:pPr>
        <w:keepNext w:val="0"/>
        <w:keepLines w:val="0"/>
        <w:pageBreakBefore w:val="0"/>
        <w:widowControl w:val="0"/>
        <w:kinsoku/>
        <w:wordWrap/>
        <w:overflowPunct/>
        <w:topLinePunct w:val="0"/>
        <w:autoSpaceDE/>
        <w:autoSpaceDN/>
        <w:bidi w:val="0"/>
        <w:adjustRightInd/>
        <w:snapToGrid/>
        <w:spacing w:line="450" w:lineRule="exact"/>
        <w:ind w:firstLine="241" w:firstLineChars="100"/>
        <w:contextualSpacing/>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bCs/>
          <w:color w:val="auto"/>
          <w:spacing w:val="0"/>
          <w:sz w:val="24"/>
          <w:szCs w:val="24"/>
          <w:highlight w:val="none"/>
          <w:lang w:val="en-US" w:eastAsia="zh-CN"/>
        </w:rPr>
        <w:t>（三）</w:t>
      </w:r>
      <w:r>
        <w:rPr>
          <w:rFonts w:hint="eastAsia" w:ascii="宋体" w:hAnsi="宋体" w:eastAsia="宋体" w:cs="宋体"/>
          <w:b w:val="0"/>
          <w:color w:val="auto"/>
          <w:kern w:val="2"/>
          <w:sz w:val="24"/>
          <w:szCs w:val="24"/>
          <w:highlight w:val="none"/>
          <w:lang w:val="en-US" w:eastAsia="zh-CN" w:bidi="ar-SA"/>
        </w:rPr>
        <w:t>付款条件（进度和方式）：电汇或支票</w:t>
      </w:r>
    </w:p>
    <w:p>
      <w:pPr>
        <w:keepNext w:val="0"/>
        <w:keepLines w:val="0"/>
        <w:pageBreakBefore w:val="0"/>
        <w:widowControl w:val="0"/>
        <w:kinsoku/>
        <w:wordWrap/>
        <w:overflowPunct/>
        <w:topLinePunct w:val="0"/>
        <w:autoSpaceDE/>
        <w:autoSpaceDN/>
        <w:bidi w:val="0"/>
        <w:adjustRightInd/>
        <w:snapToGrid/>
        <w:spacing w:line="450" w:lineRule="exact"/>
        <w:ind w:firstLine="240" w:firstLineChars="100"/>
        <w:contextualSpacing/>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（1）合同签订后，买方收到卖方提供的下列单据并审核无误后，向卖方支付40%的总合同款：</w:t>
      </w:r>
    </w:p>
    <w:p>
      <w:pPr>
        <w:keepNext w:val="0"/>
        <w:keepLines w:val="0"/>
        <w:pageBreakBefore w:val="0"/>
        <w:widowControl w:val="0"/>
        <w:kinsoku/>
        <w:wordWrap/>
        <w:overflowPunct/>
        <w:topLinePunct w:val="0"/>
        <w:autoSpaceDE/>
        <w:autoSpaceDN/>
        <w:bidi w:val="0"/>
        <w:adjustRightInd/>
        <w:snapToGrid/>
        <w:spacing w:line="450" w:lineRule="exact"/>
        <w:contextualSpacing/>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 xml:space="preserve">     a.合同首付款发票；</w:t>
      </w:r>
    </w:p>
    <w:p>
      <w:pPr>
        <w:keepNext w:val="0"/>
        <w:keepLines w:val="0"/>
        <w:pageBreakBefore w:val="0"/>
        <w:widowControl w:val="0"/>
        <w:kinsoku/>
        <w:wordWrap/>
        <w:overflowPunct/>
        <w:topLinePunct w:val="0"/>
        <w:autoSpaceDE/>
        <w:autoSpaceDN/>
        <w:bidi w:val="0"/>
        <w:adjustRightInd/>
        <w:snapToGrid/>
        <w:spacing w:line="450" w:lineRule="exact"/>
        <w:contextualSpacing/>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 xml:space="preserve">     b.中标经销商资质及所投标产品资质；</w:t>
      </w:r>
    </w:p>
    <w:p>
      <w:pPr>
        <w:keepNext w:val="0"/>
        <w:keepLines w:val="0"/>
        <w:pageBreakBefore w:val="0"/>
        <w:widowControl w:val="0"/>
        <w:kinsoku/>
        <w:wordWrap/>
        <w:overflowPunct/>
        <w:topLinePunct w:val="0"/>
        <w:autoSpaceDE/>
        <w:autoSpaceDN/>
        <w:bidi w:val="0"/>
        <w:adjustRightInd/>
        <w:snapToGrid/>
        <w:spacing w:line="450" w:lineRule="exact"/>
        <w:ind w:firstLine="240" w:firstLineChars="100"/>
        <w:contextualSpacing/>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（2）货物安装调试并验收合格后，卖方需在银行开具合同总价10%且有效期为12个月的履约保函，买方在收到银行出具的履约保函后，且后续财政资金到位后，买方向卖方支付剩余合同款。</w:t>
      </w:r>
    </w:p>
    <w:p>
      <w:pPr>
        <w:pStyle w:val="5"/>
        <w:keepNext w:val="0"/>
        <w:keepLines w:val="0"/>
        <w:pageBreakBefore w:val="0"/>
        <w:widowControl w:val="0"/>
        <w:kinsoku/>
        <w:wordWrap/>
        <w:overflowPunct/>
        <w:topLinePunct w:val="0"/>
        <w:bidi w:val="0"/>
        <w:adjustRightInd/>
        <w:snapToGrid/>
        <w:spacing w:line="450" w:lineRule="exact"/>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注：付款方式仅供参考，首款比例不变，尾款以最终签订合同为准。</w:t>
      </w:r>
    </w:p>
    <w:p>
      <w:pPr>
        <w:keepNext w:val="0"/>
        <w:keepLines w:val="0"/>
        <w:pageBreakBefore w:val="0"/>
        <w:widowControl w:val="0"/>
        <w:kinsoku/>
        <w:wordWrap/>
        <w:overflowPunct/>
        <w:topLinePunct w:val="0"/>
        <w:autoSpaceDE/>
        <w:autoSpaceDN/>
        <w:bidi w:val="0"/>
        <w:adjustRightInd/>
        <w:snapToGrid/>
        <w:spacing w:line="450" w:lineRule="exact"/>
        <w:ind w:firstLine="240" w:firstLineChars="100"/>
        <w:contextualSpacing/>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（四）.包装和运输（如适用，须满足《关于印发〈商品包装政府采购需求标准（试行）〉、〈快递包装政府采购需求标准（试行）〉的通知》（财办库﹝2020﹞123号））</w:t>
      </w:r>
    </w:p>
    <w:p>
      <w:pPr>
        <w:keepNext w:val="0"/>
        <w:keepLines w:val="0"/>
        <w:pageBreakBefore w:val="0"/>
        <w:widowControl w:val="0"/>
        <w:kinsoku/>
        <w:wordWrap/>
        <w:overflowPunct/>
        <w:topLinePunct w:val="0"/>
        <w:autoSpaceDE w:val="0"/>
        <w:autoSpaceDN w:val="0"/>
        <w:bidi w:val="0"/>
        <w:adjustRightInd/>
        <w:snapToGrid/>
        <w:spacing w:line="450" w:lineRule="exact"/>
        <w:contextualSpacing/>
        <w:textAlignment w:val="auto"/>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 xml:space="preserve">四、采购标的需满足的服务标准、期限、效率等要求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（一）采购标的需满足的服务标准、效率要求（以各包技术规格中要求为准，如技术规格中无要求，则以本款要求为准。）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1. 投标人应有能力做好售后服务工作和提供技术保障。投标人或投标产品制造商应设有专业的售后服务维修机构，有充足的零件储备和能力相当的技术服务人员，并保证投标产品停产后10年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 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w:t>
      </w:r>
      <w:r>
        <w:rPr>
          <w:rFonts w:hint="eastAsia"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val="en-US" w:eastAsia="zh-CN"/>
        </w:rPr>
        <w:t xml:space="preserve">天内将这些资料免费寄给采购人。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3. 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4. 投标人应负责投标货物质量保证期内的免费维修和配件供应，投标人售后服务维修机构应备有所购货物及时维修所需的关键零部件。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5. 投标人应保证在质量保证期内提供投标货物专用的软件和相应数据库资料的免费升级服务。（如果有）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6. 在合同执行期和质量保证期内，投标人应保证在收到要求提供维修服务的通知后 2小时内给予反馈，24小时内派合格的技术人员赴现场提供免费服务，解决问题。如不能按采购人要求的时间予以修复，投标人应保证免费提供同类备用设备，供采购人使用。 </w:t>
      </w:r>
    </w:p>
    <w:p>
      <w:pPr>
        <w:keepNext w:val="0"/>
        <w:keepLines w:val="0"/>
        <w:pageBreakBefore w:val="0"/>
        <w:widowControl w:val="0"/>
        <w:kinsoku/>
        <w:wordWrap/>
        <w:overflowPunct/>
        <w:topLinePunct w:val="0"/>
        <w:bidi w:val="0"/>
        <w:adjustRightInd/>
        <w:snapToGrid/>
        <w:spacing w:line="450" w:lineRule="exact"/>
        <w:ind w:firstLine="482" w:firstLineChars="200"/>
        <w:contextualSpacing/>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（二）采购标的需满足的服务期限要求</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 质量保证期（保修期）：除非在每包（品目）技术规格中另有规定外，本项目所供设备的质量保证期为调试验收合格后3年。终生免费维修：保修期后，配件费用按成本价收取费用，免人工费。</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 售后服务：由设备原厂负责售后服务并做出售后服务承诺。</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（1）负责设备的安装、调试和人员培训，直至人员能够完全掌握独立操作。应详细做出人员培训方案，包括培训地点，培训时长及培训达到的效果。</w:t>
      </w:r>
    </w:p>
    <w:p>
      <w:pPr>
        <w:keepNext w:val="0"/>
        <w:keepLines w:val="0"/>
        <w:pageBreakBefore w:val="0"/>
        <w:widowControl w:val="0"/>
        <w:kinsoku/>
        <w:wordWrap/>
        <w:overflowPunct/>
        <w:topLinePunct w:val="0"/>
        <w:bidi w:val="0"/>
        <w:adjustRightInd/>
        <w:snapToGrid/>
        <w:spacing w:line="450" w:lineRule="exact"/>
        <w:ind w:firstLine="240" w:firstLineChars="1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▲（2）维修点：有固定维修点，提供详细地址及联系电话；</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（3）维修工程师：有专职的维修工程师并提供人数；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（4）维修响应速度：</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val="en-US" w:eastAsia="zh-CN"/>
        </w:rPr>
        <w:t>小时内做出维修方案决定；如2小时内无法通过电话解决问题，维修人员必须在接到故障报告后24小时内到达医院。出现故障时，如48小时无法排除故障，免费提供备用设备。</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（5）保修期内的开机率：投标方保证开机率≥95%（按一年365天计算）；</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（6）保修期外每年的设备维修保养费用：请在投标文件中注明保修期外购买保修服务所需费用（税后）</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3年内一般不超过设备原值的3%</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3—5年一般不超过设备原值的4%</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5年以上一般不超过设备原值的5%</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（7）保修期内，每季度对设备提供巡检、保养或预防性维护，每年对设备进行质控检测≥1次</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（8）提供维修手册、软件等服务类资料</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（9）提供免费软件升级更新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3. 备件及技术服务</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（1）为保证设备正常运行，设备原厂应在中国境内方便的地点设置备件库，存入所有必须的备件，并保证设备停产后不少于</w:t>
      </w:r>
      <w:r>
        <w:rPr>
          <w:rFonts w:hint="eastAsia"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val="en-US" w:eastAsia="zh-CN"/>
        </w:rPr>
        <w:t>年的供应期。</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（2）应提供原厂维修配件明细表及报价单(如提供公开信息渠道可查询到的，可免提供，但须注明查询方法及来源)。</w:t>
      </w:r>
    </w:p>
    <w:p>
      <w:pPr>
        <w:keepNext w:val="0"/>
        <w:keepLines w:val="0"/>
        <w:pageBreakBefore w:val="0"/>
        <w:widowControl w:val="0"/>
        <w:kinsoku/>
        <w:wordWrap/>
        <w:overflowPunct/>
        <w:topLinePunct w:val="0"/>
        <w:bidi w:val="0"/>
        <w:adjustRightInd/>
        <w:snapToGrid/>
        <w:spacing w:line="450" w:lineRule="exact"/>
        <w:ind w:firstLine="240" w:firstLineChars="1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▲（3）应免费开放数据接口，以便招标人将该设备与相关信息系统连接。如连接需发生软件（含接口费）及硬件费用，其费用应含在投标报价内。</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（4）安装完成后，由招标人、当地质检部门及相关部门联合验收（如需要），达到本标书中各项技术指标和原设备的产品标准，并满足安全使用防护要求的，方可验收合格。</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（5）专用工具：如有专用工具，投标人应向招标人提供设备使用及维护的专用工具。</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（6）资料</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①</w:t>
      </w:r>
      <w:r>
        <w:rPr>
          <w:rFonts w:hint="eastAsia"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val="en-US" w:eastAsia="zh-CN"/>
        </w:rPr>
        <w:t>卖方须向买方提供操作手册、技术资料（维修及使用）：中文2套 ，英文1套。</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② 卖方须向买方提供设备的运行、安装、使用环境要求。</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（7） 技术服务</w:t>
      </w:r>
    </w:p>
    <w:p>
      <w:pPr>
        <w:keepNext w:val="0"/>
        <w:keepLines w:val="0"/>
        <w:pageBreakBefore w:val="0"/>
        <w:widowControl w:val="0"/>
        <w:kinsoku/>
        <w:wordWrap/>
        <w:overflowPunct/>
        <w:topLinePunct w:val="0"/>
        <w:bidi w:val="0"/>
        <w:adjustRightInd/>
        <w:snapToGrid/>
        <w:spacing w:line="450" w:lineRule="exact"/>
        <w:ind w:firstLine="720" w:firstLineChars="3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在货物运抵使用单位后，卖方应在使用单位所要求的时间派工程技术人员到达现场，在买方技术人员在场的情况下开箱清点货物，组织安装、调试，并承担所需的工具、备件、消耗品及因此发生的一切费用。</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（8）如是国家规定强制检定的计量设备，安装时需提供省级以上计量部门出具的该设备的初检合格证书，如不能出具，买方进行计量初检的费用应含在投标报价内。</w:t>
      </w:r>
    </w:p>
    <w:p>
      <w:pPr>
        <w:keepNext w:val="0"/>
        <w:keepLines w:val="0"/>
        <w:pageBreakBefore w:val="0"/>
        <w:widowControl w:val="0"/>
        <w:kinsoku/>
        <w:wordWrap/>
        <w:overflowPunct/>
        <w:topLinePunct w:val="0"/>
        <w:bidi w:val="0"/>
        <w:adjustRightInd/>
        <w:snapToGrid/>
        <w:spacing w:line="450" w:lineRule="exact"/>
        <w:contextualSpacing/>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 xml:space="preserve">五、采购标的物验收标准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1. 投标人应保证在发货前对货物的质量、规格、性能、数量和重量等进行准确 </w:t>
      </w:r>
    </w:p>
    <w:p>
      <w:pPr>
        <w:keepNext w:val="0"/>
        <w:keepLines w:val="0"/>
        <w:pageBreakBefore w:val="0"/>
        <w:widowControl w:val="0"/>
        <w:kinsoku/>
        <w:wordWrap/>
        <w:overflowPunct/>
        <w:topLinePunct w:val="0"/>
        <w:bidi w:val="0"/>
        <w:adjustRightInd/>
        <w:snapToGrid/>
        <w:spacing w:line="450" w:lineRule="exact"/>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而全面的检验，并出具一份证明货物符合合同规定的证书。该证书将作为提交付 </w:t>
      </w:r>
    </w:p>
    <w:p>
      <w:pPr>
        <w:keepNext w:val="0"/>
        <w:keepLines w:val="0"/>
        <w:pageBreakBefore w:val="0"/>
        <w:widowControl w:val="0"/>
        <w:kinsoku/>
        <w:wordWrap/>
        <w:overflowPunct/>
        <w:topLinePunct w:val="0"/>
        <w:bidi w:val="0"/>
        <w:adjustRightInd/>
        <w:snapToGrid/>
        <w:spacing w:line="450" w:lineRule="exact"/>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款单据的一部分，但有关质量、规格、性能、数量或重要的检验不应视为最终检 </w:t>
      </w:r>
    </w:p>
    <w:p>
      <w:pPr>
        <w:keepNext w:val="0"/>
        <w:keepLines w:val="0"/>
        <w:pageBreakBefore w:val="0"/>
        <w:widowControl w:val="0"/>
        <w:kinsoku/>
        <w:wordWrap/>
        <w:overflowPunct/>
        <w:topLinePunct w:val="0"/>
        <w:bidi w:val="0"/>
        <w:adjustRightInd/>
        <w:snapToGrid/>
        <w:spacing w:line="450" w:lineRule="exact"/>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验。投标人检验的结果和详细要求应在质量证书中加以说明。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2. 货物运抵采购项目（标的）交付的地点后，采购人将在 7 个工作日内组织验收，由采购人组织验收小组，对货物的数量、外观、包装、质量、安全、功能及性能等进行验收，项目验收依据为采购合同、谈判文件和报价文件。验收小组将根据验收情况制作验收备忘录并签署验收意见。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3.投标人应负责使所供计量仪器通过计量部门的验收，并承担相关费用（包括运 </w:t>
      </w:r>
    </w:p>
    <w:p>
      <w:pPr>
        <w:keepNext w:val="0"/>
        <w:keepLines w:val="0"/>
        <w:pageBreakBefore w:val="0"/>
        <w:widowControl w:val="0"/>
        <w:kinsoku/>
        <w:wordWrap/>
        <w:overflowPunct/>
        <w:topLinePunct w:val="0"/>
        <w:bidi w:val="0"/>
        <w:adjustRightInd/>
        <w:snapToGrid/>
        <w:spacing w:line="450" w:lineRule="exact"/>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费）。若需要，应在检测期间提供备用仪器，以便不影响采购人的使用。 </w:t>
      </w:r>
    </w:p>
    <w:p>
      <w:pPr>
        <w:keepNext w:val="0"/>
        <w:keepLines w:val="0"/>
        <w:pageBreakBefore w:val="0"/>
        <w:widowControl w:val="0"/>
        <w:kinsoku/>
        <w:wordWrap/>
        <w:overflowPunct/>
        <w:topLinePunct w:val="0"/>
        <w:bidi w:val="0"/>
        <w:adjustRightInd/>
        <w:snapToGrid/>
        <w:spacing w:line="450" w:lineRule="exact"/>
        <w:contextualSpacing/>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 xml:space="preserve">六、采购标的的其他技术、服务等要求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 投标人需要提供投标产品技术支持资料（或证明材料），并需要同时加盖投标人</w:t>
      </w:r>
      <w:r>
        <w:rPr>
          <w:rFonts w:hint="eastAsia" w:cs="宋体"/>
          <w:color w:val="auto"/>
          <w:spacing w:val="0"/>
          <w:sz w:val="24"/>
          <w:szCs w:val="24"/>
          <w:highlight w:val="none"/>
          <w:lang w:val="en-US" w:eastAsia="zh-CN"/>
        </w:rPr>
        <w:t>或</w:t>
      </w:r>
      <w:r>
        <w:rPr>
          <w:rFonts w:hint="eastAsia" w:ascii="宋体" w:hAnsi="宋体" w:eastAsia="宋体" w:cs="宋体"/>
          <w:color w:val="auto"/>
          <w:spacing w:val="0"/>
          <w:sz w:val="24"/>
          <w:szCs w:val="24"/>
          <w:highlight w:val="none"/>
          <w:lang w:val="en-US" w:eastAsia="zh-CN"/>
        </w:rPr>
        <w:t xml:space="preserve">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2. 投标人所提供的部件之间及设备之间的连线或接插件均视为设备内部部件，应包含在相应的配置中。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3. 工作条件：除了在技术规格中另有规定外，投标人提供的一切仪器、设备和系统，应符合下列条件：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1）仪器设备的插头要符合中国电工标准。如不符合，则应提供适合仪器插头的插座，必须要有接地。 </w:t>
      </w:r>
    </w:p>
    <w:p>
      <w:pPr>
        <w:keepNext w:val="0"/>
        <w:keepLines w:val="0"/>
        <w:pageBreakBefore w:val="0"/>
        <w:widowControl w:val="0"/>
        <w:kinsoku/>
        <w:wordWrap/>
        <w:overflowPunct/>
        <w:topLinePunct w:val="0"/>
        <w:bidi w:val="0"/>
        <w:adjustRightInd/>
        <w:snapToGrid/>
        <w:spacing w:line="450" w:lineRule="exact"/>
        <w:ind w:firstLine="480" w:firstLineChars="200"/>
        <w:contextualSpacing/>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 xml:space="preserve">2） 如果仪器设备需特殊的工作条件（如：水、电源、磁场强度、特殊温度、湿度、震动强度等），投标人应在有关投标文件中加以说明。 </w:t>
      </w:r>
    </w:p>
    <w:p>
      <w:pPr>
        <w:keepNext w:val="0"/>
        <w:keepLines w:val="0"/>
        <w:pageBreakBefore w:val="0"/>
        <w:widowControl w:val="0"/>
        <w:kinsoku/>
        <w:wordWrap/>
        <w:overflowPunct/>
        <w:topLinePunct w:val="0"/>
        <w:bidi w:val="0"/>
        <w:adjustRightInd/>
        <w:snapToGrid/>
        <w:spacing w:line="450" w:lineRule="exact"/>
        <w:contextualSpacing/>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 培训要求：培训是指涉及产品基本原理、安装、调试、操作使用和保养维修等有关内容的学习。投标人应保证在采购人指定交货地点对每包（品目）最终用户设备操作人员提供不少于1天的免费</w:t>
      </w:r>
      <w:r>
        <w:rPr>
          <w:rFonts w:hint="eastAsia" w:ascii="宋体" w:hAnsi="宋体" w:eastAsia="宋体" w:cs="宋体"/>
          <w:b w:val="0"/>
          <w:bCs w:val="0"/>
          <w:color w:val="auto"/>
          <w:spacing w:val="0"/>
          <w:sz w:val="24"/>
          <w:szCs w:val="24"/>
          <w:highlight w:val="none"/>
          <w:lang w:val="en-US" w:eastAsia="zh-CN"/>
        </w:rPr>
        <w:t xml:space="preserve">培训。投标人投标时应提供详细的培训方案。培训教员的差旅费、食宿费、培训教材等费用，应计入投标报价。（以各包技术规格中要求为准，如技术规格中无要求，则以本款要求为准。） </w:t>
      </w:r>
    </w:p>
    <w:p>
      <w:pPr>
        <w:keepNext w:val="0"/>
        <w:keepLines w:val="0"/>
        <w:pageBreakBefore w:val="0"/>
        <w:widowControl w:val="0"/>
        <w:kinsoku/>
        <w:wordWrap/>
        <w:overflowPunct/>
        <w:topLinePunct w:val="0"/>
        <w:bidi w:val="0"/>
        <w:adjustRightInd/>
        <w:snapToGrid/>
        <w:spacing w:line="450" w:lineRule="exact"/>
        <w:contextualSpacing/>
        <w:rPr>
          <w:rFonts w:hint="eastAsia"/>
          <w:color w:val="auto"/>
          <w:spacing w:val="0"/>
          <w:sz w:val="28"/>
          <w:szCs w:val="24"/>
          <w:highlight w:val="none"/>
          <w:lang w:val="en-US" w:eastAsia="zh-CN"/>
        </w:rPr>
      </w:pPr>
      <w:r>
        <w:rPr>
          <w:rFonts w:hint="eastAsia" w:ascii="宋体" w:hAnsi="宋体" w:eastAsia="宋体" w:cs="宋体"/>
          <w:b/>
          <w:bCs/>
          <w:color w:val="auto"/>
          <w:spacing w:val="0"/>
          <w:sz w:val="24"/>
          <w:szCs w:val="24"/>
          <w:highlight w:val="none"/>
          <w:lang w:val="en-US" w:eastAsia="zh-CN"/>
        </w:rPr>
        <w:t>七、采购标的需满足的质量、安全、技术规格、物理特性等要求：</w:t>
      </w:r>
      <w:r>
        <w:rPr>
          <w:rFonts w:hint="eastAsia" w:ascii="宋体" w:hAnsi="宋体" w:eastAsia="宋体" w:cs="宋体"/>
          <w:b/>
          <w:bCs/>
          <w:color w:val="auto"/>
          <w:spacing w:val="0"/>
          <w:sz w:val="28"/>
          <w:szCs w:val="28"/>
          <w:highlight w:val="none"/>
          <w:lang w:val="en-US" w:eastAsia="zh-CN"/>
        </w:rPr>
        <w:t xml:space="preserve"> </w:t>
      </w:r>
    </w:p>
    <w:p>
      <w:pPr>
        <w:pStyle w:val="3"/>
        <w:keepNext w:val="0"/>
        <w:keepLines w:val="0"/>
        <w:pageBreakBefore w:val="0"/>
        <w:kinsoku/>
        <w:wordWrap/>
        <w:overflowPunct/>
        <w:topLinePunct w:val="0"/>
        <w:bidi w:val="0"/>
        <w:spacing w:afterAutospacing="0" w:line="450" w:lineRule="exact"/>
        <w:rPr>
          <w:rFonts w:hint="eastAsia" w:ascii="宋体" w:hAnsi="宋体" w:eastAsia="宋体" w:cs="宋体"/>
          <w:b/>
          <w:bCs/>
          <w:color w:val="auto"/>
          <w:sz w:val="24"/>
          <w:szCs w:val="24"/>
          <w:highlight w:val="none"/>
          <w:lang w:val="en-US" w:eastAsia="zh-CN"/>
        </w:rPr>
      </w:pPr>
    </w:p>
    <w:p>
      <w:pPr>
        <w:keepNext w:val="0"/>
        <w:keepLines w:val="0"/>
        <w:pageBreakBefore w:val="0"/>
        <w:tabs>
          <w:tab w:val="left" w:pos="1440"/>
        </w:tabs>
        <w:kinsoku/>
        <w:wordWrap/>
        <w:overflowPunct/>
        <w:topLinePunct w:val="0"/>
        <w:bidi w:val="0"/>
        <w:spacing w:afterAutospacing="0" w:line="45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07包：品目7-1：肝脏无创定量超声诊断仪</w:t>
      </w:r>
    </w:p>
    <w:p>
      <w:pPr>
        <w:keepNext w:val="0"/>
        <w:keepLines w:val="0"/>
        <w:pageBreakBefore w:val="0"/>
        <w:kinsoku/>
        <w:wordWrap/>
        <w:overflowPunct/>
        <w:topLinePunct w:val="0"/>
        <w:bidi w:val="0"/>
        <w:spacing w:beforeLines="0" w:afterLines="0" w:afterAutospacing="0" w:line="450" w:lineRule="exact"/>
        <w:textAlignment w:val="baseline"/>
        <w:rPr>
          <w:rStyle w:val="10"/>
          <w:rFonts w:hint="eastAsia" w:ascii="宋体" w:hAnsi="宋体" w:eastAsia="宋体" w:cs="宋体"/>
          <w:color w:val="auto"/>
          <w:sz w:val="24"/>
          <w:szCs w:val="24"/>
          <w:highlight w:val="none"/>
        </w:rPr>
      </w:pPr>
      <w:r>
        <w:rPr>
          <w:rStyle w:val="10"/>
          <w:rFonts w:hint="eastAsia" w:ascii="宋体" w:hAnsi="宋体" w:eastAsia="宋体" w:cs="宋体"/>
          <w:color w:val="auto"/>
          <w:sz w:val="24"/>
          <w:szCs w:val="24"/>
          <w:highlight w:val="none"/>
        </w:rPr>
        <w:t>一、主要功能用途：</w:t>
      </w:r>
    </w:p>
    <w:p>
      <w:pPr>
        <w:keepNext w:val="0"/>
        <w:keepLines w:val="0"/>
        <w:pageBreakBefore w:val="0"/>
        <w:kinsoku/>
        <w:wordWrap/>
        <w:overflowPunct/>
        <w:topLinePunct w:val="0"/>
        <w:bidi w:val="0"/>
        <w:spacing w:beforeLines="0" w:afterLines="0" w:afterAutospacing="0" w:line="450" w:lineRule="exact"/>
        <w:textAlignment w:val="baseline"/>
        <w:rPr>
          <w:rStyle w:val="10"/>
          <w:rFonts w:hint="eastAsia" w:ascii="宋体" w:hAnsi="宋体" w:eastAsia="宋体" w:cs="宋体"/>
          <w:color w:val="auto"/>
          <w:sz w:val="24"/>
          <w:szCs w:val="24"/>
          <w:highlight w:val="none"/>
        </w:rPr>
      </w:pPr>
      <w:r>
        <w:rPr>
          <w:rStyle w:val="10"/>
          <w:rFonts w:hint="eastAsia" w:ascii="宋体" w:hAnsi="宋体" w:eastAsia="宋体" w:cs="宋体"/>
          <w:color w:val="auto"/>
          <w:sz w:val="24"/>
          <w:szCs w:val="24"/>
          <w:highlight w:val="none"/>
        </w:rPr>
        <w:t>1、用于监测和评估慢性肝病的量化。</w:t>
      </w:r>
    </w:p>
    <w:p>
      <w:pPr>
        <w:keepNext w:val="0"/>
        <w:keepLines w:val="0"/>
        <w:pageBreakBefore w:val="0"/>
        <w:kinsoku/>
        <w:wordWrap/>
        <w:overflowPunct/>
        <w:topLinePunct w:val="0"/>
        <w:bidi w:val="0"/>
        <w:spacing w:beforeLines="0" w:afterLines="0" w:afterAutospacing="0" w:line="450" w:lineRule="exact"/>
        <w:textAlignment w:val="baseline"/>
        <w:rPr>
          <w:rFonts w:hint="eastAsia" w:ascii="宋体" w:hAnsi="宋体" w:eastAsia="宋体" w:cs="宋体"/>
          <w:color w:val="auto"/>
          <w:sz w:val="24"/>
          <w:szCs w:val="24"/>
          <w:highlight w:val="none"/>
        </w:rPr>
      </w:pPr>
      <w:r>
        <w:rPr>
          <w:rStyle w:val="10"/>
          <w:rFonts w:hint="eastAsia" w:ascii="宋体" w:hAnsi="宋体" w:eastAsia="宋体" w:cs="宋体"/>
          <w:color w:val="auto"/>
          <w:sz w:val="24"/>
          <w:szCs w:val="24"/>
          <w:highlight w:val="none"/>
        </w:rPr>
        <w:t>2、利用瞬时弹性成像技术，以kPa为单位显示每次检测的肝脏硬度值，评估肝脏纤维化程度</w:t>
      </w:r>
      <w:r>
        <w:rPr>
          <w:rFonts w:hint="eastAsia" w:ascii="宋体" w:hAnsi="宋体" w:eastAsia="宋体" w:cs="宋体"/>
          <w:color w:val="auto"/>
          <w:sz w:val="24"/>
          <w:szCs w:val="24"/>
          <w:highlight w:val="none"/>
        </w:rPr>
        <w:t>风险。</w:t>
      </w:r>
    </w:p>
    <w:p>
      <w:pPr>
        <w:keepNext w:val="0"/>
        <w:keepLines w:val="0"/>
        <w:pageBreakBefore w:val="0"/>
        <w:kinsoku/>
        <w:wordWrap/>
        <w:overflowPunct/>
        <w:topLinePunct w:val="0"/>
        <w:bidi w:val="0"/>
        <w:spacing w:beforeLines="0" w:afterLines="0" w:afterAutospacing="0" w:line="450" w:lineRule="exact"/>
        <w:textAlignment w:val="baseline"/>
        <w:rPr>
          <w:rStyle w:val="1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Style w:val="10"/>
          <w:rFonts w:hint="eastAsia" w:ascii="宋体" w:hAnsi="宋体" w:eastAsia="宋体" w:cs="宋体"/>
          <w:color w:val="auto"/>
          <w:sz w:val="24"/>
          <w:szCs w:val="24"/>
          <w:highlight w:val="none"/>
        </w:rPr>
        <w:t>诊断和鉴别肝病患者所处的状态，用于慢性肝病纤维化程度的确认以及对肝硬化并发症的预测，肝移植患者的术后随访，对抗病毒疗效的跟踪评估。</w:t>
      </w:r>
    </w:p>
    <w:p>
      <w:pPr>
        <w:keepNext w:val="0"/>
        <w:keepLines w:val="0"/>
        <w:pageBreakBefore w:val="0"/>
        <w:kinsoku/>
        <w:wordWrap/>
        <w:overflowPunct/>
        <w:topLinePunct w:val="0"/>
        <w:bidi w:val="0"/>
        <w:spacing w:beforeLines="0" w:afterLines="0" w:afterAutospacing="0" w:line="450" w:lineRule="exact"/>
        <w:textAlignment w:val="baseline"/>
        <w:rPr>
          <w:rStyle w:val="10"/>
          <w:rFonts w:hint="eastAsia" w:ascii="宋体" w:hAnsi="宋体" w:eastAsia="宋体" w:cs="宋体"/>
          <w:color w:val="auto"/>
          <w:sz w:val="24"/>
          <w:szCs w:val="24"/>
          <w:highlight w:val="none"/>
        </w:rPr>
      </w:pPr>
      <w:r>
        <w:rPr>
          <w:rStyle w:val="10"/>
          <w:rFonts w:hint="eastAsia" w:ascii="宋体" w:hAnsi="宋体" w:eastAsia="宋体" w:cs="宋体"/>
          <w:color w:val="auto"/>
          <w:sz w:val="24"/>
          <w:szCs w:val="24"/>
          <w:highlight w:val="none"/>
        </w:rPr>
        <w:t>4、利用受控衰减参数技术，以dB/m为单位显示超声波在肝脏中的衰减。</w:t>
      </w:r>
    </w:p>
    <w:p>
      <w:pPr>
        <w:keepNext w:val="0"/>
        <w:keepLines w:val="0"/>
        <w:pageBreakBefore w:val="0"/>
        <w:kinsoku/>
        <w:wordWrap/>
        <w:overflowPunct/>
        <w:topLinePunct w:val="0"/>
        <w:bidi w:val="0"/>
        <w:spacing w:beforeLines="0" w:afterLines="0" w:afterAutospacing="0" w:line="450" w:lineRule="exact"/>
        <w:textAlignment w:val="baseline"/>
        <w:rPr>
          <w:rStyle w:val="10"/>
          <w:rFonts w:hint="eastAsia" w:ascii="宋体" w:hAnsi="宋体" w:eastAsia="宋体" w:cs="宋体"/>
          <w:color w:val="auto"/>
          <w:sz w:val="24"/>
          <w:szCs w:val="24"/>
          <w:highlight w:val="none"/>
        </w:rPr>
      </w:pPr>
      <w:r>
        <w:rPr>
          <w:rStyle w:val="10"/>
          <w:rFonts w:hint="eastAsia" w:ascii="宋体" w:hAnsi="宋体" w:eastAsia="宋体" w:cs="宋体"/>
          <w:color w:val="auto"/>
          <w:sz w:val="24"/>
          <w:szCs w:val="24"/>
          <w:highlight w:val="none"/>
        </w:rPr>
        <w:t>二、主要技术性能指标及要求：</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1、主机：</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操作系统：windows</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存储容量：≥1T</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CPU：高于Intel®core</w:t>
      </w:r>
      <w:r>
        <w:rPr>
          <w:rFonts w:hint="eastAsia" w:ascii="宋体" w:hAnsi="宋体" w:eastAsia="宋体" w:cs="宋体"/>
          <w:color w:val="auto"/>
          <w:sz w:val="24"/>
          <w:szCs w:val="24"/>
          <w:highlight w:val="none"/>
          <w:vertAlign w:val="superscript"/>
        </w:rPr>
        <w:t>TM</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内存：≥4G</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显示屏：≥21英寸LCD触屏。</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接口：具备RJ45≥1、USB≥3、剪切波探头接口≥2。</w:t>
      </w:r>
    </w:p>
    <w:p>
      <w:pPr>
        <w:keepNext w:val="0"/>
        <w:keepLines w:val="0"/>
        <w:pageBreakBefore w:val="0"/>
        <w:kinsoku/>
        <w:wordWrap/>
        <w:overflowPunct/>
        <w:topLinePunct w:val="0"/>
        <w:bidi w:val="0"/>
        <w:spacing w:beforeLines="0" w:afterLines="0" w:line="450" w:lineRule="exact"/>
        <w:ind w:left="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kern w:val="0"/>
          <w:sz w:val="24"/>
          <w:szCs w:val="24"/>
          <w:highlight w:val="none"/>
        </w:rPr>
        <w:t>辅助定位：</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时间位移（TM）模式，灰阶图像。</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2.2</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A模式（实时超声信号振幅）。</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3、测量数值显示：</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具备患者信息、硬度值中位数、脂肪变值中位数、有效测量次数、无效测量次数、IQR等。</w:t>
      </w:r>
    </w:p>
    <w:p>
      <w:pPr>
        <w:keepNext w:val="0"/>
        <w:keepLines w:val="0"/>
        <w:pageBreakBefore w:val="0"/>
        <w:kinsoku/>
        <w:wordWrap/>
        <w:overflowPunct/>
        <w:topLinePunct w:val="0"/>
        <w:bidi w:val="0"/>
        <w:spacing w:beforeLines="0" w:afterLines="0" w:afterAutospacing="0" w:line="450" w:lineRule="exact"/>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显示检测的每次数值，不可随意选取中间数据删除。</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4、肝脏硬度量程：</w:t>
      </w:r>
      <w:r>
        <w:rPr>
          <w:rFonts w:hint="eastAsia" w:ascii="宋体" w:hAnsi="宋体" w:eastAsia="宋体" w:cs="宋体"/>
          <w:bCs/>
          <w:color w:val="auto"/>
          <w:kern w:val="0"/>
          <w:sz w:val="24"/>
          <w:szCs w:val="24"/>
          <w:highlight w:val="none"/>
        </w:rPr>
        <w:t xml:space="preserve">≥65kPa，误差≤5% </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5、脂肪变值范围：</w:t>
      </w:r>
      <w:r>
        <w:rPr>
          <w:rFonts w:hint="eastAsia" w:ascii="宋体" w:hAnsi="宋体" w:eastAsia="宋体" w:cs="宋体"/>
          <w:bCs/>
          <w:color w:val="auto"/>
          <w:kern w:val="0"/>
          <w:sz w:val="24"/>
          <w:szCs w:val="24"/>
          <w:highlight w:val="none"/>
        </w:rPr>
        <w:t>≥350dB/m，误差≤10%</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可同时连接剪切波探头数量：≥2个</w:t>
      </w:r>
    </w:p>
    <w:p>
      <w:pPr>
        <w:keepNext w:val="0"/>
        <w:keepLines w:val="0"/>
        <w:pageBreakBefore w:val="0"/>
        <w:kinsoku/>
        <w:wordWrap/>
        <w:overflowPunct/>
        <w:topLinePunct w:val="0"/>
        <w:bidi w:val="0"/>
        <w:spacing w:beforeLines="0" w:afterLines="0" w:afterAutospacing="0" w:line="45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7、自动检测皮肤表面到肝脏包膜的距离，自动提示适用探头。</w:t>
      </w:r>
    </w:p>
    <w:p>
      <w:pPr>
        <w:keepNext w:val="0"/>
        <w:keepLines w:val="0"/>
        <w:pageBreakBefore w:val="0"/>
        <w:kinsoku/>
        <w:wordWrap/>
        <w:overflowPunct/>
        <w:topLinePunct w:val="0"/>
        <w:bidi w:val="0"/>
        <w:spacing w:beforeLines="0" w:afterLines="0" w:afterAutospacing="0" w:line="450" w:lineRule="exact"/>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8、工作状态指示：具备LED指示灯显示探头工作状态</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9、肝脏定位：具备自动定位功能，自动识别肝组织，非肝组织检测无效，并通过色标反映肝内超声信号的质量，确定最佳测量位置。</w:t>
      </w:r>
    </w:p>
    <w:p>
      <w:pPr>
        <w:keepNext w:val="0"/>
        <w:keepLines w:val="0"/>
        <w:pageBreakBefore w:val="0"/>
        <w:kinsoku/>
        <w:wordWrap/>
        <w:overflowPunct/>
        <w:topLinePunct w:val="0"/>
        <w:bidi w:val="0"/>
        <w:spacing w:beforeLines="0" w:afterLines="0" w:afterAutospacing="0" w:line="450" w:lineRule="exact"/>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10、具有检测条件编辑功能 </w:t>
      </w:r>
    </w:p>
    <w:p>
      <w:pPr>
        <w:keepNext w:val="0"/>
        <w:keepLines w:val="0"/>
        <w:pageBreakBefore w:val="0"/>
        <w:kinsoku/>
        <w:wordWrap/>
        <w:overflowPunct/>
        <w:topLinePunct w:val="0"/>
        <w:bidi w:val="0"/>
        <w:spacing w:beforeLines="0" w:afterLines="0" w:afterAutospacing="0" w:line="450" w:lineRule="exact"/>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11、剪切波探头：</w:t>
      </w:r>
    </w:p>
    <w:p>
      <w:pPr>
        <w:keepNext w:val="0"/>
        <w:keepLines w:val="0"/>
        <w:pageBreakBefore w:val="0"/>
        <w:kinsoku/>
        <w:wordWrap/>
        <w:overflowPunct/>
        <w:topLinePunct w:val="0"/>
        <w:bidi w:val="0"/>
        <w:spacing w:beforeLines="0" w:afterLines="0" w:afterAutospacing="0" w:line="450" w:lineRule="exact"/>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超声换能器:实时发射并接收超声波</w:t>
      </w:r>
    </w:p>
    <w:p>
      <w:pPr>
        <w:keepNext w:val="0"/>
        <w:keepLines w:val="0"/>
        <w:pageBreakBefore w:val="0"/>
        <w:kinsoku/>
        <w:wordWrap/>
        <w:overflowPunct/>
        <w:topLinePunct w:val="0"/>
        <w:bidi w:val="0"/>
        <w:spacing w:beforeLines="0" w:afterLines="0" w:afterAutospacing="0" w:line="450" w:lineRule="exact"/>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取样体积：≥3cm</w:t>
      </w:r>
      <w:r>
        <w:rPr>
          <w:rFonts w:hint="eastAsia" w:ascii="宋体" w:hAnsi="宋体" w:eastAsia="宋体" w:cs="宋体"/>
          <w:color w:val="auto"/>
          <w:sz w:val="24"/>
          <w:szCs w:val="24"/>
          <w:highlight w:val="none"/>
          <w:vertAlign w:val="superscript"/>
        </w:rPr>
        <w:t>3</w:t>
      </w:r>
    </w:p>
    <w:p>
      <w:pPr>
        <w:keepNext w:val="0"/>
        <w:keepLines w:val="0"/>
        <w:pageBreakBefore w:val="0"/>
        <w:kinsoku/>
        <w:wordWrap/>
        <w:overflowPunct/>
        <w:topLinePunct w:val="0"/>
        <w:bidi w:val="0"/>
        <w:spacing w:beforeLines="0" w:afterLines="0" w:afterAutospacing="0" w:line="450" w:lineRule="exact"/>
        <w:ind w:left="5040" w:hanging="5040" w:hanging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超声波有效跟踪深度：≥80㎜</w:t>
      </w:r>
    </w:p>
    <w:p>
      <w:pPr>
        <w:pStyle w:val="2"/>
        <w:keepNext w:val="0"/>
        <w:keepLines w:val="0"/>
        <w:pageBreakBefore w:val="0"/>
        <w:tabs>
          <w:tab w:val="left" w:pos="2420"/>
        </w:tabs>
        <w:kinsoku/>
        <w:wordWrap/>
        <w:overflowPunct/>
        <w:topLinePunct w:val="0"/>
        <w:bidi w:val="0"/>
        <w:spacing w:before="0" w:beforeLines="0" w:afterLines="0" w:afterAutospacing="0" w:line="450" w:lineRule="exact"/>
        <w:ind w:right="-5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剪切波探头激发方式：手控开关激发（开关按钮在探头上）</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成人剪切波探头超声传感器频率：定频3.5MHz（提供证明文件）</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成人剪切波探头传感器直径：≤7mm （提供证明文件）</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成人剪切波探头振幅：2.0mm±0.4mm</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成人剪切波探头测量深度：≥65mm</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11.9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肥胖人群剪切波探头超声传感器频率：定频2.5MHz（提供证明文件）</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11.10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肥胖人群剪切波探头传感器直径：≤10mm （提供证明文件）</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肥胖人群剪切波探头振幅：3.0mm±0.6mm </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肥胖人群剪切波探头测量深度：≥80mm      </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12、具有中文，英文等语言系统，能够导出Excel、PDF多种格式报告，报告模板可修改</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13、打印功能：具备报告支持自动打印</w:t>
      </w:r>
    </w:p>
    <w:p>
      <w:pPr>
        <w:keepNext w:val="0"/>
        <w:keepLines w:val="0"/>
        <w:pageBreakBefore w:val="0"/>
        <w:kinsoku/>
        <w:wordWrap/>
        <w:overflowPunct/>
        <w:topLinePunct w:val="0"/>
        <w:bidi w:val="0"/>
        <w:spacing w:beforeLines="0" w:afterLines="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14、脂肪变数据采集：自动采集≥100次</w:t>
      </w:r>
    </w:p>
    <w:p>
      <w:pPr>
        <w:keepNext w:val="0"/>
        <w:keepLines w:val="0"/>
        <w:pageBreakBefore w:val="0"/>
        <w:kinsoku/>
        <w:wordWrap/>
        <w:overflowPunct/>
        <w:topLinePunct w:val="0"/>
        <w:bidi w:val="0"/>
        <w:spacing w:beforeLines="0" w:afterLines="0" w:afterAutospacing="0" w:line="450" w:lineRule="exact"/>
        <w:ind w:left="480" w:hanging="480"/>
        <w:textAlignment w:val="baseline"/>
        <w:rPr>
          <w:rStyle w:val="1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15、具备</w:t>
      </w:r>
      <w:r>
        <w:rPr>
          <w:rStyle w:val="10"/>
          <w:rFonts w:hint="eastAsia" w:ascii="宋体" w:hAnsi="宋体" w:eastAsia="宋体" w:cs="宋体"/>
          <w:color w:val="auto"/>
          <w:sz w:val="24"/>
          <w:szCs w:val="24"/>
          <w:highlight w:val="none"/>
        </w:rPr>
        <w:t>检测结果统计分析功能，显示单一档案历史诊断结果与时间的曲线图</w:t>
      </w:r>
    </w:p>
    <w:p>
      <w:pPr>
        <w:keepNext w:val="0"/>
        <w:keepLines w:val="0"/>
        <w:pageBreakBefore w:val="0"/>
        <w:kinsoku/>
        <w:wordWrap/>
        <w:overflowPunct/>
        <w:topLinePunct w:val="0"/>
        <w:bidi w:val="0"/>
        <w:spacing w:beforeLines="0" w:afterLines="0" w:afterAutospacing="0" w:line="450" w:lineRule="exact"/>
        <w:ind w:left="480" w:hanging="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16、连接：支持DICOM文件传输</w:t>
      </w:r>
    </w:p>
    <w:p>
      <w:pPr>
        <w:keepNext w:val="0"/>
        <w:keepLines w:val="0"/>
        <w:pageBreakBefore w:val="0"/>
        <w:numPr>
          <w:ilvl w:val="0"/>
          <w:numId w:val="2"/>
        </w:numPr>
        <w:kinsoku/>
        <w:wordWrap/>
        <w:overflowPunct/>
        <w:topLinePunct w:val="0"/>
        <w:bidi w:val="0"/>
        <w:spacing w:beforeLines="0" w:afterLines="0" w:line="450" w:lineRule="exact"/>
        <w:rPr>
          <w:rFonts w:hint="eastAsia"/>
          <w:color w:val="auto"/>
          <w:sz w:val="24"/>
          <w:szCs w:val="24"/>
          <w:highlight w:val="none"/>
        </w:rPr>
      </w:pPr>
      <w:r>
        <w:rPr>
          <w:rFonts w:hint="eastAsia"/>
          <w:color w:val="auto"/>
          <w:sz w:val="24"/>
          <w:szCs w:val="24"/>
          <w:highlight w:val="none"/>
        </w:rPr>
        <w:t>三、配置</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1、主机：1台；</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2、成人剪切波探头：1把；</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3、肥胖人群剪切波探头：1把；</w:t>
      </w:r>
    </w:p>
    <w:p>
      <w:pPr>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4、独立报告工作站：1套。</w:t>
      </w:r>
    </w:p>
    <w:p>
      <w:pPr>
        <w:pStyle w:val="3"/>
        <w:keepNext w:val="0"/>
        <w:keepLines w:val="0"/>
        <w:pageBreakBefore w:val="0"/>
        <w:kinsoku/>
        <w:wordWrap/>
        <w:overflowPunct/>
        <w:topLinePunct w:val="0"/>
        <w:bidi w:val="0"/>
        <w:spacing w:beforeLines="0" w:afterLines="0" w:afterAutospacing="0" w:line="450" w:lineRule="exact"/>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Lines="0" w:afterLines="0" w:afterAutospacing="0" w:line="45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07包：品目7-2：牙科综合治疗机</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一、设备用途：用于口腔门诊、急诊病人口腔疾病的诊疗工作。治疗项目涵盖口腔颌面外科、牙体牙髓、修复及正畸等。</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二、工作条件：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1、环境温度范围：5-40℃；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2、相对湿度：≤85%；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3、大气压力范围：86-106Kpa；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4、电源：AC220V±10%，50Hz，功率≤500W；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5、工作时间：每天连续工作时间≥8 小时；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6、气源压力范围：0.5-0.7Mp，地箱内设空气过滤和高压装置,并有压力显示；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7、水源压力范围：≥200-400Kpa，具备地箱内设过滤和调压装置,并有压力显示。</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三、功能及技术参数：</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1、结构形式：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治疗台提供≥3 种安装方式供选；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器械盘采用下挂式。</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2、病人椅：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电动液压驱动系统：承载重量≥200 公斤，（提供药监局指定医疗器械检测机构的</w:t>
      </w:r>
    </w:p>
    <w:p>
      <w:pPr>
        <w:keepNext w:val="0"/>
        <w:keepLines w:val="0"/>
        <w:pageBreakBefore w:val="0"/>
        <w:kinsoku/>
        <w:wordWrap/>
        <w:overflowPunct/>
        <w:topLinePunct w:val="0"/>
        <w:bidi w:val="0"/>
        <w:snapToGrid w:val="0"/>
        <w:spacing w:beforeLines="0" w:afterLines="0" w:afterAutospacing="0" w:line="45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检验报告）；可调节液压速度，固体金属注模结构加喷粉烤漆保护，遇阻力时自动停止，承诺质保期 10 年；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自动紧急制动系统：病人椅下降时遇阻力自动停止并向上抬升，无压力时牙椅停</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止；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采用带有液位缓启缓停调节功能的多电磁阀体模块；（提供图片及电路图）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支架采用铸造工艺；（提供底板、升降臂、托架等关键金属部件的设计图纸和照</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片）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 双关节头枕：头枕具有颈部支撑功能，适合成人、儿童支撑，高度可调节；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2.6 双侧扶手设计，左侧扶手固定，右侧扶手可旋转；（提供图纸和照片）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2.7 采用无缝超薄软椅垫，一体滚塑底板；（提供图纸和照片）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流线形一体化地箱，地箱加上盖的总高度≤100mm，内设供气调压装置及过滤网；</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（提供设计图纸）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 病人椅的最低离地高度：≤400mm</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 病人椅的最高离地高度：≥950mm</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病人椅的靠背运动角度：≥105°</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3、器械盘治疗单元：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一体化地箱，链接水气调节装置及过滤。中心控制部位采用气动驱动：具有无逆流</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控水机制和快速装接口头；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管线全部内置；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手机管线采用双侧快插；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具备手机污油收集系统；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治疗台：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5.5.1</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配一体成型器械挂架，可同时挂 ≥6 只器械，内置预留洁牙机、光固化机的插</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口，并为安装其他辅助器械预留插口；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一体≥5 组防回吸手机控制模块；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助手位配 ≥3 只器械挂架，可根据用户需要增加同样挂架；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器械托盘：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一体成型，上部为规则长方形；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最大宽度≥550mm；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3.6.3 上部平台区域外缘≥500×330mm，内缘≥470×320mm；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3.7 器械臂主臂的连接部分装≥2 组滚针轴承和 1 组无油轴承； （提供照片和图纸）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触控调节面板：具备≥4 组程序椅位设定和记忆储存功能，具有控制手术灯开关、</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口杯注水、痰盂冲洗、椅位升降和靠背起伏等功能；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手机管线冲洗消毒程序键：快速清理手机导管内壁；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快插式防回吸三用枪：枪头枪柄可拆卸进行蒸气消毒；</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内置手机废油收集系统：收集手机轴承多余的润滑油；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内置≥2 升手机独立供水系统。</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4、痰盂及牙科助手工具托架：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陶瓷一体成型，随椅升降，可拆卸；</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 内置固体废物收集器；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可控定时水杯注水与痰盂冲洗，具有安全保护功能；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口杯供水为单独供水，痰盂冲水为自来水；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随椅升降三孔助手工具挂架，每个挂架支臂都可以单独旋转≥180°，可根据用户需</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要增加同样挂架；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强吸排唾控制阀，可拆卸、高温高压蒸气灭菌消毒；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弱吸排唾控制阀，可拆卸、高温高压蒸气灭菌消毒；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助手位具备多功能触控面板：可控手术灯开关、口杯注水、痰盂冲洗、椅位升降和</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靠背起伏等功能；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4.9 外观尺寸：侧箱长度≤525mm，宽度≤210mm，高度≤350mm（提供设计图纸）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5、手术灯：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手术灯与牙椅连体式，调节到治疗椅位时手术灯自动开启，离开治疗位时手术灯自</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动熄灭；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采用≥4 头 LED 冷光源，三轴定位，手术灯背板后中间二分之一处具有圆形槽位，</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手术灯平衡臂固定下可进行水平旋转≥500°、垂直旋转≥120°、对角线旋转≥80°；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灯光照射区亮度、颜色、呈现和均匀性都达到 ISO 9680 标准；</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无阴影渐进照明模式，照明使用寿命≥40000 小时无需更换灯泡；</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5.5 长方形照明区，可调焦距范围 400-750mm； </w:t>
      </w:r>
    </w:p>
    <w:p>
      <w:pPr>
        <w:keepNext w:val="0"/>
        <w:keepLines w:val="0"/>
        <w:pageBreakBefore w:val="0"/>
        <w:tabs>
          <w:tab w:val="left" w:pos="7554"/>
        </w:tabs>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 色温 5,000K，显色指数(CRI)≥94；</w:t>
      </w:r>
      <w:r>
        <w:rPr>
          <w:rFonts w:hint="eastAsia" w:ascii="宋体" w:hAnsi="宋体" w:eastAsia="宋体" w:cs="宋体"/>
          <w:color w:val="auto"/>
          <w:sz w:val="24"/>
          <w:szCs w:val="24"/>
          <w:highlight w:val="none"/>
        </w:rPr>
        <w:tab/>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5.7 亮度选择范围：8,000-25000 LUX；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5.8 平衡臂金属表面涂聚酯粉粒保护层。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6、医生椅：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6.1、医生椅升降高度可调、靠背高度可调；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6.2、铸铝件底座涂聚酯粉末涂层保护；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6.3、橡胶轮、五轮滚动。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7、护士椅：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护士椅升降高度可调，手枕扶手高度和打开收缩角度可调整；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不锈钢脚环高度可调；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铸铝件底座涂聚酯粉末涂层保护；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橡胶轮、五轮滚动； </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8、感控要求：</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内部主要部件为抗腐蚀材料；</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供水系统：牙椅内置入口器械用水独立供水系统，储水罐容量≥2升，具备一键冲水</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开关，可对牙椅所有手机管线进行化学消毒和冲洗，水罐可拆卸，可以选择连接医院集</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中供水系统；</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具备一键所有手机管线同时冲洗清洗功能：快速清洗手机导管内壁；</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喷溅装置为不锈钢或高分子可消毒材料</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内置管路消毒系统：具有消毒、反复冲洗、干燥功能，管路内部水质达到WS/T 842-</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2024卫生行业标准需求。</w:t>
      </w:r>
    </w:p>
    <w:p>
      <w:pPr>
        <w:keepNext w:val="0"/>
        <w:keepLines w:val="0"/>
        <w:pageBreakBefore w:val="0"/>
        <w:kinsoku/>
        <w:wordWrap/>
        <w:overflowPunct/>
        <w:topLinePunct w:val="0"/>
        <w:bidi w:val="0"/>
        <w:snapToGrid w:val="0"/>
        <w:spacing w:beforeLines="0" w:afterLines="0" w:afterAutospacing="0" w:line="450" w:lineRule="exact"/>
        <w:ind w:left="547" w:hanging="547" w:hangingChars="22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▲9、制造商具备 ISO 质量体系认证。（提供认证证书证明）</w:t>
      </w:r>
    </w:p>
    <w:p>
      <w:pPr>
        <w:pStyle w:val="3"/>
        <w:keepNext w:val="0"/>
        <w:keepLines w:val="0"/>
        <w:pageBreakBefore w:val="0"/>
        <w:kinsoku/>
        <w:wordWrap/>
        <w:overflowPunct/>
        <w:topLinePunct w:val="0"/>
        <w:bidi w:val="0"/>
        <w:spacing w:afterAutospacing="0" w:line="450" w:lineRule="exact"/>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afterAutospacing="0" w:line="45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07包：品目7-3：</w:t>
      </w:r>
      <w:r>
        <w:rPr>
          <w:rFonts w:hint="eastAsia" w:ascii="宋体" w:hAnsi="宋体" w:cs="宋体"/>
          <w:b/>
          <w:bCs/>
          <w:color w:val="auto"/>
          <w:sz w:val="28"/>
          <w:szCs w:val="28"/>
          <w:highlight w:val="none"/>
          <w:lang w:val="en-US" w:eastAsia="zh-CN"/>
        </w:rPr>
        <w:t xml:space="preserve">设备1 </w:t>
      </w:r>
      <w:r>
        <w:rPr>
          <w:rFonts w:hint="eastAsia" w:ascii="宋体" w:hAnsi="宋体" w:eastAsia="宋体" w:cs="宋体"/>
          <w:b/>
          <w:bCs/>
          <w:color w:val="auto"/>
          <w:sz w:val="28"/>
          <w:szCs w:val="28"/>
          <w:highlight w:val="none"/>
          <w:lang w:val="en-US" w:eastAsia="zh-CN"/>
        </w:rPr>
        <w:t>微波治疗仪</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50" w:afterAutospacing="0" w:line="45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工作频率：2450MHz±10%</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50" w:afterAutospacing="0" w:line="45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输出功率范围：0-100W,连续可调，步进5W, 可手动输入功率</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50" w:line="45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输入功率：≤600W</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50" w:afterAutospacing="0" w:line="450" w:lineRule="exact"/>
        <w:ind w:left="0" w:leftChars="0" w:firstLine="0" w:firstLineChars="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治疗时间范围：0-30分钟，步进±1min, 连续可调。</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50" w:line="450" w:lineRule="exact"/>
        <w:ind w:firstLine="0" w:firstLineChars="0"/>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1"/>
          <w:sz w:val="24"/>
          <w:szCs w:val="24"/>
          <w:highlight w:val="none"/>
        </w:rPr>
        <w:t>控制方式：按键、触屏、脚踏</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50" w:line="45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计时方式：正计时、倒计时、累计时间</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50" w:line="45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设备</w:t>
      </w:r>
      <w:r>
        <w:rPr>
          <w:rFonts w:hint="eastAsia" w:ascii="宋体" w:hAnsi="宋体" w:eastAsia="宋体" w:cs="宋体"/>
          <w:color w:val="auto"/>
          <w:sz w:val="24"/>
          <w:szCs w:val="24"/>
          <w:highlight w:val="none"/>
        </w:rPr>
        <w:t>外壳的微波辐射泄露量：≤5mW/cm²</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50" w:afterAutospacing="0" w:line="45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测温温控保护功能：有旁温测温端口，消融针针杆温度≥42℃，具备报警功能</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50" w:line="45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测温范围：35-90℃,误差±1.5℃</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50" w:line="45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超温保护：40-90℃,误差±1℃</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50" w:line="45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自动保护装置：具有开机自检、过载、过温、误操作保护功能，循环水泵不工作的情况下，微波停止输出。</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50" w:line="45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发射源可多选。</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Lines="50" w:line="45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界面显示方式：≥7英寸液晶触摸屏。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50" w:line="450" w:lineRule="exact"/>
        <w:ind w:firstLine="0" w:firstLineChars="0"/>
        <w:textAlignment w:val="auto"/>
        <w:rPr>
          <w:rFonts w:hint="eastAsia" w:ascii="宋体" w:hAnsi="宋体" w:eastAsia="宋体" w:cs="宋体"/>
          <w:color w:val="auto"/>
          <w:sz w:val="24"/>
          <w:szCs w:val="24"/>
          <w:highlight w:val="none"/>
        </w:rPr>
      </w:pPr>
      <w:bookmarkStart w:id="6" w:name="OLE_LINK20"/>
      <w:r>
        <w:rPr>
          <w:rFonts w:hint="eastAsia" w:ascii="宋体" w:hAnsi="宋体" w:eastAsia="宋体" w:cs="宋体"/>
          <w:color w:val="auto"/>
          <w:sz w:val="24"/>
          <w:szCs w:val="24"/>
          <w:highlight w:val="none"/>
        </w:rPr>
        <w:t>▲14、设备可在正常环境下使用，无需采取特殊屏蔽。</w:t>
      </w:r>
      <w:bookmarkEnd w:id="6"/>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50" w:line="45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r>
        <w:rPr>
          <w:rFonts w:hint="eastAsia" w:ascii="宋体" w:hAnsi="宋体" w:eastAsia="宋体" w:cs="宋体"/>
          <w:color w:val="auto"/>
          <w:sz w:val="24"/>
          <w:szCs w:val="24"/>
          <w:highlight w:val="none"/>
        </w:rPr>
        <w:t>具备针头与针杆一体式设计的微波消融针。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50" w:line="45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sz w:val="24"/>
          <w:szCs w:val="24"/>
          <w:highlight w:val="none"/>
        </w:rPr>
        <w:t>具有配套一次性使用微波消融针，消融甲状腺良性结节和肝脏肿瘤。</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50" w:line="45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17、</w:t>
      </w:r>
      <w:r>
        <w:rPr>
          <w:rFonts w:hint="eastAsia" w:ascii="宋体" w:hAnsi="宋体" w:eastAsia="宋体" w:cs="宋体"/>
          <w:color w:val="auto"/>
          <w:sz w:val="24"/>
          <w:szCs w:val="24"/>
          <w:highlight w:val="none"/>
        </w:rPr>
        <w:t>具有配套一次性微波消融导管。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50" w:line="45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▲18、具有肺结节适应症的三类注册证或拿到国家药品监督管理局颁发的增加肺结节适应症的受理通知书。</w:t>
      </w:r>
    </w:p>
    <w:p>
      <w:pPr>
        <w:keepNext w:val="0"/>
        <w:keepLines w:val="0"/>
        <w:pageBreakBefore w:val="0"/>
        <w:widowControl w:val="0"/>
        <w:kinsoku/>
        <w:wordWrap/>
        <w:overflowPunct/>
        <w:topLinePunct w:val="0"/>
        <w:autoSpaceDE w:val="0"/>
        <w:autoSpaceDN w:val="0"/>
        <w:bidi w:val="0"/>
        <w:adjustRightInd/>
        <w:snapToGrid/>
        <w:spacing w:line="45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▲19、具有配套三类耗材一次性使用微波消融针同轴针技术。</w:t>
      </w:r>
    </w:p>
    <w:p>
      <w:pPr>
        <w:pStyle w:val="3"/>
        <w:keepNext w:val="0"/>
        <w:keepLines w:val="0"/>
        <w:pageBreakBefore w:val="0"/>
        <w:kinsoku/>
        <w:wordWrap/>
        <w:overflowPunct/>
        <w:topLinePunct w:val="0"/>
        <w:bidi w:val="0"/>
        <w:spacing w:afterAutospacing="0" w:line="450" w:lineRule="exact"/>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afterAutospacing="0" w:line="45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8"/>
          <w:szCs w:val="28"/>
          <w:highlight w:val="none"/>
          <w:lang w:val="en-US" w:eastAsia="zh-CN"/>
        </w:rPr>
        <w:t>07包：品目7-3：</w:t>
      </w:r>
      <w:r>
        <w:rPr>
          <w:rFonts w:hint="eastAsia" w:ascii="宋体" w:hAnsi="宋体" w:cs="宋体"/>
          <w:b/>
          <w:bCs/>
          <w:color w:val="auto"/>
          <w:sz w:val="28"/>
          <w:szCs w:val="28"/>
          <w:highlight w:val="none"/>
          <w:lang w:val="en-US" w:eastAsia="zh-CN"/>
        </w:rPr>
        <w:t xml:space="preserve">设备2 </w:t>
      </w:r>
      <w:r>
        <w:rPr>
          <w:rFonts w:hint="eastAsia" w:ascii="宋体" w:hAnsi="宋体" w:eastAsia="宋体" w:cs="宋体"/>
          <w:b/>
          <w:bCs/>
          <w:color w:val="auto"/>
          <w:sz w:val="28"/>
          <w:szCs w:val="28"/>
          <w:highlight w:val="none"/>
          <w:lang w:val="en-US" w:eastAsia="zh-CN"/>
        </w:rPr>
        <w:t>微波治疗仪</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▲1、工作频率：≥2种工作频率，包含2450MHz、915MHz。</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2、工作端口：支持≥2个微波输出端。</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3、输出功率范围：0-100W连续可调，实际输出功率误差≤10%。</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4、匹配负载50Ω；线缆驻波比≤1.3。</w:t>
      </w:r>
    </w:p>
    <w:p>
      <w:pPr>
        <w:keepNext w:val="0"/>
        <w:keepLines w:val="0"/>
        <w:pageBreakBefore w:val="0"/>
        <w:numPr>
          <w:ilvl w:val="0"/>
          <w:numId w:val="4"/>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工作模式：连续、间歇，模式互换可调，在间歇工作状态输出3S，停止2S。</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6、治疗时间范围：1-30分钟选择设置，治疗时间到，自动停止输出。</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7、冷却系统：具备冷却系统，消融针与正常组织接触面的温度≤45℃。</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▲8、消融针杆温监测及超温保护系统：消融针与正常组织接触面温度的实时监测、显示，测温范围10—45℃，精度≤±0.5℃，当温度超过45℃时，设备自动停止输出。</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▲9、具备旁开测温及超温保护系统：消融范围边缘温度监测，测温范围35-99.9℃，精度≤±0.5℃，提供≥3路测温，当测温针温度超过设定值时，设备自动停止输出。</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▲10、检测系统：具备自带对消融针发射状态的测试系统。</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11、显示方式：≥2种，包含数码管显示、液晶屏显示。</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12、整机控制：脚踏开关控制、按键控制、软件控制。</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13、额定输入功率：≤1200VA。</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14、工作环境：温度范围5-40℃；湿度≤85%；</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▲15、整机防泄漏：无用微波辐射、仪器外壳泄漏≤2mW/cm²。</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16、配备电脑主机系统：内存≥4G、硬盘≥1T、显示器≥22英寸、键盘、鼠标等。</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17、配备病例管理系统：能够新建、查询、保存、打印、删除患者病历信息，所有信息存储于数据库中，存储数量≥10</w:t>
      </w:r>
      <w:r>
        <w:rPr>
          <w:rFonts w:hint="eastAsia" w:ascii="宋体" w:hAnsi="宋体" w:eastAsia="宋体" w:cs="宋体"/>
          <w:color w:val="auto"/>
          <w:sz w:val="24"/>
          <w:szCs w:val="24"/>
          <w:highlight w:val="none"/>
          <w:vertAlign w:val="superscript"/>
        </w:rPr>
        <w:t>10</w:t>
      </w:r>
      <w:r>
        <w:rPr>
          <w:rFonts w:hint="eastAsia" w:ascii="宋体" w:hAnsi="宋体" w:eastAsia="宋体" w:cs="宋体"/>
          <w:color w:val="auto"/>
          <w:sz w:val="24"/>
          <w:szCs w:val="24"/>
          <w:highlight w:val="none"/>
        </w:rPr>
        <w:t>例，可支持导出。</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18、配备监控软件：</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可直接通过软件控制整机工作状态、设置参数、自主编辑消融方案等，实现智能化操作；</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能够记录、保存患者温度变化曲线，支持每一时刻的温度值的查询，并支持原始数据、温度曲线导出，以作数据分析；</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能够采集仪器所有的工作参数、状态，并在相应的窗口中显示，实时提示仪器工作状态，出现故障及时警示。</w:t>
      </w:r>
    </w:p>
    <w:p>
      <w:pPr>
        <w:keepNext w:val="0"/>
        <w:keepLines w:val="0"/>
        <w:pageBreakBefore w:val="0"/>
        <w:numPr>
          <w:ilvl w:val="0"/>
          <w:numId w:val="0"/>
        </w:numPr>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19、三维重建系统：</w:t>
      </w:r>
    </w:p>
    <w:p>
      <w:pPr>
        <w:pStyle w:val="11"/>
        <w:keepNext w:val="0"/>
        <w:keepLines w:val="0"/>
        <w:pageBreakBefore w:val="0"/>
        <w:numPr>
          <w:ilvl w:val="0"/>
          <w:numId w:val="0"/>
        </w:numPr>
        <w:kinsoku/>
        <w:wordWrap/>
        <w:overflowPunct/>
        <w:topLinePunct w:val="0"/>
        <w:bidi w:val="0"/>
        <w:spacing w:line="450" w:lineRule="exact"/>
        <w:ind w:left="42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具备DICOM 3.0标准协议下的CT/MR图像分割，系统能够自动或半自动分割重建器官、</w:t>
      </w:r>
    </w:p>
    <w:p>
      <w:pPr>
        <w:pStyle w:val="11"/>
        <w:keepNext w:val="0"/>
        <w:keepLines w:val="0"/>
        <w:pageBreakBefore w:val="0"/>
        <w:numPr>
          <w:ilvl w:val="0"/>
          <w:numId w:val="0"/>
        </w:numPr>
        <w:kinsoku/>
        <w:wordWrap/>
        <w:overflowPunct/>
        <w:topLinePunct w:val="0"/>
        <w:bidi w:val="0"/>
        <w:spacing w:line="450" w:lineRule="exact"/>
        <w:ind w:left="42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病灶及血管三维形态；</w:t>
      </w:r>
    </w:p>
    <w:p>
      <w:pPr>
        <w:pStyle w:val="11"/>
        <w:keepNext w:val="0"/>
        <w:keepLines w:val="0"/>
        <w:pageBreakBefore w:val="0"/>
        <w:numPr>
          <w:ilvl w:val="0"/>
          <w:numId w:val="0"/>
        </w:numPr>
        <w:kinsoku/>
        <w:wordWrap/>
        <w:overflowPunct/>
        <w:topLinePunct w:val="0"/>
        <w:bidi w:val="0"/>
        <w:spacing w:line="450" w:lineRule="exact"/>
        <w:ind w:left="42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在CT、MR图像上可进行体表、骨骼、肝、胆、胰、脾、肾、血管、病灶的分割及三</w:t>
      </w:r>
    </w:p>
    <w:p>
      <w:pPr>
        <w:pStyle w:val="11"/>
        <w:keepNext w:val="0"/>
        <w:keepLines w:val="0"/>
        <w:pageBreakBefore w:val="0"/>
        <w:numPr>
          <w:ilvl w:val="0"/>
          <w:numId w:val="0"/>
        </w:numPr>
        <w:kinsoku/>
        <w:wordWrap/>
        <w:overflowPunct/>
        <w:topLinePunct w:val="0"/>
        <w:bidi w:val="0"/>
        <w:spacing w:line="450" w:lineRule="exact"/>
        <w:ind w:left="42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维重建；</w:t>
      </w:r>
    </w:p>
    <w:p>
      <w:pPr>
        <w:pStyle w:val="11"/>
        <w:keepNext w:val="0"/>
        <w:keepLines w:val="0"/>
        <w:pageBreakBefore w:val="0"/>
        <w:numPr>
          <w:ilvl w:val="0"/>
          <w:numId w:val="0"/>
        </w:numPr>
        <w:kinsoku/>
        <w:wordWrap/>
        <w:overflowPunct/>
        <w:topLinePunct w:val="0"/>
        <w:bidi w:val="0"/>
        <w:spacing w:line="450" w:lineRule="exact"/>
        <w:ind w:left="42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可对图像中任意需要勾画重建的感兴趣区域使用扩增、消减、生长及三维重建工具</w:t>
      </w:r>
    </w:p>
    <w:p>
      <w:pPr>
        <w:pStyle w:val="11"/>
        <w:keepNext w:val="0"/>
        <w:keepLines w:val="0"/>
        <w:pageBreakBefore w:val="0"/>
        <w:numPr>
          <w:ilvl w:val="0"/>
          <w:numId w:val="0"/>
        </w:numPr>
        <w:kinsoku/>
        <w:wordWrap/>
        <w:overflowPunct/>
        <w:topLinePunct w:val="0"/>
        <w:bidi w:val="0"/>
        <w:spacing w:line="450" w:lineRule="exact"/>
        <w:ind w:left="42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进行手动勾画与重建；</w:t>
      </w:r>
    </w:p>
    <w:p>
      <w:pPr>
        <w:pStyle w:val="11"/>
        <w:keepNext w:val="0"/>
        <w:keepLines w:val="0"/>
        <w:pageBreakBefore w:val="0"/>
        <w:numPr>
          <w:ilvl w:val="0"/>
          <w:numId w:val="0"/>
        </w:numPr>
        <w:kinsoku/>
        <w:wordWrap/>
        <w:overflowPunct/>
        <w:topLinePunct w:val="0"/>
        <w:bidi w:val="0"/>
        <w:spacing w:line="450" w:lineRule="exact"/>
        <w:ind w:left="42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可在三维重建基础上进行直线测量、路径测量、角度测量、圆形测量、椭圆测量、</w:t>
      </w:r>
    </w:p>
    <w:p>
      <w:pPr>
        <w:pStyle w:val="11"/>
        <w:keepNext w:val="0"/>
        <w:keepLines w:val="0"/>
        <w:pageBreakBefore w:val="0"/>
        <w:numPr>
          <w:ilvl w:val="0"/>
          <w:numId w:val="0"/>
        </w:numPr>
        <w:kinsoku/>
        <w:wordWrap/>
        <w:overflowPunct/>
        <w:topLinePunct w:val="0"/>
        <w:bidi w:val="0"/>
        <w:spacing w:line="450" w:lineRule="exact"/>
        <w:ind w:left="42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矩形测量、三维结构间的直线距离测量以及体积计算等；</w:t>
      </w:r>
    </w:p>
    <w:p>
      <w:pPr>
        <w:pStyle w:val="11"/>
        <w:keepNext w:val="0"/>
        <w:keepLines w:val="0"/>
        <w:pageBreakBefore w:val="0"/>
        <w:numPr>
          <w:ilvl w:val="0"/>
          <w:numId w:val="0"/>
        </w:numPr>
        <w:kinsoku/>
        <w:wordWrap/>
        <w:overflowPunct/>
        <w:topLinePunct w:val="0"/>
        <w:bidi w:val="0"/>
        <w:spacing w:line="450" w:lineRule="exact"/>
        <w:ind w:left="42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可在三维重建基础上对比术前、术后，进行疗效评估；</w:t>
      </w:r>
    </w:p>
    <w:p>
      <w:pPr>
        <w:pStyle w:val="11"/>
        <w:keepNext w:val="0"/>
        <w:keepLines w:val="0"/>
        <w:pageBreakBefore w:val="0"/>
        <w:numPr>
          <w:ilvl w:val="0"/>
          <w:numId w:val="0"/>
        </w:numPr>
        <w:kinsoku/>
        <w:wordWrap/>
        <w:overflowPunct/>
        <w:topLinePunct w:val="0"/>
        <w:bidi w:val="0"/>
        <w:spacing w:line="450" w:lineRule="exact"/>
        <w:ind w:left="42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支持三维重建报告的创建、修改、导出、预览及打印。</w:t>
      </w:r>
    </w:p>
    <w:bookmarkEnd w:id="1"/>
    <w:p>
      <w:pPr>
        <w:keepNext w:val="0"/>
        <w:keepLines w:val="0"/>
        <w:pageBreakBefore w:val="0"/>
        <w:kinsoku/>
        <w:wordWrap/>
        <w:overflowPunct/>
        <w:topLinePunct w:val="0"/>
        <w:autoSpaceDE w:val="0"/>
        <w:autoSpaceDN w:val="0"/>
        <w:bidi w:val="0"/>
        <w:spacing w:beforeAutospacing="0" w:afterAutospacing="0" w:line="450" w:lineRule="exact"/>
        <w:ind w:right="0" w:rightChars="0"/>
        <w:textAlignment w:val="auto"/>
        <w:rPr>
          <w:rFonts w:hint="eastAsia" w:ascii="宋体" w:hAnsi="宋体" w:eastAsia="宋体" w:cs="宋体"/>
          <w:color w:val="auto"/>
          <w:sz w:val="24"/>
          <w:szCs w:val="24"/>
          <w:highlight w:val="none"/>
        </w:rPr>
      </w:pPr>
    </w:p>
    <w:p>
      <w:pPr>
        <w:pStyle w:val="2"/>
        <w:rPr>
          <w:rFonts w:hint="eastAsia"/>
        </w:rPr>
      </w:pPr>
    </w:p>
    <w:p>
      <w:pPr>
        <w:pStyle w:val="4"/>
        <w:keepNext w:val="0"/>
        <w:keepLines w:val="0"/>
        <w:pageBreakBefore w:val="0"/>
        <w:tabs>
          <w:tab w:val="left" w:pos="720"/>
        </w:tabs>
        <w:kinsoku/>
        <w:wordWrap/>
        <w:overflowPunct/>
        <w:topLinePunct w:val="0"/>
        <w:bidi w:val="0"/>
        <w:snapToGrid w:val="0"/>
        <w:spacing w:afterAutospacing="0" w:line="450" w:lineRule="exact"/>
        <w:jc w:val="both"/>
        <w:rPr>
          <w:rFonts w:hint="eastAsia" w:ascii="宋体" w:hAnsi="宋体" w:eastAsia="宋体" w:cs="宋体"/>
          <w:color w:val="auto"/>
          <w:sz w:val="24"/>
          <w:szCs w:val="24"/>
          <w:highlight w:val="none"/>
        </w:rPr>
      </w:pPr>
    </w:p>
    <w:p>
      <w:pPr>
        <w:pStyle w:val="4"/>
        <w:keepNext w:val="0"/>
        <w:keepLines w:val="0"/>
        <w:pageBreakBefore w:val="0"/>
        <w:tabs>
          <w:tab w:val="left" w:pos="720"/>
        </w:tabs>
        <w:kinsoku/>
        <w:wordWrap/>
        <w:overflowPunct/>
        <w:topLinePunct w:val="0"/>
        <w:bidi w:val="0"/>
        <w:snapToGrid w:val="0"/>
        <w:spacing w:afterAutospacing="0" w:line="450" w:lineRule="exact"/>
        <w:jc w:val="center"/>
        <w:rPr>
          <w:rFonts w:hint="eastAsia" w:ascii="宋体" w:hAnsi="宋体" w:eastAsia="宋体" w:cs="宋体"/>
          <w:color w:val="auto"/>
          <w:sz w:val="28"/>
          <w:szCs w:val="28"/>
          <w:highlight w:val="none"/>
        </w:rPr>
      </w:pPr>
      <w:bookmarkStart w:id="7" w:name="_Toc22404"/>
      <w:r>
        <w:rPr>
          <w:rFonts w:hint="eastAsia" w:ascii="宋体" w:hAnsi="宋体" w:eastAsia="宋体" w:cs="宋体"/>
          <w:b/>
          <w:bCs/>
          <w:color w:val="auto"/>
          <w:sz w:val="28"/>
          <w:szCs w:val="28"/>
          <w:highlight w:val="none"/>
          <w:lang w:val="en-US" w:eastAsia="zh-CN"/>
        </w:rPr>
        <w:t>09包：品目9-1：运动心肺综合测试系统</w:t>
      </w:r>
      <w:bookmarkEnd w:id="7"/>
    </w:p>
    <w:p>
      <w:pPr>
        <w:pStyle w:val="11"/>
        <w:keepNext w:val="0"/>
        <w:keepLines w:val="0"/>
        <w:pageBreakBefore w:val="0"/>
        <w:numPr>
          <w:ilvl w:val="0"/>
          <w:numId w:val="0"/>
        </w:numPr>
        <w:kinsoku/>
        <w:wordWrap/>
        <w:overflowPunct/>
        <w:topLinePunct w:val="0"/>
        <w:bidi w:val="0"/>
        <w:spacing w:line="450" w:lineRule="exact"/>
        <w:ind w:left="700" w:hanging="72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心肺功能测试系统整体参数：</w:t>
      </w:r>
    </w:p>
    <w:p>
      <w:pPr>
        <w:pStyle w:val="11"/>
        <w:keepNext w:val="0"/>
        <w:keepLines w:val="0"/>
        <w:pageBreakBefore w:val="0"/>
        <w:numPr>
          <w:ilvl w:val="0"/>
          <w:numId w:val="5"/>
        </w:numPr>
        <w:kinsoku/>
        <w:wordWrap/>
        <w:overflowPunct/>
        <w:topLinePunct w:val="0"/>
        <w:bidi w:val="0"/>
        <w:spacing w:line="450" w:lineRule="exact"/>
        <w:ind w:left="1320" w:hanging="110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数据传输方式：同时具有无线传输方式和有线传输方式。</w:t>
      </w:r>
    </w:p>
    <w:p>
      <w:pPr>
        <w:pStyle w:val="11"/>
        <w:keepNext w:val="0"/>
        <w:keepLines w:val="0"/>
        <w:pageBreakBefore w:val="0"/>
        <w:numPr>
          <w:ilvl w:val="0"/>
          <w:numId w:val="5"/>
        </w:numPr>
        <w:kinsoku/>
        <w:wordWrap/>
        <w:overflowPunct/>
        <w:topLinePunct w:val="0"/>
        <w:bidi w:val="0"/>
        <w:spacing w:line="450" w:lineRule="exact"/>
        <w:ind w:left="1320" w:hanging="110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显示方式：双屏显示。</w:t>
      </w:r>
    </w:p>
    <w:p>
      <w:pPr>
        <w:pStyle w:val="11"/>
        <w:keepNext w:val="0"/>
        <w:keepLines w:val="0"/>
        <w:pageBreakBefore w:val="0"/>
        <w:numPr>
          <w:ilvl w:val="0"/>
          <w:numId w:val="5"/>
        </w:numPr>
        <w:kinsoku/>
        <w:wordWrap/>
        <w:overflowPunct/>
        <w:topLinePunct w:val="0"/>
        <w:bidi w:val="0"/>
        <w:spacing w:line="450" w:lineRule="exact"/>
        <w:ind w:left="1320" w:hanging="110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台车：可移动式台车，集成收纳相关硬件设备。</w:t>
      </w:r>
    </w:p>
    <w:p>
      <w:pPr>
        <w:pStyle w:val="11"/>
        <w:keepNext w:val="0"/>
        <w:keepLines w:val="0"/>
        <w:pageBreakBefore w:val="0"/>
        <w:numPr>
          <w:ilvl w:val="0"/>
          <w:numId w:val="5"/>
        </w:numPr>
        <w:kinsoku/>
        <w:wordWrap/>
        <w:overflowPunct/>
        <w:topLinePunct w:val="0"/>
        <w:bidi w:val="0"/>
        <w:spacing w:line="450" w:lineRule="exact"/>
        <w:ind w:left="1320" w:hanging="110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定标方式：温度、湿度、大气压力能够自动实时校准。</w:t>
      </w:r>
    </w:p>
    <w:p>
      <w:pPr>
        <w:pStyle w:val="11"/>
        <w:keepNext w:val="0"/>
        <w:keepLines w:val="0"/>
        <w:pageBreakBefore w:val="0"/>
        <w:numPr>
          <w:ilvl w:val="0"/>
          <w:numId w:val="5"/>
        </w:numPr>
        <w:kinsoku/>
        <w:wordWrap/>
        <w:overflowPunct/>
        <w:topLinePunct w:val="0"/>
        <w:bidi w:val="0"/>
        <w:spacing w:line="450" w:lineRule="exact"/>
        <w:ind w:left="1320" w:hanging="110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流量定标：自动流速定标及手动流速定标；</w:t>
      </w:r>
    </w:p>
    <w:p>
      <w:pPr>
        <w:pStyle w:val="11"/>
        <w:keepNext w:val="0"/>
        <w:keepLines w:val="0"/>
        <w:pageBreakBefore w:val="0"/>
        <w:numPr>
          <w:ilvl w:val="0"/>
          <w:numId w:val="5"/>
        </w:numPr>
        <w:kinsoku/>
        <w:wordWrap/>
        <w:overflowPunct/>
        <w:topLinePunct w:val="0"/>
        <w:bidi w:val="0"/>
        <w:spacing w:line="450" w:lineRule="exact"/>
        <w:ind w:left="1320" w:hanging="110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成分定标：可自动完成环境、流速、成分三种定标，可以分开进行三种定标。</w:t>
      </w:r>
    </w:p>
    <w:p>
      <w:pPr>
        <w:pStyle w:val="11"/>
        <w:keepNext w:val="0"/>
        <w:keepLines w:val="0"/>
        <w:pageBreakBefore w:val="0"/>
        <w:numPr>
          <w:ilvl w:val="0"/>
          <w:numId w:val="5"/>
        </w:numPr>
        <w:kinsoku/>
        <w:wordWrap/>
        <w:overflowPunct/>
        <w:topLinePunct w:val="0"/>
        <w:bidi w:val="0"/>
        <w:spacing w:line="450" w:lineRule="exact"/>
        <w:ind w:left="1320" w:hanging="110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音视频导航：具备静态肺测试的视频辅助指导运动心肺测试、定标的语音导航、</w:t>
      </w:r>
    </w:p>
    <w:p>
      <w:pPr>
        <w:pStyle w:val="11"/>
        <w:keepNext w:val="0"/>
        <w:keepLines w:val="0"/>
        <w:pageBreakBefore w:val="0"/>
        <w:numPr>
          <w:ilvl w:val="0"/>
          <w:numId w:val="0"/>
        </w:numPr>
        <w:kinsoku/>
        <w:wordWrap/>
        <w:overflowPunct/>
        <w:topLinePunct w:val="0"/>
        <w:bidi w:val="0"/>
        <w:spacing w:line="450" w:lineRule="exact"/>
        <w:ind w:left="220" w:hanging="36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操作流程动画导航。</w:t>
      </w:r>
    </w:p>
    <w:p>
      <w:pPr>
        <w:pStyle w:val="11"/>
        <w:keepNext w:val="0"/>
        <w:keepLines w:val="0"/>
        <w:pageBreakBefore w:val="0"/>
        <w:numPr>
          <w:ilvl w:val="0"/>
          <w:numId w:val="5"/>
        </w:numPr>
        <w:kinsoku/>
        <w:wordWrap/>
        <w:overflowPunct/>
        <w:topLinePunct w:val="0"/>
        <w:bidi w:val="0"/>
        <w:spacing w:line="450" w:lineRule="exact"/>
        <w:ind w:left="1320" w:hanging="110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模版编辑功能：具有动态肺测试模板、运动规程、分析流程编辑功能。</w:t>
      </w:r>
    </w:p>
    <w:p>
      <w:pPr>
        <w:pStyle w:val="11"/>
        <w:keepNext w:val="0"/>
        <w:keepLines w:val="0"/>
        <w:pageBreakBefore w:val="0"/>
        <w:numPr>
          <w:ilvl w:val="0"/>
          <w:numId w:val="5"/>
        </w:numPr>
        <w:kinsoku/>
        <w:wordWrap/>
        <w:overflowPunct/>
        <w:topLinePunct w:val="0"/>
        <w:bidi w:val="0"/>
        <w:spacing w:line="450" w:lineRule="exact"/>
        <w:ind w:left="1320" w:hanging="110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内置多种运动协议，兼容目前市场上大部分品牌跑台及踏车。</w:t>
      </w:r>
    </w:p>
    <w:p>
      <w:pPr>
        <w:pStyle w:val="11"/>
        <w:keepNext w:val="0"/>
        <w:keepLines w:val="0"/>
        <w:pageBreakBefore w:val="0"/>
        <w:numPr>
          <w:ilvl w:val="0"/>
          <w:numId w:val="0"/>
        </w:numPr>
        <w:kinsoku/>
        <w:wordWrap/>
        <w:overflowPunct/>
        <w:topLinePunct w:val="0"/>
        <w:bidi w:val="0"/>
        <w:spacing w:line="450" w:lineRule="exact"/>
        <w:ind w:left="700" w:hanging="7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呼吸模块参数：</w:t>
      </w:r>
    </w:p>
    <w:p>
      <w:pPr>
        <w:pStyle w:val="11"/>
        <w:keepNext w:val="0"/>
        <w:keepLines w:val="0"/>
        <w:pageBreakBefore w:val="0"/>
        <w:numPr>
          <w:ilvl w:val="0"/>
          <w:numId w:val="6"/>
        </w:numPr>
        <w:kinsoku/>
        <w:wordWrap/>
        <w:overflowPunct/>
        <w:topLinePunct w:val="0"/>
        <w:bidi w:val="0"/>
        <w:spacing w:line="450" w:lineRule="exact"/>
        <w:ind w:left="1320" w:hanging="110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流量传感器类型：为双向压差式。配置≥10个压差发生器。</w:t>
      </w:r>
    </w:p>
    <w:p>
      <w:pPr>
        <w:pStyle w:val="11"/>
        <w:keepNext w:val="0"/>
        <w:keepLines w:val="0"/>
        <w:pageBreakBefore w:val="0"/>
        <w:numPr>
          <w:ilvl w:val="0"/>
          <w:numId w:val="6"/>
        </w:numPr>
        <w:kinsoku/>
        <w:wordWrap/>
        <w:overflowPunct/>
        <w:topLinePunct w:val="0"/>
        <w:bidi w:val="0"/>
        <w:spacing w:line="450" w:lineRule="exact"/>
        <w:ind w:left="1320" w:hanging="110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流速范围：0-18L/s、容量范围0-20L。</w:t>
      </w:r>
    </w:p>
    <w:p>
      <w:pPr>
        <w:pStyle w:val="11"/>
        <w:keepNext w:val="0"/>
        <w:keepLines w:val="0"/>
        <w:pageBreakBefore w:val="0"/>
        <w:numPr>
          <w:ilvl w:val="0"/>
          <w:numId w:val="6"/>
        </w:numPr>
        <w:kinsoku/>
        <w:wordWrap/>
        <w:overflowPunct/>
        <w:topLinePunct w:val="0"/>
        <w:bidi w:val="0"/>
        <w:spacing w:line="450" w:lineRule="exact"/>
        <w:ind w:left="1320" w:hanging="110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流速精度：≤50 mL/s、容量精度≤50 mL。</w:t>
      </w:r>
    </w:p>
    <w:p>
      <w:pPr>
        <w:pStyle w:val="11"/>
        <w:keepNext w:val="0"/>
        <w:keepLines w:val="0"/>
        <w:pageBreakBefore w:val="0"/>
        <w:numPr>
          <w:ilvl w:val="0"/>
          <w:numId w:val="6"/>
        </w:numPr>
        <w:kinsoku/>
        <w:wordWrap/>
        <w:overflowPunct/>
        <w:topLinePunct w:val="0"/>
        <w:bidi w:val="0"/>
        <w:spacing w:line="450" w:lineRule="exact"/>
        <w:ind w:left="1320" w:hanging="110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线性度：呼气峰值流量的读数变化≤0.2L/s。</w:t>
      </w:r>
    </w:p>
    <w:p>
      <w:pPr>
        <w:pStyle w:val="11"/>
        <w:keepNext w:val="0"/>
        <w:keepLines w:val="0"/>
        <w:pageBreakBefore w:val="0"/>
        <w:numPr>
          <w:ilvl w:val="0"/>
          <w:numId w:val="6"/>
        </w:numPr>
        <w:kinsoku/>
        <w:wordWrap/>
        <w:overflowPunct/>
        <w:topLinePunct w:val="0"/>
        <w:bidi w:val="0"/>
        <w:spacing w:line="450" w:lineRule="exact"/>
        <w:ind w:left="1320" w:hanging="110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气流阻力：≤0.2kPa/L/s；频率响应≤0.25L/s。</w:t>
      </w:r>
    </w:p>
    <w:p>
      <w:pPr>
        <w:pStyle w:val="11"/>
        <w:keepNext w:val="0"/>
        <w:keepLines w:val="0"/>
        <w:pageBreakBefore w:val="0"/>
        <w:numPr>
          <w:ilvl w:val="0"/>
          <w:numId w:val="6"/>
        </w:numPr>
        <w:kinsoku/>
        <w:wordWrap/>
        <w:overflowPunct/>
        <w:topLinePunct w:val="0"/>
        <w:bidi w:val="0"/>
        <w:spacing w:line="450" w:lineRule="exact"/>
        <w:ind w:left="1320" w:hanging="110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氧气传感器类型：电化学式；二氧化碳（CO2）传感器类型：红外式。</w:t>
      </w:r>
    </w:p>
    <w:p>
      <w:pPr>
        <w:pStyle w:val="11"/>
        <w:keepNext w:val="0"/>
        <w:keepLines w:val="0"/>
        <w:pageBreakBefore w:val="0"/>
        <w:numPr>
          <w:ilvl w:val="0"/>
          <w:numId w:val="6"/>
        </w:numPr>
        <w:kinsoku/>
        <w:wordWrap/>
        <w:overflowPunct/>
        <w:topLinePunct w:val="0"/>
        <w:bidi w:val="0"/>
        <w:spacing w:line="450" w:lineRule="exact"/>
        <w:ind w:left="1320" w:hanging="110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血氧测量方式：耳夹或指夹。</w:t>
      </w:r>
    </w:p>
    <w:p>
      <w:pPr>
        <w:pStyle w:val="11"/>
        <w:keepNext w:val="0"/>
        <w:keepLines w:val="0"/>
        <w:pageBreakBefore w:val="0"/>
        <w:numPr>
          <w:ilvl w:val="0"/>
          <w:numId w:val="6"/>
        </w:numPr>
        <w:kinsoku/>
        <w:wordWrap/>
        <w:overflowPunct/>
        <w:topLinePunct w:val="0"/>
        <w:bidi w:val="0"/>
        <w:spacing w:line="450" w:lineRule="exact"/>
        <w:ind w:left="1320" w:hanging="110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静态肺测试项及曲线图：常规通气、流速流量环、分钟通气量。</w:t>
      </w:r>
    </w:p>
    <w:p>
      <w:pPr>
        <w:pStyle w:val="11"/>
        <w:keepNext w:val="0"/>
        <w:keepLines w:val="0"/>
        <w:pageBreakBefore w:val="0"/>
        <w:numPr>
          <w:ilvl w:val="0"/>
          <w:numId w:val="6"/>
        </w:numPr>
        <w:kinsoku/>
        <w:wordWrap/>
        <w:overflowPunct/>
        <w:topLinePunct w:val="0"/>
        <w:bidi w:val="0"/>
        <w:spacing w:line="450" w:lineRule="exact"/>
        <w:ind w:left="1320" w:hanging="110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运动心肺测试和6分钟步行实验测试项及曲线图： Wasserman-9测试及曲线图、无</w:t>
      </w:r>
    </w:p>
    <w:p>
      <w:pPr>
        <w:pStyle w:val="11"/>
        <w:keepNext w:val="0"/>
        <w:keepLines w:val="0"/>
        <w:pageBreakBefore w:val="0"/>
        <w:numPr>
          <w:ilvl w:val="0"/>
          <w:numId w:val="0"/>
        </w:numPr>
        <w:kinsoku/>
        <w:wordWrap/>
        <w:overflowPunct/>
        <w:topLinePunct w:val="0"/>
        <w:bidi w:val="0"/>
        <w:spacing w:line="450" w:lineRule="exact"/>
        <w:ind w:left="220" w:hanging="36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氧阈值测试及曲线图、内呼吸曲线图、心排量测试及曲线图、呼吸动力学测试及</w:t>
      </w:r>
    </w:p>
    <w:p>
      <w:pPr>
        <w:pStyle w:val="11"/>
        <w:keepNext w:val="0"/>
        <w:keepLines w:val="0"/>
        <w:pageBreakBefore w:val="0"/>
        <w:numPr>
          <w:ilvl w:val="0"/>
          <w:numId w:val="0"/>
        </w:numPr>
        <w:kinsoku/>
        <w:wordWrap/>
        <w:overflowPunct/>
        <w:topLinePunct w:val="0"/>
        <w:bidi w:val="0"/>
        <w:spacing w:line="450" w:lineRule="exact"/>
        <w:ind w:left="220" w:hanging="36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曲线图、营养代谢测试及曲线图；6分钟步行试验测试及曲线。</w:t>
      </w:r>
    </w:p>
    <w:p>
      <w:pPr>
        <w:pStyle w:val="11"/>
        <w:keepNext w:val="0"/>
        <w:keepLines w:val="0"/>
        <w:pageBreakBefore w:val="0"/>
        <w:numPr>
          <w:ilvl w:val="0"/>
          <w:numId w:val="0"/>
        </w:numPr>
        <w:kinsoku/>
        <w:wordWrap/>
        <w:overflowPunct/>
        <w:topLinePunct w:val="0"/>
        <w:bidi w:val="0"/>
        <w:spacing w:line="450" w:lineRule="exact"/>
        <w:ind w:left="700" w:hanging="72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心电血压模块：</w:t>
      </w:r>
    </w:p>
    <w:p>
      <w:pPr>
        <w:pStyle w:val="11"/>
        <w:keepNext w:val="0"/>
        <w:keepLines w:val="0"/>
        <w:pageBreakBefore w:val="0"/>
        <w:kinsoku/>
        <w:wordWrap/>
        <w:overflowPunct/>
        <w:topLinePunct w:val="0"/>
        <w:bidi w:val="0"/>
        <w:spacing w:line="450" w:lineRule="exact"/>
        <w:ind w:left="738" w:leftChars="100" w:hanging="518" w:hangingChars="21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1.运动心电血压测试仪：内置，无线蓝牙联接，运动血压监测运动心电记录，并兼容</w:t>
      </w:r>
    </w:p>
    <w:p>
      <w:pPr>
        <w:pStyle w:val="11"/>
        <w:keepNext w:val="0"/>
        <w:keepLines w:val="0"/>
        <w:pageBreakBefore w:val="0"/>
        <w:kinsoku/>
        <w:wordWrap/>
        <w:overflowPunct/>
        <w:topLinePunct w:val="0"/>
        <w:bidi w:val="0"/>
        <w:spacing w:line="450" w:lineRule="exact"/>
        <w:ind w:left="738" w:leftChars="100" w:hanging="518" w:hangingChars="21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静态心电，能够进行无创血压测量。</w:t>
      </w:r>
    </w:p>
    <w:p>
      <w:pPr>
        <w:keepNext w:val="0"/>
        <w:keepLines w:val="0"/>
        <w:pageBreakBefore w:val="0"/>
        <w:kinsoku/>
        <w:wordWrap/>
        <w:overflowPunct/>
        <w:topLinePunct w:val="0"/>
        <w:bidi w:val="0"/>
        <w:spacing w:line="450" w:lineRule="exact"/>
        <w:ind w:left="738" w:leftChars="100" w:hanging="518" w:hangingChars="21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2.具备同步数字12导联心电采集功能。</w:t>
      </w:r>
    </w:p>
    <w:p>
      <w:pPr>
        <w:pStyle w:val="11"/>
        <w:keepNext w:val="0"/>
        <w:keepLines w:val="0"/>
        <w:pageBreakBefore w:val="0"/>
        <w:kinsoku/>
        <w:wordWrap/>
        <w:overflowPunct/>
        <w:topLinePunct w:val="0"/>
        <w:bidi w:val="0"/>
        <w:spacing w:line="450" w:lineRule="exact"/>
        <w:ind w:left="738" w:leftChars="100" w:hanging="518" w:hangingChars="21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3.可同步自动及手动血压测量，并可兼容其它品牌运动血压。</w:t>
      </w:r>
    </w:p>
    <w:p>
      <w:pPr>
        <w:pStyle w:val="11"/>
        <w:keepNext w:val="0"/>
        <w:keepLines w:val="0"/>
        <w:pageBreakBefore w:val="0"/>
        <w:kinsoku/>
        <w:wordWrap/>
        <w:overflowPunct/>
        <w:topLinePunct w:val="0"/>
        <w:bidi w:val="0"/>
        <w:spacing w:line="450" w:lineRule="exact"/>
        <w:ind w:left="738" w:leftChars="100" w:hanging="518" w:hangingChars="21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4.具有全程ST段及斜率趋势图。</w:t>
      </w:r>
    </w:p>
    <w:p>
      <w:pPr>
        <w:pStyle w:val="11"/>
        <w:keepNext w:val="0"/>
        <w:keepLines w:val="0"/>
        <w:pageBreakBefore w:val="0"/>
        <w:kinsoku/>
        <w:wordWrap/>
        <w:overflowPunct/>
        <w:topLinePunct w:val="0"/>
        <w:bidi w:val="0"/>
        <w:spacing w:line="450" w:lineRule="exact"/>
        <w:ind w:left="738" w:leftChars="100" w:hanging="518" w:hangingChars="21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5.具有同步12导ST段自动及对比测量分析。</w:t>
      </w:r>
    </w:p>
    <w:p>
      <w:pPr>
        <w:pStyle w:val="11"/>
        <w:keepNext w:val="0"/>
        <w:keepLines w:val="0"/>
        <w:pageBreakBefore w:val="0"/>
        <w:kinsoku/>
        <w:wordWrap/>
        <w:overflowPunct/>
        <w:topLinePunct w:val="0"/>
        <w:bidi w:val="0"/>
        <w:spacing w:line="450" w:lineRule="exact"/>
        <w:ind w:left="738" w:leftChars="100" w:hanging="518" w:hangingChars="21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6.具有心电图向量分析功能，可进行模板操作分析，对比功能分析功能。</w:t>
      </w:r>
    </w:p>
    <w:p>
      <w:pPr>
        <w:pStyle w:val="11"/>
        <w:keepNext w:val="0"/>
        <w:keepLines w:val="0"/>
        <w:pageBreakBefore w:val="0"/>
        <w:kinsoku/>
        <w:wordWrap/>
        <w:overflowPunct/>
        <w:topLinePunct w:val="0"/>
        <w:bidi w:val="0"/>
        <w:spacing w:line="450" w:lineRule="exact"/>
        <w:ind w:left="738" w:leftChars="100" w:hanging="518" w:hangingChars="21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7.支持本地及网络操作，且支持Dicom、GDT、MFER、HL7。</w:t>
      </w:r>
    </w:p>
    <w:p>
      <w:pPr>
        <w:keepNext w:val="0"/>
        <w:keepLines w:val="0"/>
        <w:pageBreakBefore w:val="0"/>
        <w:kinsoku/>
        <w:wordWrap/>
        <w:overflowPunct/>
        <w:topLinePunct w:val="0"/>
        <w:bidi w:val="0"/>
        <w:spacing w:line="45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四、功率车要求：</w:t>
      </w:r>
    </w:p>
    <w:p>
      <w:pPr>
        <w:pStyle w:val="11"/>
        <w:keepNext w:val="0"/>
        <w:keepLines w:val="0"/>
        <w:pageBreakBefore w:val="0"/>
        <w:kinsoku/>
        <w:wordWrap/>
        <w:overflowPunct/>
        <w:topLinePunct w:val="0"/>
        <w:bidi w:val="0"/>
        <w:spacing w:line="450" w:lineRule="exact"/>
        <w:ind w:left="220" w:leftChars="10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1.功率范围：0-999W、分辨率：1W、精度：≤±3W；</w:t>
      </w:r>
    </w:p>
    <w:p>
      <w:pPr>
        <w:pStyle w:val="11"/>
        <w:keepNext w:val="0"/>
        <w:keepLines w:val="0"/>
        <w:pageBreakBefore w:val="0"/>
        <w:kinsoku/>
        <w:wordWrap/>
        <w:overflowPunct/>
        <w:topLinePunct w:val="0"/>
        <w:bidi w:val="0"/>
        <w:spacing w:line="450" w:lineRule="exact"/>
        <w:ind w:left="220" w:leftChars="10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2.转速范围：30-130转/分钟、精度：≤±2转/分钟；</w:t>
      </w:r>
    </w:p>
    <w:p>
      <w:pPr>
        <w:keepNext w:val="0"/>
        <w:keepLines w:val="0"/>
        <w:pageBreakBefore w:val="0"/>
        <w:kinsoku/>
        <w:wordWrap/>
        <w:overflowPunct/>
        <w:topLinePunct w:val="0"/>
        <w:bidi w:val="0"/>
        <w:spacing w:line="450" w:lineRule="exact"/>
        <w:ind w:left="220" w:leftChars="10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3.座椅调节最大范围：30cm±5cm；</w:t>
      </w:r>
    </w:p>
    <w:p>
      <w:pPr>
        <w:keepNext w:val="0"/>
        <w:keepLines w:val="0"/>
        <w:pageBreakBefore w:val="0"/>
        <w:kinsoku/>
        <w:wordWrap/>
        <w:overflowPunct/>
        <w:topLinePunct w:val="0"/>
        <w:bidi w:val="0"/>
        <w:spacing w:line="450" w:lineRule="exact"/>
        <w:ind w:left="220" w:leftChars="10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4.车把最大调节角度：360°；</w:t>
      </w:r>
    </w:p>
    <w:p>
      <w:pPr>
        <w:keepNext w:val="0"/>
        <w:keepLines w:val="0"/>
        <w:pageBreakBefore w:val="0"/>
        <w:kinsoku/>
        <w:wordWrap/>
        <w:overflowPunct/>
        <w:topLinePunct w:val="0"/>
        <w:bidi w:val="0"/>
        <w:spacing w:line="450" w:lineRule="exact"/>
        <w:ind w:left="220" w:leftChars="10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5.允许承载最大体重：≥160kg。</w:t>
      </w:r>
    </w:p>
    <w:p>
      <w:pPr>
        <w:pStyle w:val="4"/>
        <w:keepNext w:val="0"/>
        <w:keepLines w:val="0"/>
        <w:pageBreakBefore w:val="0"/>
        <w:tabs>
          <w:tab w:val="left" w:pos="720"/>
        </w:tabs>
        <w:kinsoku/>
        <w:wordWrap/>
        <w:overflowPunct/>
        <w:topLinePunct w:val="0"/>
        <w:bidi w:val="0"/>
        <w:snapToGrid w:val="0"/>
        <w:spacing w:afterAutospacing="0" w:line="450" w:lineRule="exact"/>
        <w:jc w:val="both"/>
        <w:rPr>
          <w:rFonts w:hint="eastAsia" w:ascii="宋体" w:hAnsi="宋体" w:eastAsia="宋体" w:cs="宋体"/>
          <w:b/>
          <w:bCs/>
          <w:color w:val="auto"/>
          <w:sz w:val="24"/>
          <w:szCs w:val="24"/>
          <w:highlight w:val="none"/>
          <w:lang w:val="en-US" w:eastAsia="zh-CN"/>
        </w:rPr>
      </w:pPr>
    </w:p>
    <w:p>
      <w:pPr>
        <w:pStyle w:val="4"/>
        <w:keepNext w:val="0"/>
        <w:keepLines w:val="0"/>
        <w:pageBreakBefore w:val="0"/>
        <w:tabs>
          <w:tab w:val="left" w:pos="720"/>
        </w:tabs>
        <w:kinsoku/>
        <w:wordWrap/>
        <w:overflowPunct/>
        <w:topLinePunct w:val="0"/>
        <w:bidi w:val="0"/>
        <w:snapToGrid w:val="0"/>
        <w:spacing w:afterAutospacing="0" w:line="450" w:lineRule="exact"/>
        <w:jc w:val="center"/>
        <w:rPr>
          <w:rFonts w:hint="eastAsia" w:ascii="宋体" w:hAnsi="宋体" w:eastAsia="宋体" w:cs="宋体"/>
          <w:color w:val="auto"/>
          <w:sz w:val="28"/>
          <w:szCs w:val="28"/>
          <w:highlight w:val="none"/>
        </w:rPr>
      </w:pPr>
      <w:bookmarkStart w:id="8" w:name="_Toc17956"/>
      <w:r>
        <w:rPr>
          <w:rFonts w:hint="eastAsia" w:ascii="宋体" w:hAnsi="宋体" w:eastAsia="宋体" w:cs="宋体"/>
          <w:b/>
          <w:bCs/>
          <w:color w:val="auto"/>
          <w:sz w:val="28"/>
          <w:szCs w:val="28"/>
          <w:highlight w:val="none"/>
          <w:lang w:val="en-US" w:eastAsia="zh-CN"/>
        </w:rPr>
        <w:t>09包：品目9-2：硬质支气管镜系统</w:t>
      </w:r>
      <w:bookmarkEnd w:id="8"/>
    </w:p>
    <w:p>
      <w:pPr>
        <w:keepNext w:val="0"/>
        <w:keepLines w:val="0"/>
        <w:pageBreakBefore w:val="0"/>
        <w:kinsoku/>
        <w:wordWrap/>
        <w:overflowPunct/>
        <w:topLinePunct w:val="0"/>
        <w:bidi w:val="0"/>
        <w:spacing w:afterAutospacing="0" w:line="45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一、技术参数：</w:t>
      </w:r>
    </w:p>
    <w:p>
      <w:pPr>
        <w:keepNext w:val="0"/>
        <w:keepLines w:val="0"/>
        <w:pageBreakBefore w:val="0"/>
        <w:kinsoku/>
        <w:wordWrap/>
        <w:overflowPunct/>
        <w:topLinePunct w:val="0"/>
        <w:bidi w:val="0"/>
        <w:spacing w:afterAutospacing="0" w:line="45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1、支气管内窥镜：</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1.1、直径≥4.5mm，长度≥550mm；</w:t>
      </w:r>
    </w:p>
    <w:p>
      <w:pPr>
        <w:keepNext w:val="0"/>
        <w:keepLines w:val="0"/>
        <w:pageBreakBefore w:val="0"/>
        <w:kinsoku/>
        <w:wordWrap/>
        <w:overflowPunct/>
        <w:topLinePunct w:val="0"/>
        <w:bidi w:val="0"/>
        <w:spacing w:line="45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1.2、视野角：0°</w:t>
      </w:r>
    </w:p>
    <w:p>
      <w:pPr>
        <w:keepNext w:val="0"/>
        <w:keepLines w:val="0"/>
        <w:pageBreakBefore w:val="0"/>
        <w:kinsoku/>
        <w:wordWrap/>
        <w:overflowPunct/>
        <w:topLinePunct w:val="0"/>
        <w:bidi w:val="0"/>
        <w:spacing w:afterAutospacing="0" w:line="45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2、气管镜、异物钳：</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2.1、气管镜工作长度≥280mm±4.0、385mm±4.0 两个规格；</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2.2、气管镜直径12.2mm、14mm±1.0；</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2.3、异物鳄口钳直径：≥3.5x500mm；</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2.4、异物花生钳直径：≥3.0x500mm；</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2.5、异物鳄口钳直径:≥3.0x500mm；</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2.6、异物花生钳直径≥3.0x500mm；</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2.7、气管镜不可拆卸型，具有呼吸机连接口、麻醉机连接口、操作通道口；</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2.8、具备光学内窥镜固定保护鞘。</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3、医用内窥镜冷光源：</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3.1、LED 冷光源；光源模块寿命≥30000 小时；</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3.2、触摸屏幕设置并实时显示光源数值，亮度调节范围0-100%；</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3.3、冷光源控制面板为触摸式。</w:t>
      </w:r>
    </w:p>
    <w:p>
      <w:pPr>
        <w:keepNext w:val="0"/>
        <w:keepLines w:val="0"/>
        <w:pageBreakBefore w:val="0"/>
        <w:kinsoku/>
        <w:wordWrap/>
        <w:overflowPunct/>
        <w:topLinePunct w:val="0"/>
        <w:bidi w:val="0"/>
        <w:spacing w:afterAutospacing="0" w:line="45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4、内窥镜摄像系统：</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4.1、内窥镜摄像系统数字信号输出：SDI×1、HDMI×1 、DVI×1；</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4.2、配备高清内窥镜摄像头，摄像头具备防水功能；</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4.3、分辨率≥1920x1080P； </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4.4、系统控制面板为触摸式；</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4.5、摄像头具有快捷键按钮，可设置白平衡、电子放大、图像冻结、降噪、饱和度、对比度、图像翻转、去摩尔纹等功能。</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4.6、电子放大：调节范围≥ 1.0-5.0 X。</w:t>
      </w:r>
    </w:p>
    <w:p>
      <w:pPr>
        <w:keepNext w:val="0"/>
        <w:keepLines w:val="0"/>
        <w:pageBreakBefore w:val="0"/>
        <w:kinsoku/>
        <w:wordWrap/>
        <w:overflowPunct/>
        <w:topLinePunct w:val="0"/>
        <w:bidi w:val="0"/>
        <w:spacing w:afterAutospacing="0" w:line="45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5、液晶显示器：</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5.1、尺寸：≥ 2 4英寸；</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5.2、分辨率：≥1920x1080p。</w:t>
      </w:r>
    </w:p>
    <w:p>
      <w:pPr>
        <w:keepNext w:val="0"/>
        <w:keepLines w:val="0"/>
        <w:pageBreakBefore w:val="0"/>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6、台车：</w:t>
      </w:r>
      <w:r>
        <w:rPr>
          <w:rFonts w:hint="eastAsia" w:ascii="宋体" w:hAnsi="宋体" w:eastAsia="宋体" w:cs="宋体"/>
          <w:color w:val="auto"/>
          <w:sz w:val="24"/>
          <w:szCs w:val="24"/>
          <w:highlight w:val="none"/>
        </w:rPr>
        <w:t>医用台车。</w:t>
      </w:r>
    </w:p>
    <w:p>
      <w:pPr>
        <w:keepNext w:val="0"/>
        <w:keepLines w:val="0"/>
        <w:pageBreakBefore w:val="0"/>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二、配置：</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1、气管镜：4根（直径12.2mm、14mm各2根）；</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2、异物鳄口钳：1把；</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3、异物花生钳：1把；</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4、异物鳄口钳: 1把；</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5、异物花生钳：1把；</w:t>
      </w:r>
    </w:p>
    <w:p>
      <w:pPr>
        <w:keepNext w:val="0"/>
        <w:keepLines w:val="0"/>
        <w:pageBreakBefore w:val="0"/>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6、冷光源：1台；</w:t>
      </w:r>
    </w:p>
    <w:p>
      <w:pPr>
        <w:keepNext w:val="0"/>
        <w:keepLines w:val="0"/>
        <w:pageBreakBefore w:val="0"/>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7、摄像系统：1台；</w:t>
      </w:r>
    </w:p>
    <w:p>
      <w:pPr>
        <w:keepNext w:val="0"/>
        <w:keepLines w:val="0"/>
        <w:pageBreakBefore w:val="0"/>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8、液晶显示器：1台；</w:t>
      </w:r>
    </w:p>
    <w:p>
      <w:pPr>
        <w:keepNext w:val="0"/>
        <w:keepLines w:val="0"/>
        <w:pageBreakBefore w:val="0"/>
        <w:kinsoku/>
        <w:wordWrap/>
        <w:overflowPunct/>
        <w:topLinePunct w:val="0"/>
        <w:bidi w:val="0"/>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9、台车：1辆。</w:t>
      </w:r>
    </w:p>
    <w:p>
      <w:pPr>
        <w:pStyle w:val="4"/>
        <w:keepNext w:val="0"/>
        <w:keepLines w:val="0"/>
        <w:pageBreakBefore w:val="0"/>
        <w:tabs>
          <w:tab w:val="left" w:pos="720"/>
        </w:tabs>
        <w:kinsoku/>
        <w:wordWrap/>
        <w:overflowPunct/>
        <w:topLinePunct w:val="0"/>
        <w:bidi w:val="0"/>
        <w:snapToGrid w:val="0"/>
        <w:spacing w:afterAutospacing="0" w:line="450" w:lineRule="exact"/>
        <w:jc w:val="both"/>
        <w:rPr>
          <w:rFonts w:hint="eastAsia" w:ascii="宋体" w:hAnsi="宋体" w:eastAsia="宋体" w:cs="宋体"/>
          <w:b/>
          <w:bCs/>
          <w:color w:val="auto"/>
          <w:sz w:val="24"/>
          <w:szCs w:val="24"/>
          <w:highlight w:val="none"/>
          <w:lang w:val="en-US" w:eastAsia="zh-CN"/>
        </w:rPr>
      </w:pPr>
    </w:p>
    <w:p>
      <w:pPr>
        <w:pStyle w:val="4"/>
        <w:keepNext w:val="0"/>
        <w:keepLines w:val="0"/>
        <w:pageBreakBefore w:val="0"/>
        <w:tabs>
          <w:tab w:val="left" w:pos="720"/>
        </w:tabs>
        <w:kinsoku/>
        <w:wordWrap/>
        <w:overflowPunct/>
        <w:topLinePunct w:val="0"/>
        <w:bidi w:val="0"/>
        <w:snapToGrid w:val="0"/>
        <w:spacing w:afterAutospacing="0" w:line="450" w:lineRule="exact"/>
        <w:jc w:val="center"/>
        <w:rPr>
          <w:rFonts w:hint="eastAsia" w:ascii="宋体" w:hAnsi="宋体" w:eastAsia="宋体" w:cs="宋体"/>
          <w:color w:val="auto"/>
          <w:sz w:val="28"/>
          <w:szCs w:val="28"/>
          <w:highlight w:val="none"/>
        </w:rPr>
      </w:pPr>
      <w:bookmarkStart w:id="9" w:name="_Toc21145"/>
      <w:r>
        <w:rPr>
          <w:rFonts w:hint="eastAsia" w:ascii="宋体" w:hAnsi="宋体" w:eastAsia="宋体" w:cs="宋体"/>
          <w:b/>
          <w:bCs/>
          <w:color w:val="auto"/>
          <w:sz w:val="28"/>
          <w:szCs w:val="28"/>
          <w:highlight w:val="none"/>
          <w:lang w:val="en-US" w:eastAsia="zh-CN"/>
        </w:rPr>
        <w:t>09包：品目9-3：强脉冲光与激光系统</w:t>
      </w:r>
      <w:bookmarkEnd w:id="9"/>
    </w:p>
    <w:p>
      <w:pPr>
        <w:keepNext w:val="0"/>
        <w:keepLines w:val="0"/>
        <w:pageBreakBefore w:val="0"/>
        <w:kinsoku/>
        <w:wordWrap/>
        <w:overflowPunct/>
        <w:topLinePunct w:val="0"/>
        <w:bidi w:val="0"/>
        <w:spacing w:afterAutospacing="0" w:line="450" w:lineRule="exact"/>
        <w:ind w:firstLine="240" w:firstLine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1、波长范围：双波长560-1200nm、695-1200nm</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bidi w:val="0"/>
        <w:spacing w:afterAutospacing="0" w:line="450" w:lineRule="exact"/>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▲2、双手柄输出：每个手柄独立输出</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bidi w:val="0"/>
        <w:spacing w:afterAutospacing="0" w:line="450" w:lineRule="exact"/>
        <w:ind w:firstLine="240" w:firstLine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3、脉冲光发射开关位于手柄</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bidi w:val="0"/>
        <w:spacing w:afterAutospacing="0" w:line="450" w:lineRule="exact"/>
        <w:ind w:firstLine="240" w:firstLine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4、输出光斑面积：≥3.2 cm</w:t>
      </w:r>
      <w:r>
        <w:rPr>
          <w:rFonts w:hint="eastAsia" w:ascii="宋体" w:hAnsi="宋体" w:eastAsia="宋体" w:cs="宋体"/>
          <w:color w:val="auto"/>
          <w:kern w:val="0"/>
          <w:sz w:val="24"/>
          <w:szCs w:val="24"/>
          <w:highlight w:val="none"/>
          <w:vertAlign w:val="superscript"/>
        </w:rPr>
        <w:t>2</w:t>
      </w:r>
      <w:r>
        <w:rPr>
          <w:rFonts w:hint="eastAsia" w:ascii="宋体" w:hAnsi="宋体" w:eastAsia="宋体" w:cs="宋体"/>
          <w:color w:val="auto"/>
          <w:kern w:val="0"/>
          <w:sz w:val="24"/>
          <w:szCs w:val="24"/>
          <w:highlight w:val="none"/>
          <w:vertAlign w:val="superscript"/>
          <w:lang w:eastAsia="zh-CN"/>
        </w:rPr>
        <w:t>。</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bidi w:val="0"/>
        <w:spacing w:afterAutospacing="0" w:line="450" w:lineRule="exact"/>
        <w:ind w:firstLine="240" w:firstLine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5、光头≥2个，每个光头面积≥40×8㎜</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bidi w:val="0"/>
        <w:spacing w:afterAutospacing="0" w:line="450" w:lineRule="exact"/>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▲6、输出能量密度：</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rPr>
        <w:t>35J/cm</w:t>
      </w:r>
      <w:r>
        <w:rPr>
          <w:rFonts w:hint="eastAsia" w:ascii="宋体" w:hAnsi="宋体" w:eastAsia="宋体" w:cs="宋体"/>
          <w:color w:val="auto"/>
          <w:kern w:val="0"/>
          <w:sz w:val="24"/>
          <w:szCs w:val="24"/>
          <w:highlight w:val="none"/>
          <w:vertAlign w:val="superscript"/>
        </w:rPr>
        <w:t>2</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bidi w:val="0"/>
        <w:spacing w:afterAutospacing="0" w:line="450" w:lineRule="exact"/>
        <w:ind w:firstLine="240" w:firstLine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7、脉冲宽度范围：1-40ms线性可调</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bidi w:val="0"/>
        <w:spacing w:afterAutospacing="0" w:line="450" w:lineRule="exact"/>
        <w:ind w:firstLine="240" w:firstLine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8、脉冲间隔范围：1-50ms线性可调</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bidi w:val="0"/>
        <w:spacing w:afterAutospacing="0" w:line="450" w:lineRule="exact"/>
        <w:ind w:firstLine="240" w:firstLine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9、脉冲模式选择：单脉冲、双脉冲、三脉冲、四脉冲模式</w:t>
      </w:r>
      <w:r>
        <w:rPr>
          <w:rFonts w:hint="eastAsia" w:ascii="宋体" w:hAnsi="宋体" w:eastAsia="宋体" w:cs="宋体"/>
          <w:color w:val="auto"/>
          <w:kern w:val="0"/>
          <w:sz w:val="24"/>
          <w:szCs w:val="24"/>
          <w:highlight w:val="none"/>
          <w:lang w:eastAsia="zh-CN"/>
        </w:rPr>
        <w:t>。</w:t>
      </w:r>
    </w:p>
    <w:p>
      <w:pPr>
        <w:pStyle w:val="11"/>
        <w:keepNext w:val="0"/>
        <w:keepLines w:val="0"/>
        <w:pageBreakBefore w:val="0"/>
        <w:numPr>
          <w:ilvl w:val="0"/>
          <w:numId w:val="0"/>
        </w:numPr>
        <w:kinsoku/>
        <w:wordWrap/>
        <w:overflowPunct/>
        <w:topLinePunct w:val="0"/>
        <w:bidi w:val="0"/>
        <w:spacing w:line="450" w:lineRule="exact"/>
        <w:ind w:firstLine="240" w:firstLine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脉冲时脉宽范围：1-可调10ms</w:t>
      </w:r>
      <w:r>
        <w:rPr>
          <w:rFonts w:hint="eastAsia" w:ascii="宋体" w:hAnsi="宋体" w:eastAsia="宋体" w:cs="宋体"/>
          <w:color w:val="auto"/>
          <w:kern w:val="0"/>
          <w:sz w:val="24"/>
          <w:szCs w:val="24"/>
          <w:highlight w:val="none"/>
          <w:lang w:eastAsia="zh-CN"/>
        </w:rPr>
        <w:t>。</w:t>
      </w:r>
    </w:p>
    <w:p>
      <w:pPr>
        <w:keepNext w:val="0"/>
        <w:keepLines w:val="0"/>
        <w:pageBreakBefore w:val="0"/>
        <w:numPr>
          <w:ilvl w:val="0"/>
          <w:numId w:val="0"/>
        </w:numPr>
        <w:kinsoku/>
        <w:wordWrap/>
        <w:overflowPunct/>
        <w:topLinePunct w:val="0"/>
        <w:bidi w:val="0"/>
        <w:spacing w:line="450" w:lineRule="exact"/>
        <w:ind w:firstLine="240" w:firstLine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11、脉冲方式（形状）：可控输出，方形波脉冲，无能量尖峰无衰减</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bidi w:val="0"/>
        <w:spacing w:afterAutospacing="0" w:line="450" w:lineRule="exact"/>
        <w:ind w:firstLine="240" w:firstLine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12、双冷却方式：半导体制冷，蓝宝石导光晶体耦合，温度可调，循环恒温水冷，制冷强度可调至0度</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bidi w:val="0"/>
        <w:spacing w:afterAutospacing="0" w:line="450" w:lineRule="exact"/>
        <w:ind w:firstLine="240" w:firstLineChars="1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、显示方式：彩色触摸屏，中英文操作界面，显示屏方向、高度可调节</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bidi w:val="0"/>
        <w:spacing w:afterAutospacing="0" w:line="450" w:lineRule="exact"/>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、配置两个手柄，每个手柄≥10万发脉冲</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bidi w:val="0"/>
        <w:spacing w:afterAutospacing="0" w:line="45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、无收费耗材，包含开机卡、手柄</w:t>
      </w:r>
      <w:r>
        <w:rPr>
          <w:rFonts w:hint="eastAsia" w:ascii="宋体" w:hAnsi="宋体" w:eastAsia="宋体" w:cs="宋体"/>
          <w:color w:val="auto"/>
          <w:kern w:val="0"/>
          <w:sz w:val="24"/>
          <w:szCs w:val="24"/>
          <w:highlight w:val="none"/>
          <w:lang w:eastAsia="zh-CN"/>
        </w:rPr>
        <w:t>。</w:t>
      </w:r>
    </w:p>
    <w:p>
      <w:pPr>
        <w:pStyle w:val="4"/>
        <w:keepNext w:val="0"/>
        <w:keepLines w:val="0"/>
        <w:pageBreakBefore w:val="0"/>
        <w:tabs>
          <w:tab w:val="left" w:pos="720"/>
        </w:tabs>
        <w:kinsoku/>
        <w:wordWrap/>
        <w:overflowPunct/>
        <w:topLinePunct w:val="0"/>
        <w:bidi w:val="0"/>
        <w:snapToGrid w:val="0"/>
        <w:spacing w:afterAutospacing="0" w:line="450" w:lineRule="exact"/>
        <w:jc w:val="both"/>
        <w:rPr>
          <w:rFonts w:hint="eastAsia" w:ascii="宋体" w:hAnsi="宋体" w:eastAsia="宋体" w:cs="宋体"/>
          <w:b/>
          <w:bCs/>
          <w:color w:val="auto"/>
          <w:sz w:val="24"/>
          <w:szCs w:val="24"/>
          <w:highlight w:val="none"/>
          <w:lang w:val="en-US" w:eastAsia="zh-CN"/>
        </w:rPr>
      </w:pPr>
    </w:p>
    <w:p>
      <w:pPr>
        <w:pStyle w:val="4"/>
        <w:keepNext w:val="0"/>
        <w:keepLines w:val="0"/>
        <w:pageBreakBefore w:val="0"/>
        <w:tabs>
          <w:tab w:val="left" w:pos="720"/>
        </w:tabs>
        <w:kinsoku/>
        <w:wordWrap/>
        <w:overflowPunct/>
        <w:topLinePunct w:val="0"/>
        <w:bidi w:val="0"/>
        <w:snapToGrid w:val="0"/>
        <w:spacing w:afterAutospacing="0" w:line="450" w:lineRule="exact"/>
        <w:jc w:val="center"/>
        <w:rPr>
          <w:rFonts w:hint="eastAsia" w:ascii="宋体" w:hAnsi="宋体" w:eastAsia="宋体" w:cs="宋体"/>
          <w:color w:val="auto"/>
          <w:sz w:val="28"/>
          <w:szCs w:val="28"/>
          <w:highlight w:val="none"/>
        </w:rPr>
      </w:pPr>
      <w:bookmarkStart w:id="10" w:name="_Toc7721"/>
      <w:r>
        <w:rPr>
          <w:rFonts w:hint="eastAsia" w:ascii="宋体" w:hAnsi="宋体" w:eastAsia="宋体" w:cs="宋体"/>
          <w:b/>
          <w:bCs/>
          <w:color w:val="auto"/>
          <w:sz w:val="28"/>
          <w:szCs w:val="28"/>
          <w:highlight w:val="none"/>
          <w:lang w:val="en-US" w:eastAsia="zh-CN"/>
        </w:rPr>
        <w:t>09包</w:t>
      </w:r>
      <w:r>
        <w:rPr>
          <w:rFonts w:hint="eastAsia" w:cs="宋体"/>
          <w:b/>
          <w:bCs/>
          <w:color w:val="auto"/>
          <w:sz w:val="28"/>
          <w:szCs w:val="28"/>
          <w:highlight w:val="none"/>
          <w:lang w:val="en-US" w:eastAsia="zh-CN"/>
        </w:rPr>
        <w:t>：</w:t>
      </w:r>
      <w:r>
        <w:rPr>
          <w:rFonts w:hint="eastAsia" w:ascii="宋体" w:hAnsi="宋体" w:eastAsia="宋体" w:cs="宋体"/>
          <w:b/>
          <w:bCs/>
          <w:color w:val="auto"/>
          <w:sz w:val="28"/>
          <w:szCs w:val="28"/>
          <w:highlight w:val="none"/>
          <w:lang w:val="en-US" w:eastAsia="zh-CN"/>
        </w:rPr>
        <w:t>品目9-4：干眼综合分析仪</w:t>
      </w:r>
      <w:bookmarkEnd w:id="10"/>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1、干眼检测项目：非侵入式泪河高度测量、非侵入式泪膜破裂时间分析、脂质层分析、眼红分析、睑缘拍摄、睑板腺拍摄、不完全闭眼分析、荧光素染色分析。</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2、内置干眼调查问卷：≥3种，并在报告中显示干眼问卷评分。</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3、近红外光源波长:≥845nm。</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4、蓝光波长:≥470nm。</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5、彩色相机分辨率: ≤50μm。</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6、近红外增强型相机分辨率: ≤70μm。</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7、成像模式：白光成像模式、近红外光成像模式、蓝光成像模式。</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8、非侵入式泪河高度测量：精确度≤0.01mm。</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9、具备非侵入式泪膜破裂时间分析功能：可测得首次破裂时间、平均破裂时间、显示分区域显示破裂时间。</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10、具有防误差功能：眼球晃动，闭眼等不会影响到实际检测结果。</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11、脂质层分析：可作出≥5种分级，自动分析确定等级，并给出厚度参考数值。</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12、睑缘拍摄：视频方式记录。</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13、睑板腺拍摄：具备增强对比功能，自动计算缺失面积，定量分析缺失比例</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▲14、不完全闭眼分析：可利用高频率相机捕捉闭眼程度，自动计算不完全闭眼比率，视频支持变速回放。</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15、荧光素染色分析：具备高效滤光技术，将拍摄后角膜图像分为≥4个象限。</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16、眼红分析功能：自动计算球结膜充血比例，并自动分级。</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17、报告一键查看：各检查项目完成即自动生成报告，无需刻意选择和保存，可以分项打印报告。</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18、眼动追踪：泪膜破裂时间计算时实时进行眼动瞳孔追踪。</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▲19、自动量化分析：非侵入式泪膜破裂时间分析、眼红分析、睑板腺拍摄、不完全闭眼分析，脂质层厚度。</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20、无需更换镜头，即可完成所有干眼检查。</w:t>
      </w:r>
    </w:p>
    <w:p>
      <w:pPr>
        <w:keepNext w:val="0"/>
        <w:keepLines w:val="0"/>
        <w:pageBreakBefore w:val="0"/>
        <w:kinsoku/>
        <w:wordWrap/>
        <w:overflowPunct/>
        <w:topLinePunct w:val="0"/>
        <w:bidi w:val="0"/>
        <w:spacing w:afterAutospacing="0"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▲21、快速干眼筛查模式：泪河高度、非侵入式泪膜破裂时间同时测量；眼红分析，脂质层厚度，不完全闭眼分析同时测量。</w:t>
      </w:r>
    </w:p>
    <w:p>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modern"/>
    <w:pitch w:val="default"/>
    <w:sig w:usb0="00000687" w:usb1="00000000" w:usb2="00000000" w:usb3="00000000" w:csb0="2000009F" w:csb1="00000000"/>
  </w:font>
  <w:font w:name="Century">
    <w:panose1 w:val="02040604050505020304"/>
    <w:charset w:val="00"/>
    <w:family w:val="decorative"/>
    <w:pitch w:val="default"/>
    <w:sig w:usb0="00000287"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moder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Century">
    <w:panose1 w:val="02040604050505020304"/>
    <w:charset w:val="00"/>
    <w:family w:val="roman"/>
    <w:pitch w:val="default"/>
    <w:sig w:usb0="00000287" w:usb1="000000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swiss"/>
    <w:pitch w:val="default"/>
    <w:sig w:usb0="00000000" w:usb1="00000000" w:usb2="00000000" w:usb3="00000000" w:csb0="00040000" w:csb1="00000000"/>
  </w:font>
  <w:font w:name="Trebuchet MS">
    <w:panose1 w:val="020B0603020202020204"/>
    <w:charset w:val="00"/>
    <w:family w:val="decorative"/>
    <w:pitch w:val="default"/>
    <w:sig w:usb0="00000687" w:usb1="00000000" w:usb2="00000000" w:usb3="00000000" w:csb0="2000009F" w:csb1="00000000"/>
  </w:font>
  <w:font w:name="Century">
    <w:panose1 w:val="02040604050505020304"/>
    <w:charset w:val="00"/>
    <w:family w:val="modern"/>
    <w:pitch w:val="default"/>
    <w:sig w:usb0="00000287" w:usb1="00000000" w:usb2="00000000" w:usb3="00000000" w:csb0="2000009F" w:csb1="DFD70000"/>
  </w:font>
  <w:font w:name="Lucida Sans">
    <w:panose1 w:val="020B0602030504020204"/>
    <w:charset w:val="00"/>
    <w:family w:val="decorative"/>
    <w:pitch w:val="default"/>
    <w:sig w:usb0="00000003" w:usb1="00000000" w:usb2="00000000" w:usb3="00000000" w:csb0="20000001" w:csb1="00000000"/>
  </w:font>
  <w:font w:name="仿宋_GB2312">
    <w:altName w:val="仿宋"/>
    <w:panose1 w:val="02010609030101010101"/>
    <w:charset w:val="86"/>
    <w:family w:val="decorative"/>
    <w:pitch w:val="default"/>
    <w:sig w:usb0="00000000" w:usb1="00000000" w:usb2="00000000" w:usb3="00000000" w:csb0="00040000" w:csb1="00000000"/>
  </w:font>
  <w:font w:name="Trebuchet MS">
    <w:panose1 w:val="020B0603020202020204"/>
    <w:charset w:val="00"/>
    <w:family w:val="roman"/>
    <w:pitch w:val="default"/>
    <w:sig w:usb0="00000687" w:usb1="00000000" w:usb2="00000000" w:usb3="00000000" w:csb0="2000009F" w:csb1="00000000"/>
  </w:font>
  <w:font w:name="Century">
    <w:panose1 w:val="02040604050505020304"/>
    <w:charset w:val="00"/>
    <w:family w:val="swiss"/>
    <w:pitch w:val="default"/>
    <w:sig w:usb0="00000287" w:usb1="00000000" w:usb2="00000000" w:usb3="00000000" w:csb0="2000009F" w:csb1="DFD70000"/>
  </w:font>
  <w:font w:name="Lucida Sans">
    <w:panose1 w:val="020B0602030504020204"/>
    <w:charset w:val="00"/>
    <w:family w:val="roman"/>
    <w:pitch w:val="default"/>
    <w:sig w:usb0="00000003" w:usb1="00000000" w:usb2="00000000" w:usb3="00000000" w:csb0="20000001" w:csb1="00000000"/>
  </w:font>
  <w:font w:name="仿宋">
    <w:panose1 w:val="02010609060101010101"/>
    <w:charset w:val="86"/>
    <w:family w:val="roma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roman"/>
    <w:pitch w:val="default"/>
    <w:sig w:usb0="E0002EFF" w:usb1="C000785B" w:usb2="00000009" w:usb3="00000000" w:csb0="400001FF" w:csb1="FFFF0000"/>
  </w:font>
  <w:font w:name="黑体">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EFF" w:usb1="C0007843" w:usb2="00000009" w:usb3="00000000" w:csb0="400001FF" w:csb1="FFFF0000"/>
  </w:font>
  <w:font w:name="Wingdings 2">
    <w:panose1 w:val="05020102010507070707"/>
    <w:charset w:val="02"/>
    <w:family w:val="swiss"/>
    <w:pitch w:val="default"/>
    <w:sig w:usb0="00000000" w:usb1="00000000" w:usb2="00000000" w:usb3="00000000" w:csb0="80000000" w:csb1="00000000"/>
  </w:font>
  <w:font w:name="Microsoft YaHei UI">
    <w:panose1 w:val="020B0503020204020204"/>
    <w:charset w:val="86"/>
    <w:family w:val="roma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Wingdings 2">
    <w:panose1 w:val="05020102010507070707"/>
    <w:charset w:val="02"/>
    <w:family w:val="decorative"/>
    <w:pitch w:val="default"/>
    <w:sig w:usb0="00000000" w:usb1="00000000" w:usb2="00000000" w:usb3="00000000" w:csb0="80000000" w:csb1="00000000"/>
  </w:font>
  <w:font w:name="Microsoft YaHei UI">
    <w:panose1 w:val="020B0503020204020204"/>
    <w:charset w:val="86"/>
    <w:family w:val="modern"/>
    <w:pitch w:val="default"/>
    <w:sig w:usb0="80000287" w:usb1="2ACF3C50" w:usb2="00000016" w:usb3="00000000" w:csb0="0004001F"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Wingdings 2">
    <w:panose1 w:val="05020102010507070707"/>
    <w:charset w:val="02"/>
    <w:family w:val="modern"/>
    <w:pitch w:val="default"/>
    <w:sig w:usb0="00000000" w:usb1="00000000" w:usb2="00000000" w:usb3="00000000" w:csb0="80000000" w:csb1="00000000"/>
  </w:font>
  <w:font w:name="Microsoft YaHei UI">
    <w:panose1 w:val="020B0503020204020204"/>
    <w:charset w:val="86"/>
    <w:family w:val="decorative"/>
    <w:pitch w:val="default"/>
    <w:sig w:usb0="80000287" w:usb1="2ACF3C50" w:usb2="00000016" w:usb3="00000000" w:csb0="0004001F"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85982806">
    <w:nsid w:val="E1A98356"/>
    <w:multiLevelType w:val="singleLevel"/>
    <w:tmpl w:val="E1A98356"/>
    <w:lvl w:ilvl="0" w:tentative="1">
      <w:start w:val="1"/>
      <w:numFmt w:val="decimal"/>
      <w:suff w:val="space"/>
      <w:lvlText w:val="%1、"/>
      <w:lvlJc w:val="left"/>
    </w:lvl>
  </w:abstractNum>
  <w:abstractNum w:abstractNumId="1742808382">
    <w:nsid w:val="67E1253E"/>
    <w:multiLevelType w:val="singleLevel"/>
    <w:tmpl w:val="67E1253E"/>
    <w:lvl w:ilvl="0" w:tentative="1">
      <w:start w:val="5"/>
      <w:numFmt w:val="decimal"/>
      <w:suff w:val="nothing"/>
      <w:lvlText w:val="%1、"/>
      <w:lvlJc w:val="left"/>
    </w:lvl>
  </w:abstractNum>
  <w:abstractNum w:abstractNumId="511379030">
    <w:nsid w:val="1E7B0656"/>
    <w:multiLevelType w:val="multilevel"/>
    <w:tmpl w:val="1E7B0656"/>
    <w:lvl w:ilvl="0" w:tentative="1">
      <w:start w:val="1"/>
      <w:numFmt w:val="decimal"/>
      <w:lvlText w:val="%1."/>
      <w:lvlJc w:val="left"/>
      <w:pPr>
        <w:ind w:left="1320" w:hanging="360"/>
      </w:pPr>
      <w:rPr>
        <w:rFonts w:hint="default" w:ascii="楷体_GB2312" w:hAnsi="楷体_GB2312" w:eastAsia="楷体_GB2312" w:cs="楷体_GB2312"/>
        <w:color w:val="000000"/>
        <w:sz w:val="24"/>
      </w:rPr>
    </w:lvl>
    <w:lvl w:ilvl="1" w:tentative="1">
      <w:start w:val="1"/>
      <w:numFmt w:val="lowerLetter"/>
      <w:lvlText w:val="%2)"/>
      <w:lvlJc w:val="left"/>
      <w:pPr>
        <w:ind w:left="1840" w:hanging="440"/>
      </w:pPr>
    </w:lvl>
    <w:lvl w:ilvl="2" w:tentative="1">
      <w:start w:val="1"/>
      <w:numFmt w:val="lowerRoman"/>
      <w:lvlText w:val="%3."/>
      <w:lvlJc w:val="right"/>
      <w:pPr>
        <w:ind w:left="2280" w:hanging="440"/>
      </w:pPr>
    </w:lvl>
    <w:lvl w:ilvl="3" w:tentative="1">
      <w:start w:val="1"/>
      <w:numFmt w:val="decimal"/>
      <w:lvlText w:val="%4."/>
      <w:lvlJc w:val="left"/>
      <w:pPr>
        <w:ind w:left="2720" w:hanging="440"/>
      </w:pPr>
    </w:lvl>
    <w:lvl w:ilvl="4" w:tentative="1">
      <w:start w:val="1"/>
      <w:numFmt w:val="lowerLetter"/>
      <w:lvlText w:val="%5)"/>
      <w:lvlJc w:val="left"/>
      <w:pPr>
        <w:ind w:left="3160" w:hanging="440"/>
      </w:pPr>
    </w:lvl>
    <w:lvl w:ilvl="5" w:tentative="1">
      <w:start w:val="1"/>
      <w:numFmt w:val="lowerRoman"/>
      <w:lvlText w:val="%6."/>
      <w:lvlJc w:val="right"/>
      <w:pPr>
        <w:ind w:left="3600" w:hanging="440"/>
      </w:pPr>
    </w:lvl>
    <w:lvl w:ilvl="6" w:tentative="1">
      <w:start w:val="1"/>
      <w:numFmt w:val="decimal"/>
      <w:lvlText w:val="%7."/>
      <w:lvlJc w:val="left"/>
      <w:pPr>
        <w:ind w:left="4040" w:hanging="440"/>
      </w:pPr>
    </w:lvl>
    <w:lvl w:ilvl="7" w:tentative="1">
      <w:start w:val="1"/>
      <w:numFmt w:val="lowerLetter"/>
      <w:lvlText w:val="%8)"/>
      <w:lvlJc w:val="left"/>
      <w:pPr>
        <w:ind w:left="4480" w:hanging="440"/>
      </w:pPr>
    </w:lvl>
    <w:lvl w:ilvl="8" w:tentative="1">
      <w:start w:val="1"/>
      <w:numFmt w:val="lowerRoman"/>
      <w:lvlText w:val="%9."/>
      <w:lvlJc w:val="right"/>
      <w:pPr>
        <w:ind w:left="4920" w:hanging="440"/>
      </w:pPr>
    </w:lvl>
  </w:abstractNum>
  <w:abstractNum w:abstractNumId="1308513214">
    <w:nsid w:val="4DFE53BE"/>
    <w:multiLevelType w:val="multilevel"/>
    <w:tmpl w:val="4DFE53BE"/>
    <w:lvl w:ilvl="0" w:tentative="1">
      <w:start w:val="1"/>
      <w:numFmt w:val="decimal"/>
      <w:lvlText w:val="%1."/>
      <w:lvlJc w:val="left"/>
      <w:pPr>
        <w:ind w:left="1320" w:hanging="360"/>
      </w:pPr>
      <w:rPr>
        <w:rFonts w:hint="default" w:ascii="楷体_GB2312" w:hAnsi="楷体_GB2312" w:eastAsia="楷体_GB2312" w:cs="楷体_GB2312"/>
        <w:color w:val="000000"/>
        <w:sz w:val="24"/>
      </w:rPr>
    </w:lvl>
    <w:lvl w:ilvl="1" w:tentative="1">
      <w:start w:val="1"/>
      <w:numFmt w:val="lowerLetter"/>
      <w:lvlText w:val="%2)"/>
      <w:lvlJc w:val="left"/>
      <w:pPr>
        <w:ind w:left="1840" w:hanging="440"/>
      </w:pPr>
    </w:lvl>
    <w:lvl w:ilvl="2" w:tentative="1">
      <w:start w:val="1"/>
      <w:numFmt w:val="lowerRoman"/>
      <w:lvlText w:val="%3."/>
      <w:lvlJc w:val="right"/>
      <w:pPr>
        <w:ind w:left="2280" w:hanging="440"/>
      </w:pPr>
    </w:lvl>
    <w:lvl w:ilvl="3" w:tentative="1">
      <w:start w:val="1"/>
      <w:numFmt w:val="decimal"/>
      <w:lvlText w:val="%4."/>
      <w:lvlJc w:val="left"/>
      <w:pPr>
        <w:ind w:left="2720" w:hanging="440"/>
      </w:pPr>
    </w:lvl>
    <w:lvl w:ilvl="4" w:tentative="1">
      <w:start w:val="1"/>
      <w:numFmt w:val="lowerLetter"/>
      <w:lvlText w:val="%5)"/>
      <w:lvlJc w:val="left"/>
      <w:pPr>
        <w:ind w:left="3160" w:hanging="440"/>
      </w:pPr>
    </w:lvl>
    <w:lvl w:ilvl="5" w:tentative="1">
      <w:start w:val="1"/>
      <w:numFmt w:val="lowerRoman"/>
      <w:lvlText w:val="%6."/>
      <w:lvlJc w:val="right"/>
      <w:pPr>
        <w:ind w:left="3600" w:hanging="440"/>
      </w:pPr>
    </w:lvl>
    <w:lvl w:ilvl="6" w:tentative="1">
      <w:start w:val="1"/>
      <w:numFmt w:val="decimal"/>
      <w:lvlText w:val="%7."/>
      <w:lvlJc w:val="left"/>
      <w:pPr>
        <w:ind w:left="4040" w:hanging="440"/>
      </w:pPr>
    </w:lvl>
    <w:lvl w:ilvl="7" w:tentative="1">
      <w:start w:val="1"/>
      <w:numFmt w:val="lowerLetter"/>
      <w:lvlText w:val="%8)"/>
      <w:lvlJc w:val="left"/>
      <w:pPr>
        <w:ind w:left="4480" w:hanging="440"/>
      </w:pPr>
    </w:lvl>
    <w:lvl w:ilvl="8" w:tentative="1">
      <w:start w:val="1"/>
      <w:numFmt w:val="lowerRoman"/>
      <w:lvlText w:val="%9."/>
      <w:lvlJc w:val="right"/>
      <w:pPr>
        <w:ind w:left="4920" w:hanging="440"/>
      </w:pPr>
    </w:lvl>
  </w:abstractNum>
  <w:abstractNum w:abstractNumId="2982195629">
    <w:nsid w:val="B1C0B1AD"/>
    <w:multiLevelType w:val="singleLevel"/>
    <w:tmpl w:val="B1C0B1AD"/>
    <w:lvl w:ilvl="0" w:tentative="1">
      <w:start w:val="3"/>
      <w:numFmt w:val="chineseCounting"/>
      <w:suff w:val="nothing"/>
      <w:lvlText w:val="（%1）"/>
      <w:lvlJc w:val="left"/>
      <w:rPr>
        <w:rFonts w:hint="eastAsia"/>
        <w:lang w:val="en-US"/>
      </w:rPr>
    </w:lvl>
  </w:abstractNum>
  <w:abstractNum w:abstractNumId="3270963170">
    <w:nsid w:val="C2F6EFE2"/>
    <w:multiLevelType w:val="singleLevel"/>
    <w:tmpl w:val="C2F6EFE2"/>
    <w:lvl w:ilvl="0" w:tentative="1">
      <w:start w:val="5"/>
      <w:numFmt w:val="chineseCounting"/>
      <w:suff w:val="space"/>
      <w:lvlText w:val="第%1章"/>
      <w:lvlJc w:val="left"/>
      <w:rPr>
        <w:rFonts w:hint="eastAsia"/>
      </w:rPr>
    </w:lvl>
  </w:abstractNum>
  <w:num w:numId="1">
    <w:abstractNumId w:val="3270963170"/>
  </w:num>
  <w:num w:numId="2">
    <w:abstractNumId w:val="2982195629"/>
  </w:num>
  <w:num w:numId="3">
    <w:abstractNumId w:val="3785982806"/>
  </w:num>
  <w:num w:numId="4">
    <w:abstractNumId w:val="1742808382"/>
  </w:num>
  <w:num w:numId="5">
    <w:abstractNumId w:val="1308513214"/>
  </w:num>
  <w:num w:numId="6">
    <w:abstractNumId w:val="5113790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25EC9"/>
    <w:rsid w:val="60F25E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qFormat/>
    <w:uiPriority w:val="0"/>
    <w:pPr>
      <w:outlineLvl w:val="0"/>
    </w:pPr>
    <w:rPr>
      <w:sz w:val="36"/>
      <w:szCs w:val="36"/>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rPr>
      <w:sz w:val="24"/>
      <w:szCs w:val="24"/>
    </w:rPr>
  </w:style>
  <w:style w:type="paragraph" w:customStyle="1" w:styleId="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5">
    <w:name w:val="toc 3"/>
    <w:basedOn w:val="1"/>
    <w:next w:val="1"/>
    <w:uiPriority w:val="0"/>
    <w:pPr>
      <w:tabs>
        <w:tab w:val="right" w:leader="dot" w:pos="8030"/>
      </w:tabs>
      <w:spacing w:line="300" w:lineRule="auto"/>
      <w:ind w:left="800" w:leftChars="400" w:hanging="400" w:hangingChars="400"/>
      <w:textAlignment w:val="center"/>
    </w:pPr>
    <w:rPr>
      <w:rFonts w:eastAsia="宋体"/>
      <w:szCs w:val="21"/>
    </w:rPr>
  </w:style>
  <w:style w:type="paragraph" w:customStyle="1" w:styleId="8">
    <w:name w:val="列出段落1"/>
    <w:basedOn w:val="1"/>
    <w:qFormat/>
    <w:uiPriority w:val="1"/>
    <w:pPr>
      <w:spacing w:before="134"/>
      <w:ind w:left="1196" w:hanging="720"/>
    </w:pPr>
    <w:rPr>
      <w:sz w:val="20"/>
    </w:rPr>
  </w:style>
  <w:style w:type="paragraph" w:customStyle="1" w:styleId="9">
    <w:name w:val="Table Paragraph"/>
    <w:basedOn w:val="1"/>
    <w:qFormat/>
    <w:uiPriority w:val="1"/>
  </w:style>
  <w:style w:type="character" w:customStyle="1" w:styleId="10">
    <w:name w:val="NormalCharacter"/>
    <w:semiHidden/>
    <w:qFormat/>
    <w:uiPriority w:val="0"/>
  </w:style>
  <w:style w:type="paragraph" w:customStyle="1" w:styleId="11">
    <w:name w:val="List Paragraph"/>
    <w:basedOn w:val="1"/>
    <w:unhideWhenUsed/>
    <w:qFormat/>
    <w:uiPriority w:val="99"/>
    <w:pPr>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2025-04-18T05:04:00Z</dcterms:created>
  <dc:creator>wangjingxuan</dc:creator>
  <cp:lastModifiedBy>wangjingxuan</cp:lastModifiedBy>
  <dcterms:modified xsi:type="dcterms:W3CDTF">2025-04-18T05:04:44Z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