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rPr>
      </w:pPr>
      <w:bookmarkStart w:id="0" w:name="_Toc35393789"/>
      <w:bookmarkStart w:id="1" w:name="_Toc28359001"/>
      <w:r>
        <w:rPr>
          <w:rFonts w:hint="eastAsia" w:ascii="仿宋" w:hAnsi="仿宋" w:eastAsia="仿宋" w:cs="仿宋"/>
          <w:sz w:val="28"/>
          <w:szCs w:val="28"/>
          <w:lang w:val="en-US" w:eastAsia="zh-CN"/>
        </w:rPr>
        <w:t>重招</w:t>
      </w:r>
      <w:r>
        <w:rPr>
          <w:rFonts w:hint="eastAsia" w:ascii="仿宋" w:hAnsi="仿宋" w:eastAsia="仿宋" w:cs="仿宋"/>
          <w:sz w:val="28"/>
          <w:szCs w:val="28"/>
        </w:rPr>
        <w:t>公告</w:t>
      </w:r>
      <w:bookmarkEnd w:id="0"/>
      <w:bookmarkEnd w:id="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07、09包</w:t>
      </w:r>
      <w:r>
        <w:rPr>
          <w:rFonts w:hint="eastAsia" w:ascii="仿宋" w:hAnsi="仿宋" w:eastAsia="仿宋" w:cs="仿宋"/>
          <w:sz w:val="28"/>
          <w:szCs w:val="28"/>
          <w:lang w:eastAsia="zh-CN"/>
        </w:rPr>
        <w:t>）</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医用设备购置（追加）项目</w:t>
      </w:r>
      <w:r>
        <w:rPr>
          <w:rFonts w:hint="eastAsia" w:ascii="仿宋" w:hAnsi="仿宋" w:eastAsia="仿宋" w:cs="仿宋"/>
          <w:sz w:val="28"/>
          <w:szCs w:val="28"/>
          <w:highlight w:val="none"/>
        </w:rPr>
        <w:t>的潜在投标人应在</w:t>
      </w:r>
      <w:r>
        <w:rPr>
          <w:rFonts w:hint="eastAsia" w:ascii="仿宋" w:hAnsi="仿宋" w:eastAsia="仿宋" w:cs="仿宋"/>
          <w:sz w:val="28"/>
          <w:szCs w:val="28"/>
          <w:highlight w:val="none"/>
          <w:u w:val="single"/>
          <w:lang w:eastAsia="zh-CN"/>
        </w:rPr>
        <w:t>http://zbcg-bjzc.zhongcy.com/bjczj-portal-site/index.html#/home</w:t>
      </w:r>
      <w:r>
        <w:rPr>
          <w:rFonts w:hint="eastAsia" w:ascii="仿宋" w:hAnsi="仿宋" w:eastAsia="仿宋" w:cs="仿宋"/>
          <w:sz w:val="28"/>
          <w:szCs w:val="28"/>
          <w:highlight w:val="none"/>
        </w:rPr>
        <w:t>获取招标文件，并于</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5月9日上午9</w:t>
      </w:r>
      <w:r>
        <w:rPr>
          <w:rFonts w:hint="eastAsia" w:ascii="仿宋" w:hAnsi="仿宋" w:eastAsia="仿宋" w:cs="仿宋"/>
          <w:sz w:val="28"/>
          <w:szCs w:val="28"/>
          <w:highlight w:val="none"/>
          <w:u w:val="singl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u w:val="single"/>
        </w:rPr>
        <w:t>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pStyle w:val="5"/>
        <w:keepNext/>
        <w:keepLines/>
        <w:pageBreakBefore w:val="0"/>
        <w:widowControl w:val="0"/>
        <w:kinsoku/>
        <w:wordWrap/>
        <w:overflowPunct/>
        <w:topLinePunct w:val="0"/>
        <w:autoSpaceDE/>
        <w:autoSpaceDN/>
        <w:bidi w:val="0"/>
        <w:adjustRightInd/>
        <w:snapToGrid/>
        <w:spacing w:before="0" w:after="260" w:line="360" w:lineRule="auto"/>
        <w:ind w:left="0" w:leftChars="0" w:right="0" w:rightChars="0" w:firstLine="0" w:firstLineChars="0"/>
        <w:jc w:val="both"/>
        <w:textAlignment w:val="auto"/>
        <w:outlineLvl w:val="1"/>
        <w:rPr>
          <w:rFonts w:hint="eastAsia" w:ascii="仿宋" w:hAnsi="仿宋" w:eastAsia="仿宋" w:cs="仿宋"/>
          <w:b w:val="0"/>
          <w:sz w:val="28"/>
          <w:szCs w:val="28"/>
          <w:highlight w:val="none"/>
        </w:rPr>
      </w:pPr>
      <w:bookmarkStart w:id="2" w:name="_Toc35393790"/>
      <w:bookmarkStart w:id="3" w:name="_Toc28359002"/>
      <w:bookmarkStart w:id="4" w:name="_Toc35393621"/>
      <w:bookmarkStart w:id="5" w:name="_Toc28359079"/>
      <w:bookmarkStart w:id="6" w:name="_Hlk24379207"/>
      <w:r>
        <w:rPr>
          <w:rFonts w:hint="eastAsia" w:ascii="仿宋" w:hAnsi="仿宋" w:eastAsia="仿宋" w:cs="仿宋"/>
          <w:b w:val="0"/>
          <w:sz w:val="28"/>
          <w:szCs w:val="28"/>
          <w:highlight w:val="none"/>
        </w:rPr>
        <w:t>一、项目基本情况</w:t>
      </w:r>
      <w:bookmarkEnd w:id="2"/>
      <w:bookmarkEnd w:id="3"/>
      <w:bookmarkEnd w:id="4"/>
      <w:bookmarkEnd w:id="5"/>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：0686-2511BI040659Z</w:t>
      </w:r>
    </w:p>
    <w:p>
      <w:pPr>
        <w:ind w:left="1959" w:leftChars="266" w:hanging="1400" w:hangingChars="5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项目名称：</w:t>
      </w:r>
      <w:bookmarkEnd w:id="6"/>
      <w:r>
        <w:rPr>
          <w:rFonts w:hint="eastAsia" w:ascii="仿宋" w:hAnsi="仿宋" w:eastAsia="仿宋" w:cs="仿宋"/>
          <w:sz w:val="28"/>
          <w:szCs w:val="28"/>
          <w:highlight w:val="none"/>
          <w:lang w:eastAsia="zh-CN"/>
        </w:rPr>
        <w:t>医用设备购置（追加）项目</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人民币2398.6万元</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采购需求：</w:t>
      </w:r>
    </w:p>
    <w:tbl>
      <w:tblPr>
        <w:tblStyle w:val="10"/>
        <w:tblW w:w="9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430"/>
        <w:gridCol w:w="1708"/>
        <w:gridCol w:w="942"/>
        <w:gridCol w:w="1718"/>
        <w:gridCol w:w="1201"/>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blHeader/>
          <w:jc w:val="center"/>
        </w:trPr>
        <w:tc>
          <w:tcPr>
            <w:tcW w:w="662" w:type="dxa"/>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包号</w:t>
            </w:r>
          </w:p>
        </w:tc>
        <w:tc>
          <w:tcPr>
            <w:tcW w:w="1430" w:type="dxa"/>
            <w:shd w:val="clear" w:color="auto" w:fill="auto"/>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品目号</w:t>
            </w:r>
          </w:p>
        </w:tc>
        <w:tc>
          <w:tcPr>
            <w:tcW w:w="1708" w:type="dxa"/>
            <w:shd w:val="clear" w:color="auto" w:fill="auto"/>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品目名称</w:t>
            </w:r>
          </w:p>
        </w:tc>
        <w:tc>
          <w:tcPr>
            <w:tcW w:w="942" w:type="dxa"/>
            <w:shd w:val="clear" w:color="auto" w:fill="auto"/>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数量</w:t>
            </w:r>
          </w:p>
        </w:tc>
        <w:tc>
          <w:tcPr>
            <w:tcW w:w="1718" w:type="dxa"/>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采购包预算金额</w:t>
            </w:r>
          </w:p>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（万元）</w:t>
            </w:r>
          </w:p>
        </w:tc>
        <w:tc>
          <w:tcPr>
            <w:tcW w:w="1201" w:type="dxa"/>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单价预算金额（万元）</w:t>
            </w:r>
          </w:p>
        </w:tc>
        <w:tc>
          <w:tcPr>
            <w:tcW w:w="1977" w:type="dxa"/>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jc w:val="center"/>
        </w:trPr>
        <w:tc>
          <w:tcPr>
            <w:tcW w:w="662" w:type="dxa"/>
            <w:vMerge w:val="restart"/>
            <w:vAlign w:val="center"/>
          </w:tcPr>
          <w:p>
            <w:pPr>
              <w:pStyle w:val="15"/>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w:t>
            </w:r>
          </w:p>
        </w:tc>
        <w:tc>
          <w:tcPr>
            <w:tcW w:w="1430"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7</w:t>
            </w:r>
            <w:r>
              <w:rPr>
                <w:color w:val="auto"/>
                <w:kern w:val="0"/>
                <w:szCs w:val="21"/>
                <w:highlight w:val="none"/>
              </w:rPr>
              <w:t>-1</w:t>
            </w:r>
          </w:p>
        </w:tc>
        <w:tc>
          <w:tcPr>
            <w:tcW w:w="1708" w:type="dxa"/>
            <w:shd w:val="clear" w:color="auto" w:fill="auto"/>
            <w:vAlign w:val="center"/>
          </w:tcPr>
          <w:p>
            <w:pPr>
              <w:widowControl/>
              <w:jc w:val="center"/>
              <w:rPr>
                <w:rFonts w:hint="eastAsia" w:ascii="宋体" w:hAnsi="宋体" w:eastAsia="宋体" w:cs="宋体"/>
                <w:color w:val="auto"/>
                <w:spacing w:val="0"/>
                <w:sz w:val="24"/>
                <w:szCs w:val="24"/>
                <w:highlight w:val="none"/>
                <w:lang w:val="en-US" w:eastAsia="zh-CN"/>
              </w:rPr>
            </w:pPr>
            <w:r>
              <w:rPr>
                <w:rFonts w:hint="eastAsia" w:ascii="宋体" w:hAnsi="宋体" w:cs="宋体"/>
                <w:color w:val="auto"/>
                <w:kern w:val="0"/>
                <w:szCs w:val="21"/>
                <w:highlight w:val="none"/>
              </w:rPr>
              <w:t>肝脏无创定量超声诊断仪</w:t>
            </w:r>
          </w:p>
        </w:tc>
        <w:tc>
          <w:tcPr>
            <w:tcW w:w="942" w:type="dxa"/>
            <w:shd w:val="clear" w:color="auto" w:fill="auto"/>
            <w:vAlign w:val="center"/>
          </w:tcPr>
          <w:p>
            <w:pPr>
              <w:widowControl/>
              <w:jc w:val="center"/>
              <w:rPr>
                <w:rFonts w:hint="eastAsia" w:ascii="宋体" w:hAnsi="宋体" w:eastAsia="宋体" w:cs="宋体"/>
                <w:b w:val="0"/>
                <w:bCs w:val="0"/>
                <w:color w:val="auto"/>
                <w:spacing w:val="0"/>
                <w:sz w:val="24"/>
                <w:szCs w:val="24"/>
                <w:highlight w:val="none"/>
                <w:lang w:val="en-US" w:eastAsia="zh-CN"/>
              </w:rPr>
            </w:pPr>
            <w:r>
              <w:rPr>
                <w:rFonts w:hint="eastAsia"/>
                <w:b w:val="0"/>
                <w:bCs w:val="0"/>
                <w:color w:val="auto"/>
                <w:kern w:val="0"/>
                <w:szCs w:val="21"/>
                <w:highlight w:val="none"/>
              </w:rPr>
              <w:t>1</w:t>
            </w:r>
            <w:r>
              <w:rPr>
                <w:rFonts w:hint="eastAsia" w:ascii="宋体" w:hAnsi="宋体" w:cs="宋体"/>
                <w:b w:val="0"/>
                <w:bCs w:val="0"/>
                <w:color w:val="auto"/>
                <w:kern w:val="0"/>
                <w:szCs w:val="21"/>
                <w:highlight w:val="none"/>
              </w:rPr>
              <w:t>套</w:t>
            </w:r>
          </w:p>
        </w:tc>
        <w:tc>
          <w:tcPr>
            <w:tcW w:w="1718"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9</w:t>
            </w:r>
            <w:r>
              <w:rPr>
                <w:color w:val="auto"/>
                <w:kern w:val="0"/>
                <w:szCs w:val="21"/>
                <w:highlight w:val="none"/>
              </w:rPr>
              <w:t>0</w:t>
            </w:r>
          </w:p>
        </w:tc>
        <w:tc>
          <w:tcPr>
            <w:tcW w:w="1201" w:type="dxa"/>
            <w:vAlign w:val="center"/>
          </w:tcPr>
          <w:p>
            <w:pPr>
              <w:keepNext w:val="0"/>
              <w:keepLines w:val="0"/>
              <w:widowControl/>
              <w:suppressLineNumbers w:val="0"/>
              <w:jc w:val="center"/>
              <w:textAlignment w:val="center"/>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90</w:t>
            </w:r>
          </w:p>
        </w:tc>
        <w:tc>
          <w:tcPr>
            <w:tcW w:w="1977" w:type="dxa"/>
            <w:vMerge w:val="restart"/>
            <w:vAlign w:val="center"/>
          </w:tcPr>
          <w:p>
            <w:pPr>
              <w:pStyle w:val="1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详见第五章采购需求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jc w:val="center"/>
        </w:trPr>
        <w:tc>
          <w:tcPr>
            <w:tcW w:w="662" w:type="dxa"/>
            <w:vMerge w:val="continue"/>
            <w:vAlign w:val="center"/>
          </w:tcPr>
          <w:p>
            <w:pPr>
              <w:pStyle w:val="15"/>
              <w:jc w:val="center"/>
              <w:rPr>
                <w:rFonts w:hint="eastAsia" w:ascii="宋体" w:hAnsi="宋体" w:eastAsia="宋体" w:cs="宋体"/>
                <w:color w:val="auto"/>
                <w:spacing w:val="0"/>
                <w:sz w:val="24"/>
                <w:szCs w:val="24"/>
                <w:highlight w:val="none"/>
                <w:lang w:val="en-US" w:eastAsia="zh-CN"/>
              </w:rPr>
            </w:pPr>
          </w:p>
        </w:tc>
        <w:tc>
          <w:tcPr>
            <w:tcW w:w="1430"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7</w:t>
            </w:r>
            <w:r>
              <w:rPr>
                <w:color w:val="auto"/>
                <w:kern w:val="0"/>
                <w:szCs w:val="21"/>
                <w:highlight w:val="none"/>
              </w:rPr>
              <w:t>-2</w:t>
            </w:r>
          </w:p>
        </w:tc>
        <w:tc>
          <w:tcPr>
            <w:tcW w:w="1708" w:type="dxa"/>
            <w:shd w:val="clear" w:color="auto" w:fill="auto"/>
            <w:vAlign w:val="center"/>
          </w:tcPr>
          <w:p>
            <w:pPr>
              <w:widowControl/>
              <w:jc w:val="center"/>
              <w:rPr>
                <w:rFonts w:hint="eastAsia" w:ascii="宋体" w:hAnsi="宋体" w:eastAsia="宋体" w:cs="宋体"/>
                <w:color w:val="auto"/>
                <w:spacing w:val="0"/>
                <w:sz w:val="24"/>
                <w:szCs w:val="24"/>
                <w:highlight w:val="none"/>
                <w:lang w:val="en-US" w:eastAsia="zh-CN"/>
              </w:rPr>
            </w:pPr>
            <w:r>
              <w:rPr>
                <w:rFonts w:hint="eastAsia" w:ascii="宋体" w:hAnsi="宋体" w:cs="宋体"/>
                <w:color w:val="auto"/>
                <w:kern w:val="0"/>
                <w:szCs w:val="21"/>
                <w:highlight w:val="none"/>
              </w:rPr>
              <w:t>牙科综合治疗机</w:t>
            </w:r>
          </w:p>
        </w:tc>
        <w:tc>
          <w:tcPr>
            <w:tcW w:w="942" w:type="dxa"/>
            <w:shd w:val="clear" w:color="auto" w:fill="auto"/>
            <w:vAlign w:val="center"/>
          </w:tcPr>
          <w:p>
            <w:pPr>
              <w:widowControl/>
              <w:jc w:val="center"/>
              <w:rPr>
                <w:rFonts w:hint="eastAsia" w:ascii="宋体" w:hAnsi="宋体" w:eastAsia="宋体" w:cs="宋体"/>
                <w:b w:val="0"/>
                <w:bCs w:val="0"/>
                <w:color w:val="auto"/>
                <w:spacing w:val="0"/>
                <w:sz w:val="24"/>
                <w:szCs w:val="24"/>
                <w:highlight w:val="none"/>
                <w:lang w:val="en-US" w:eastAsia="zh-CN"/>
              </w:rPr>
            </w:pPr>
            <w:r>
              <w:rPr>
                <w:rFonts w:hint="eastAsia"/>
                <w:b w:val="0"/>
                <w:bCs w:val="0"/>
                <w:color w:val="auto"/>
                <w:kern w:val="0"/>
                <w:szCs w:val="21"/>
                <w:highlight w:val="none"/>
              </w:rPr>
              <w:t>2</w:t>
            </w:r>
            <w:r>
              <w:rPr>
                <w:rFonts w:hint="eastAsia" w:ascii="宋体" w:hAnsi="宋体" w:cs="宋体"/>
                <w:b w:val="0"/>
                <w:bCs w:val="0"/>
                <w:color w:val="auto"/>
                <w:kern w:val="0"/>
                <w:szCs w:val="21"/>
                <w:highlight w:val="none"/>
              </w:rPr>
              <w:t>套</w:t>
            </w:r>
          </w:p>
        </w:tc>
        <w:tc>
          <w:tcPr>
            <w:tcW w:w="1718"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3</w:t>
            </w:r>
            <w:r>
              <w:rPr>
                <w:color w:val="auto"/>
                <w:kern w:val="0"/>
                <w:szCs w:val="21"/>
                <w:highlight w:val="none"/>
              </w:rPr>
              <w:t>4</w:t>
            </w:r>
          </w:p>
        </w:tc>
        <w:tc>
          <w:tcPr>
            <w:tcW w:w="1201" w:type="dxa"/>
            <w:vAlign w:val="center"/>
          </w:tcPr>
          <w:p>
            <w:pPr>
              <w:keepNext w:val="0"/>
              <w:keepLines w:val="0"/>
              <w:widowControl/>
              <w:suppressLineNumbers w:val="0"/>
              <w:jc w:val="center"/>
              <w:textAlignment w:val="center"/>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17</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jc w:val="center"/>
        </w:trPr>
        <w:tc>
          <w:tcPr>
            <w:tcW w:w="662" w:type="dxa"/>
            <w:vMerge w:val="continue"/>
            <w:vAlign w:val="center"/>
          </w:tcPr>
          <w:p>
            <w:pPr>
              <w:pStyle w:val="15"/>
              <w:jc w:val="center"/>
              <w:rPr>
                <w:rFonts w:hint="eastAsia" w:ascii="宋体" w:hAnsi="宋体" w:eastAsia="宋体" w:cs="宋体"/>
                <w:color w:val="auto"/>
                <w:spacing w:val="0"/>
                <w:sz w:val="24"/>
                <w:szCs w:val="24"/>
                <w:highlight w:val="none"/>
                <w:lang w:val="en-US" w:eastAsia="zh-CN"/>
              </w:rPr>
            </w:pPr>
          </w:p>
        </w:tc>
        <w:tc>
          <w:tcPr>
            <w:tcW w:w="1430"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7</w:t>
            </w:r>
            <w:r>
              <w:rPr>
                <w:color w:val="auto"/>
                <w:kern w:val="0"/>
                <w:szCs w:val="21"/>
                <w:highlight w:val="none"/>
              </w:rPr>
              <w:t>-3</w:t>
            </w:r>
          </w:p>
        </w:tc>
        <w:tc>
          <w:tcPr>
            <w:tcW w:w="1708" w:type="dxa"/>
            <w:shd w:val="clear" w:color="auto" w:fill="auto"/>
            <w:vAlign w:val="center"/>
          </w:tcPr>
          <w:p>
            <w:pPr>
              <w:widowControl/>
              <w:jc w:val="center"/>
              <w:rPr>
                <w:rFonts w:hint="eastAsia" w:ascii="宋体" w:hAnsi="宋体" w:eastAsia="宋体" w:cs="宋体"/>
                <w:color w:val="auto"/>
                <w:spacing w:val="0"/>
                <w:sz w:val="24"/>
                <w:szCs w:val="24"/>
                <w:highlight w:val="none"/>
                <w:lang w:val="en-US" w:eastAsia="zh-CN"/>
              </w:rPr>
            </w:pPr>
            <w:r>
              <w:rPr>
                <w:rFonts w:hint="eastAsia" w:ascii="宋体" w:hAnsi="宋体" w:cs="宋体"/>
                <w:color w:val="auto"/>
                <w:kern w:val="0"/>
                <w:szCs w:val="21"/>
                <w:highlight w:val="none"/>
              </w:rPr>
              <w:t>微波治疗仪</w:t>
            </w:r>
          </w:p>
        </w:tc>
        <w:tc>
          <w:tcPr>
            <w:tcW w:w="942" w:type="dxa"/>
            <w:shd w:val="clear" w:color="auto" w:fill="auto"/>
            <w:vAlign w:val="center"/>
          </w:tcPr>
          <w:p>
            <w:pPr>
              <w:widowControl/>
              <w:jc w:val="center"/>
              <w:rPr>
                <w:rFonts w:hint="eastAsia" w:ascii="宋体" w:hAnsi="宋体" w:eastAsia="宋体" w:cs="宋体"/>
                <w:b w:val="0"/>
                <w:bCs w:val="0"/>
                <w:color w:val="auto"/>
                <w:spacing w:val="0"/>
                <w:sz w:val="24"/>
                <w:szCs w:val="24"/>
                <w:highlight w:val="none"/>
                <w:lang w:val="en-US" w:eastAsia="zh-CN"/>
              </w:rPr>
            </w:pPr>
            <w:r>
              <w:rPr>
                <w:rFonts w:hint="eastAsia"/>
                <w:b w:val="0"/>
                <w:bCs w:val="0"/>
                <w:color w:val="auto"/>
                <w:kern w:val="0"/>
                <w:szCs w:val="21"/>
                <w:highlight w:val="none"/>
              </w:rPr>
              <w:t>2</w:t>
            </w:r>
            <w:r>
              <w:rPr>
                <w:rFonts w:hint="eastAsia" w:ascii="宋体" w:hAnsi="宋体" w:cs="宋体"/>
                <w:b w:val="0"/>
                <w:bCs w:val="0"/>
                <w:color w:val="auto"/>
                <w:kern w:val="0"/>
                <w:szCs w:val="21"/>
                <w:highlight w:val="none"/>
              </w:rPr>
              <w:t>套</w:t>
            </w:r>
          </w:p>
        </w:tc>
        <w:tc>
          <w:tcPr>
            <w:tcW w:w="1718" w:type="dxa"/>
            <w:shd w:val="clear" w:color="auto" w:fill="auto"/>
            <w:vAlign w:val="center"/>
          </w:tcPr>
          <w:p>
            <w:pPr>
              <w:widowControl/>
              <w:jc w:val="center"/>
              <w:rPr>
                <w:rFonts w:hint="eastAsia" w:ascii="宋体" w:hAnsi="宋体" w:eastAsia="宋体" w:cs="宋体"/>
                <w:color w:val="auto"/>
                <w:spacing w:val="0"/>
                <w:sz w:val="24"/>
                <w:szCs w:val="24"/>
                <w:highlight w:val="none"/>
                <w:lang w:eastAsia="zh-CN"/>
              </w:rPr>
            </w:pPr>
            <w:r>
              <w:rPr>
                <w:rFonts w:hint="eastAsia"/>
                <w:color w:val="auto"/>
                <w:kern w:val="0"/>
                <w:szCs w:val="21"/>
                <w:highlight w:val="none"/>
              </w:rPr>
              <w:t>8</w:t>
            </w:r>
            <w:r>
              <w:rPr>
                <w:color w:val="auto"/>
                <w:kern w:val="0"/>
                <w:szCs w:val="21"/>
                <w:highlight w:val="none"/>
              </w:rPr>
              <w:t>0</w:t>
            </w:r>
          </w:p>
        </w:tc>
        <w:tc>
          <w:tcPr>
            <w:tcW w:w="1201" w:type="dxa"/>
            <w:vAlign w:val="center"/>
          </w:tcPr>
          <w:p>
            <w:pPr>
              <w:keepNext w:val="0"/>
              <w:keepLines w:val="0"/>
              <w:widowControl/>
              <w:suppressLineNumbers w:val="0"/>
              <w:jc w:val="center"/>
              <w:textAlignment w:val="center"/>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40</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atLeast"/>
          <w:jc w:val="center"/>
        </w:trPr>
        <w:tc>
          <w:tcPr>
            <w:tcW w:w="662" w:type="dxa"/>
            <w:vMerge w:val="restart"/>
            <w:vAlign w:val="center"/>
          </w:tcPr>
          <w:p>
            <w:pPr>
              <w:pStyle w:val="15"/>
              <w:jc w:val="center"/>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9</w:t>
            </w:r>
          </w:p>
        </w:tc>
        <w:tc>
          <w:tcPr>
            <w:tcW w:w="1430"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color w:val="auto"/>
                <w:kern w:val="0"/>
                <w:szCs w:val="21"/>
                <w:highlight w:val="none"/>
              </w:rPr>
              <w:t>9</w:t>
            </w:r>
            <w:r>
              <w:rPr>
                <w:color w:val="auto"/>
                <w:kern w:val="0"/>
                <w:szCs w:val="21"/>
                <w:highlight w:val="none"/>
              </w:rPr>
              <w:t>-1</w:t>
            </w:r>
          </w:p>
        </w:tc>
        <w:tc>
          <w:tcPr>
            <w:tcW w:w="1708"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rPr>
              <w:t>运动心肺综合测试系统</w:t>
            </w:r>
          </w:p>
        </w:tc>
        <w:tc>
          <w:tcPr>
            <w:tcW w:w="942" w:type="dxa"/>
            <w:shd w:val="clear" w:color="auto" w:fill="auto"/>
            <w:vAlign w:val="center"/>
          </w:tcPr>
          <w:p>
            <w:pPr>
              <w:widowControl/>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b w:val="0"/>
                <w:bCs w:val="0"/>
                <w:color w:val="auto"/>
                <w:kern w:val="0"/>
                <w:szCs w:val="21"/>
                <w:highlight w:val="none"/>
              </w:rPr>
              <w:t>1</w:t>
            </w:r>
            <w:r>
              <w:rPr>
                <w:rFonts w:hint="eastAsia" w:ascii="宋体" w:hAnsi="宋体" w:cs="宋体"/>
                <w:b w:val="0"/>
                <w:bCs w:val="0"/>
                <w:color w:val="auto"/>
                <w:kern w:val="0"/>
                <w:szCs w:val="21"/>
                <w:highlight w:val="none"/>
              </w:rPr>
              <w:t>套</w:t>
            </w:r>
          </w:p>
        </w:tc>
        <w:tc>
          <w:tcPr>
            <w:tcW w:w="1718" w:type="dxa"/>
            <w:shd w:val="clear" w:color="auto" w:fill="auto"/>
            <w:vAlign w:val="center"/>
          </w:tcPr>
          <w:p>
            <w:pPr>
              <w:widowControl/>
              <w:jc w:val="center"/>
              <w:rPr>
                <w:rFonts w:hint="eastAsia" w:cs="宋体"/>
                <w:i w:val="0"/>
                <w:iCs w:val="0"/>
                <w:color w:val="auto"/>
                <w:kern w:val="0"/>
                <w:sz w:val="24"/>
                <w:szCs w:val="24"/>
                <w:highlight w:val="none"/>
                <w:u w:val="none"/>
                <w:lang w:val="en-US" w:eastAsia="zh-CN" w:bidi="ar"/>
              </w:rPr>
            </w:pPr>
            <w:r>
              <w:rPr>
                <w:rFonts w:hint="eastAsia"/>
                <w:color w:val="auto"/>
                <w:kern w:val="0"/>
                <w:szCs w:val="21"/>
                <w:highlight w:val="none"/>
              </w:rPr>
              <w:t>8</w:t>
            </w:r>
            <w:r>
              <w:rPr>
                <w:color w:val="auto"/>
                <w:kern w:val="0"/>
                <w:szCs w:val="21"/>
                <w:highlight w:val="none"/>
              </w:rPr>
              <w:t>9</w:t>
            </w:r>
          </w:p>
        </w:tc>
        <w:tc>
          <w:tcPr>
            <w:tcW w:w="120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89</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6" w:hRule="atLeast"/>
          <w:jc w:val="center"/>
        </w:trPr>
        <w:tc>
          <w:tcPr>
            <w:tcW w:w="662" w:type="dxa"/>
            <w:vMerge w:val="continue"/>
            <w:vAlign w:val="center"/>
          </w:tcPr>
          <w:p>
            <w:pPr>
              <w:pStyle w:val="15"/>
              <w:jc w:val="center"/>
              <w:rPr>
                <w:rFonts w:hint="eastAsia" w:ascii="宋体" w:hAnsi="宋体" w:eastAsia="宋体" w:cs="宋体"/>
                <w:color w:val="auto"/>
                <w:spacing w:val="0"/>
                <w:sz w:val="24"/>
                <w:szCs w:val="24"/>
                <w:highlight w:val="none"/>
                <w:lang w:val="en-US" w:eastAsia="zh-CN"/>
              </w:rPr>
            </w:pPr>
          </w:p>
        </w:tc>
        <w:tc>
          <w:tcPr>
            <w:tcW w:w="1430"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color w:val="auto"/>
                <w:kern w:val="0"/>
                <w:szCs w:val="21"/>
                <w:highlight w:val="none"/>
              </w:rPr>
              <w:t>9</w:t>
            </w:r>
            <w:r>
              <w:rPr>
                <w:color w:val="auto"/>
                <w:kern w:val="0"/>
                <w:szCs w:val="21"/>
                <w:highlight w:val="none"/>
              </w:rPr>
              <w:t>-2</w:t>
            </w:r>
          </w:p>
        </w:tc>
        <w:tc>
          <w:tcPr>
            <w:tcW w:w="1708"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rPr>
              <w:t>硬质支气管镜系统</w:t>
            </w:r>
          </w:p>
        </w:tc>
        <w:tc>
          <w:tcPr>
            <w:tcW w:w="942" w:type="dxa"/>
            <w:shd w:val="clear" w:color="auto" w:fill="auto"/>
            <w:vAlign w:val="center"/>
          </w:tcPr>
          <w:p>
            <w:pPr>
              <w:widowControl/>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b w:val="0"/>
                <w:bCs w:val="0"/>
                <w:color w:val="auto"/>
                <w:kern w:val="0"/>
                <w:szCs w:val="21"/>
                <w:highlight w:val="none"/>
              </w:rPr>
              <w:t>1</w:t>
            </w:r>
            <w:r>
              <w:rPr>
                <w:rFonts w:hint="eastAsia" w:ascii="宋体" w:hAnsi="宋体" w:cs="宋体"/>
                <w:b w:val="0"/>
                <w:bCs w:val="0"/>
                <w:color w:val="auto"/>
                <w:kern w:val="0"/>
                <w:szCs w:val="21"/>
                <w:highlight w:val="none"/>
              </w:rPr>
              <w:t>套</w:t>
            </w:r>
          </w:p>
        </w:tc>
        <w:tc>
          <w:tcPr>
            <w:tcW w:w="1718" w:type="dxa"/>
            <w:shd w:val="clear" w:color="auto" w:fill="auto"/>
            <w:vAlign w:val="center"/>
          </w:tcPr>
          <w:p>
            <w:pPr>
              <w:widowControl/>
              <w:jc w:val="center"/>
              <w:rPr>
                <w:rFonts w:hint="eastAsia" w:cs="宋体"/>
                <w:i w:val="0"/>
                <w:iCs w:val="0"/>
                <w:color w:val="auto"/>
                <w:kern w:val="0"/>
                <w:sz w:val="24"/>
                <w:szCs w:val="24"/>
                <w:highlight w:val="none"/>
                <w:u w:val="none"/>
                <w:lang w:val="en-US" w:eastAsia="zh-CN" w:bidi="ar"/>
              </w:rPr>
            </w:pPr>
            <w:r>
              <w:rPr>
                <w:rFonts w:hint="eastAsia"/>
                <w:color w:val="auto"/>
                <w:kern w:val="0"/>
                <w:szCs w:val="21"/>
                <w:highlight w:val="none"/>
              </w:rPr>
              <w:t>4</w:t>
            </w:r>
            <w:r>
              <w:rPr>
                <w:color w:val="auto"/>
                <w:kern w:val="0"/>
                <w:szCs w:val="21"/>
                <w:highlight w:val="none"/>
              </w:rPr>
              <w:t>5</w:t>
            </w:r>
          </w:p>
        </w:tc>
        <w:tc>
          <w:tcPr>
            <w:tcW w:w="120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45</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jc w:val="center"/>
        </w:trPr>
        <w:tc>
          <w:tcPr>
            <w:tcW w:w="662" w:type="dxa"/>
            <w:vMerge w:val="continue"/>
            <w:vAlign w:val="center"/>
          </w:tcPr>
          <w:p>
            <w:pPr>
              <w:pStyle w:val="15"/>
              <w:jc w:val="center"/>
              <w:rPr>
                <w:rFonts w:hint="eastAsia" w:ascii="宋体" w:hAnsi="宋体" w:eastAsia="宋体" w:cs="宋体"/>
                <w:color w:val="auto"/>
                <w:spacing w:val="0"/>
                <w:sz w:val="24"/>
                <w:szCs w:val="24"/>
                <w:highlight w:val="none"/>
                <w:lang w:val="en-US" w:eastAsia="zh-CN"/>
              </w:rPr>
            </w:pPr>
          </w:p>
        </w:tc>
        <w:tc>
          <w:tcPr>
            <w:tcW w:w="1430"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color w:val="auto"/>
                <w:kern w:val="0"/>
                <w:szCs w:val="21"/>
                <w:highlight w:val="none"/>
              </w:rPr>
              <w:t>9</w:t>
            </w:r>
            <w:r>
              <w:rPr>
                <w:color w:val="auto"/>
                <w:kern w:val="0"/>
                <w:szCs w:val="21"/>
                <w:highlight w:val="none"/>
              </w:rPr>
              <w:t>-3</w:t>
            </w:r>
          </w:p>
        </w:tc>
        <w:tc>
          <w:tcPr>
            <w:tcW w:w="1708"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rPr>
              <w:t>强脉冲光与激光系统</w:t>
            </w:r>
          </w:p>
        </w:tc>
        <w:tc>
          <w:tcPr>
            <w:tcW w:w="942" w:type="dxa"/>
            <w:shd w:val="clear" w:color="auto" w:fill="auto"/>
            <w:vAlign w:val="center"/>
          </w:tcPr>
          <w:p>
            <w:pPr>
              <w:widowControl/>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b w:val="0"/>
                <w:bCs w:val="0"/>
                <w:color w:val="auto"/>
                <w:kern w:val="0"/>
                <w:szCs w:val="21"/>
                <w:highlight w:val="none"/>
              </w:rPr>
              <w:t>1</w:t>
            </w:r>
            <w:r>
              <w:rPr>
                <w:rFonts w:hint="eastAsia" w:ascii="宋体" w:hAnsi="宋体" w:cs="宋体"/>
                <w:b w:val="0"/>
                <w:bCs w:val="0"/>
                <w:color w:val="auto"/>
                <w:kern w:val="0"/>
                <w:szCs w:val="21"/>
                <w:highlight w:val="none"/>
              </w:rPr>
              <w:t>套</w:t>
            </w:r>
          </w:p>
        </w:tc>
        <w:tc>
          <w:tcPr>
            <w:tcW w:w="1718" w:type="dxa"/>
            <w:vAlign w:val="center"/>
          </w:tcPr>
          <w:p>
            <w:pPr>
              <w:keepNext w:val="0"/>
              <w:keepLines w:val="0"/>
              <w:widowControl/>
              <w:suppressLineNumbers w:val="0"/>
              <w:jc w:val="center"/>
              <w:textAlignment w:val="center"/>
              <w:rPr>
                <w:rFonts w:hint="eastAsia"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55</w:t>
            </w:r>
          </w:p>
        </w:tc>
        <w:tc>
          <w:tcPr>
            <w:tcW w:w="120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55</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jc w:val="center"/>
        </w:trPr>
        <w:tc>
          <w:tcPr>
            <w:tcW w:w="662" w:type="dxa"/>
            <w:vMerge w:val="continue"/>
            <w:vAlign w:val="center"/>
          </w:tcPr>
          <w:p>
            <w:pPr>
              <w:pStyle w:val="15"/>
              <w:jc w:val="center"/>
              <w:rPr>
                <w:rFonts w:hint="eastAsia" w:ascii="宋体" w:hAnsi="宋体" w:eastAsia="宋体" w:cs="宋体"/>
                <w:color w:val="auto"/>
                <w:spacing w:val="0"/>
                <w:sz w:val="24"/>
                <w:szCs w:val="24"/>
                <w:highlight w:val="none"/>
                <w:lang w:val="en-US" w:eastAsia="zh-CN"/>
              </w:rPr>
            </w:pPr>
          </w:p>
        </w:tc>
        <w:tc>
          <w:tcPr>
            <w:tcW w:w="1430"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color w:val="auto"/>
                <w:kern w:val="0"/>
                <w:szCs w:val="21"/>
                <w:highlight w:val="none"/>
              </w:rPr>
              <w:t>9</w:t>
            </w:r>
            <w:r>
              <w:rPr>
                <w:color w:val="auto"/>
                <w:kern w:val="0"/>
                <w:szCs w:val="21"/>
                <w:highlight w:val="none"/>
              </w:rPr>
              <w:t>-4</w:t>
            </w:r>
          </w:p>
        </w:tc>
        <w:tc>
          <w:tcPr>
            <w:tcW w:w="1708" w:type="dxa"/>
            <w:shd w:val="clear" w:color="auto" w:fill="auto"/>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rPr>
              <w:t>干眼综合分析仪</w:t>
            </w:r>
          </w:p>
        </w:tc>
        <w:tc>
          <w:tcPr>
            <w:tcW w:w="942" w:type="dxa"/>
            <w:shd w:val="clear" w:color="auto" w:fill="auto"/>
            <w:vAlign w:val="center"/>
          </w:tcPr>
          <w:p>
            <w:pPr>
              <w:widowControl/>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b w:val="0"/>
                <w:bCs w:val="0"/>
                <w:color w:val="auto"/>
                <w:kern w:val="0"/>
                <w:szCs w:val="21"/>
                <w:highlight w:val="none"/>
              </w:rPr>
              <w:t>1</w:t>
            </w:r>
            <w:r>
              <w:rPr>
                <w:rFonts w:hint="eastAsia" w:ascii="宋体" w:hAnsi="宋体" w:cs="宋体"/>
                <w:b w:val="0"/>
                <w:bCs w:val="0"/>
                <w:color w:val="auto"/>
                <w:kern w:val="0"/>
                <w:szCs w:val="21"/>
                <w:highlight w:val="none"/>
              </w:rPr>
              <w:t>套</w:t>
            </w:r>
          </w:p>
        </w:tc>
        <w:tc>
          <w:tcPr>
            <w:tcW w:w="1718" w:type="dxa"/>
            <w:vAlign w:val="center"/>
          </w:tcPr>
          <w:p>
            <w:pPr>
              <w:keepNext w:val="0"/>
              <w:keepLines w:val="0"/>
              <w:widowControl/>
              <w:suppressLineNumbers w:val="0"/>
              <w:jc w:val="center"/>
              <w:textAlignment w:val="center"/>
              <w:rPr>
                <w:rFonts w:hint="eastAsia"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32</w:t>
            </w:r>
          </w:p>
        </w:tc>
        <w:tc>
          <w:tcPr>
            <w:tcW w:w="120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32</w:t>
            </w:r>
          </w:p>
        </w:tc>
        <w:tc>
          <w:tcPr>
            <w:tcW w:w="1977" w:type="dxa"/>
            <w:vMerge w:val="continue"/>
            <w:vAlign w:val="center"/>
          </w:tcPr>
          <w:p>
            <w:pPr>
              <w:pStyle w:val="15"/>
              <w:jc w:val="center"/>
              <w:rPr>
                <w:rFonts w:hint="eastAsia" w:ascii="宋体" w:hAnsi="宋体" w:eastAsia="宋体" w:cs="宋体"/>
                <w:color w:val="auto"/>
                <w:spacing w:val="0"/>
                <w:sz w:val="24"/>
                <w:szCs w:val="24"/>
                <w:highlight w:val="none"/>
                <w:lang w:eastAsia="zh-CN"/>
              </w:rPr>
            </w:pPr>
          </w:p>
        </w:tc>
      </w:tr>
    </w:tbl>
    <w:p>
      <w:pPr>
        <w:ind w:firstLine="560" w:firstLineChars="200"/>
        <w:rPr>
          <w:rFonts w:hint="eastAsia" w:ascii="仿宋" w:hAnsi="仿宋" w:eastAsia="仿宋" w:cs="仿宋"/>
          <w:sz w:val="28"/>
          <w:szCs w:val="28"/>
          <w:highlight w:val="none"/>
          <w:lang w:val="en-US" w:eastAsia="zh-CN"/>
        </w:rPr>
      </w:pPr>
      <w:bookmarkStart w:id="31" w:name="_GoBack"/>
      <w:bookmarkEnd w:id="31"/>
    </w:p>
    <w:p>
      <w:pPr>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合同履行期限：详见第五章采购需求</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pStyle w:val="5"/>
        <w:spacing w:line="360" w:lineRule="auto"/>
        <w:rPr>
          <w:rFonts w:hint="eastAsia" w:ascii="仿宋" w:hAnsi="仿宋" w:eastAsia="仿宋" w:cs="仿宋"/>
          <w:b w:val="0"/>
          <w:sz w:val="28"/>
          <w:szCs w:val="28"/>
          <w:highlight w:val="none"/>
        </w:rPr>
      </w:pPr>
      <w:bookmarkStart w:id="7" w:name="_Toc28359080"/>
      <w:bookmarkStart w:id="8" w:name="_Toc28359003"/>
      <w:bookmarkStart w:id="9" w:name="_Toc35393791"/>
      <w:bookmarkStart w:id="10" w:name="_Toc35393622"/>
      <w:r>
        <w:rPr>
          <w:rFonts w:hint="eastAsia" w:ascii="仿宋" w:hAnsi="仿宋" w:eastAsia="仿宋" w:cs="仿宋"/>
          <w:b w:val="0"/>
          <w:sz w:val="28"/>
          <w:szCs w:val="28"/>
          <w:highlight w:val="none"/>
        </w:rPr>
        <w:t>二、申请人的资格要求：</w:t>
      </w:r>
      <w:bookmarkEnd w:id="7"/>
      <w:bookmarkEnd w:id="8"/>
      <w:bookmarkEnd w:id="9"/>
      <w:bookmarkEnd w:id="10"/>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ind w:firstLine="560" w:firstLineChars="200"/>
        <w:rPr>
          <w:rFonts w:hint="eastAsia" w:ascii="仿宋" w:hAnsi="仿宋" w:eastAsia="仿宋" w:cs="仿宋"/>
          <w:sz w:val="28"/>
          <w:szCs w:val="28"/>
          <w:highlight w:val="none"/>
        </w:rPr>
      </w:pPr>
      <w:bookmarkStart w:id="11" w:name="_Toc28359081"/>
      <w:bookmarkStart w:id="12" w:name="_Toc28359004"/>
      <w:r>
        <w:rPr>
          <w:rFonts w:hint="eastAsia" w:ascii="仿宋" w:hAnsi="仿宋" w:eastAsia="仿宋" w:cs="仿宋"/>
          <w:sz w:val="28"/>
          <w:szCs w:val="28"/>
          <w:highlight w:val="none"/>
        </w:rPr>
        <w:t>2.落实政府采购政策需满足的资格要求：</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中小企业政策</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本项目不专门面向中小企业预留采购份额。</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其它落实政府采购政策的资格要求（如有）：无。</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本项目的特定资格要求：</w:t>
      </w:r>
      <w:bookmarkEnd w:id="11"/>
      <w:bookmarkEnd w:id="12"/>
      <w:bookmarkStart w:id="13" w:name="_Toc35393624"/>
      <w:bookmarkStart w:id="14" w:name="_Toc35393793"/>
      <w:bookmarkStart w:id="15" w:name="_Toc28359005"/>
      <w:bookmarkStart w:id="16" w:name="_Toc28359082"/>
    </w:p>
    <w:p>
      <w:pPr>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3.1本项目是否接受分支机构参与投标：□是   ■否；</w:t>
      </w:r>
    </w:p>
    <w:p>
      <w:pPr>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3.2本项目是否属于政府购买服务：</w:t>
      </w:r>
    </w:p>
    <w:p>
      <w:pPr>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■否</w:t>
      </w:r>
    </w:p>
    <w:p>
      <w:pPr>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□是，公益一类事业单位、使用事业编制且由财政拨款保障的群团组织，不得作为承接主体；</w:t>
      </w:r>
    </w:p>
    <w:p>
      <w:pPr>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3.3其他特定资格要求：投标产品属于医疗器械的，供应商如为代理商，应具有合法的医疗器械经营资格；供应商如为制造商，使用自身生产的产品投标时，应具有合法的医疗器械生产资格。</w:t>
      </w:r>
    </w:p>
    <w:bookmarkEnd w:id="13"/>
    <w:bookmarkEnd w:id="14"/>
    <w:bookmarkEnd w:id="15"/>
    <w:bookmarkEnd w:id="16"/>
    <w:p>
      <w:pPr>
        <w:pStyle w:val="5"/>
        <w:spacing w:line="360" w:lineRule="auto"/>
        <w:rPr>
          <w:rFonts w:ascii="仿宋" w:hAnsi="仿宋" w:eastAsia="仿宋" w:cs="仿宋"/>
          <w:b w:val="0"/>
          <w:sz w:val="28"/>
          <w:szCs w:val="28"/>
          <w:highlight w:val="none"/>
        </w:rPr>
      </w:pPr>
      <w:bookmarkStart w:id="17" w:name="_Toc35393626"/>
      <w:bookmarkStart w:id="18" w:name="_Toc35393795"/>
      <w:r>
        <w:rPr>
          <w:rFonts w:hint="eastAsia" w:ascii="仿宋" w:hAnsi="仿宋" w:eastAsia="仿宋" w:cs="仿宋"/>
          <w:b w:val="0"/>
          <w:sz w:val="28"/>
          <w:szCs w:val="28"/>
          <w:highlight w:val="none"/>
        </w:rPr>
        <w:t>三、获取招标文件</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1.时间：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2.地点：北京市政府采购电子交易平台</w:t>
      </w:r>
      <w:r>
        <w:rPr>
          <w:rFonts w:hint="eastAsia" w:ascii="仿宋" w:hAnsi="仿宋" w:eastAsia="仿宋" w:cs="仿宋"/>
          <w:sz w:val="28"/>
          <w:szCs w:val="28"/>
          <w:highlight w:val="none"/>
          <w:lang w:val="en-US" w:eastAsia="zh-CN"/>
        </w:rPr>
        <w:t>。</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3.方式：</w:t>
      </w:r>
      <w:r>
        <w:rPr>
          <w:rFonts w:hint="eastAsia" w:ascii="仿宋" w:hAnsi="仿宋" w:eastAsia="仿宋" w:cs="仿宋"/>
          <w:sz w:val="28"/>
          <w:szCs w:val="28"/>
          <w:highlight w:val="none"/>
        </w:rPr>
        <w:t>供应商使用 CA 数字证书或电子营业执照登录北京市政府采购电子交易平台（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"http://zbcg-bjzc.zhongcy.com/bjczj-portal-site/index.html%23/home" \h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http://zbcg-bjzc.zhongcy.com/bjczj-portal-site/index.html#/home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）获取电子版招标文件。</w:t>
      </w:r>
    </w:p>
    <w:p>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4.售价：0元。</w:t>
      </w:r>
    </w:p>
    <w:p>
      <w:pPr>
        <w:pStyle w:val="5"/>
        <w:spacing w:line="360" w:lineRule="auto"/>
        <w:rPr>
          <w:rFonts w:ascii="仿宋" w:hAnsi="仿宋" w:eastAsia="仿宋" w:cs="仿宋"/>
          <w:b w:val="0"/>
          <w:sz w:val="28"/>
          <w:szCs w:val="28"/>
          <w:highlight w:val="none"/>
        </w:rPr>
      </w:pPr>
      <w:r>
        <w:rPr>
          <w:rFonts w:hint="eastAsia" w:ascii="仿宋" w:hAnsi="仿宋" w:eastAsia="仿宋" w:cs="仿宋"/>
          <w:b w:val="0"/>
          <w:sz w:val="28"/>
          <w:szCs w:val="28"/>
          <w:highlight w:val="none"/>
        </w:rPr>
        <w:t>四、提交投标文件截止时间、开标时间和地点</w:t>
      </w:r>
    </w:p>
    <w:p>
      <w:pPr>
        <w:spacing w:line="360" w:lineRule="auto"/>
        <w:ind w:firstLine="420" w:firstLineChars="150"/>
        <w:rPr>
          <w:rFonts w:hint="eastAsia" w:ascii="仿宋" w:hAnsi="仿宋" w:eastAsia="仿宋" w:cs="仿宋"/>
          <w:bCs/>
          <w:sz w:val="28"/>
          <w:szCs w:val="28"/>
          <w:highlight w:val="none"/>
        </w:rPr>
      </w:pPr>
      <w:bookmarkStart w:id="19" w:name="_Toc35393794"/>
      <w:bookmarkStart w:id="20" w:name="_Toc28359007"/>
      <w:bookmarkStart w:id="21" w:name="_Toc35393625"/>
      <w:bookmarkStart w:id="22" w:name="_Toc28359084"/>
      <w:r>
        <w:rPr>
          <w:rFonts w:hint="eastAsia" w:ascii="仿宋" w:hAnsi="仿宋" w:eastAsia="仿宋" w:cs="仿宋"/>
          <w:bCs/>
          <w:sz w:val="28"/>
          <w:szCs w:val="28"/>
          <w:highlight w:val="none"/>
        </w:rPr>
        <w:t>投标截止时间、开标时间：</w:t>
      </w:r>
      <w:r>
        <w:rPr>
          <w:rFonts w:hint="eastAsia" w:ascii="仿宋" w:hAnsi="仿宋" w:eastAsia="仿宋" w:cs="仿宋"/>
          <w:sz w:val="28"/>
          <w:szCs w:val="28"/>
          <w:highlight w:val="none"/>
          <w:u w:val="none"/>
          <w:lang w:eastAsia="zh-CN"/>
        </w:rPr>
        <w:t>2025年</w:t>
      </w:r>
      <w:r>
        <w:rPr>
          <w:rFonts w:hint="eastAsia" w:ascii="仿宋" w:hAnsi="仿宋" w:eastAsia="仿宋" w:cs="仿宋"/>
          <w:sz w:val="28"/>
          <w:szCs w:val="28"/>
          <w:highlight w:val="none"/>
          <w:u w:val="none"/>
          <w:lang w:val="en-US" w:eastAsia="zh-CN"/>
        </w:rPr>
        <w:t>5月9日上午9</w:t>
      </w:r>
      <w:r>
        <w:rPr>
          <w:rFonts w:hint="eastAsia" w:ascii="仿宋" w:hAnsi="仿宋" w:eastAsia="仿宋" w:cs="仿宋"/>
          <w:sz w:val="28"/>
          <w:szCs w:val="28"/>
          <w:highlight w:val="none"/>
          <w:u w:val="none"/>
        </w:rPr>
        <w:t>时</w:t>
      </w:r>
      <w:r>
        <w:rPr>
          <w:rFonts w:hint="eastAsia" w:ascii="仿宋" w:hAnsi="仿宋" w:eastAsia="仿宋" w:cs="仿宋"/>
          <w:sz w:val="28"/>
          <w:szCs w:val="28"/>
          <w:highlight w:val="none"/>
          <w:u w:val="none"/>
          <w:lang w:val="en-US" w:eastAsia="zh-CN"/>
        </w:rPr>
        <w:t>30</w:t>
      </w:r>
      <w:r>
        <w:rPr>
          <w:rFonts w:hint="eastAsia" w:ascii="仿宋" w:hAnsi="仿宋" w:eastAsia="仿宋" w:cs="仿宋"/>
          <w:sz w:val="28"/>
          <w:szCs w:val="28"/>
          <w:highlight w:val="none"/>
          <w:u w:val="none"/>
        </w:rPr>
        <w:t>分</w:t>
      </w:r>
      <w:r>
        <w:rPr>
          <w:rFonts w:hint="eastAsia" w:ascii="仿宋" w:hAnsi="仿宋" w:eastAsia="仿宋" w:cs="仿宋"/>
          <w:bCs/>
          <w:sz w:val="28"/>
          <w:szCs w:val="28"/>
          <w:highlight w:val="none"/>
        </w:rPr>
        <w:t>（北京时间）。</w:t>
      </w:r>
    </w:p>
    <w:p>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五、公告期限</w:t>
      </w:r>
      <w:bookmarkEnd w:id="19"/>
      <w:bookmarkEnd w:id="20"/>
      <w:bookmarkEnd w:id="21"/>
      <w:bookmarkEnd w:id="22"/>
    </w:p>
    <w:p>
      <w:pPr>
        <w:ind w:firstLine="560" w:firstLineChars="200"/>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自本公告发布之日起5个工作日。</w:t>
      </w:r>
    </w:p>
    <w:p>
      <w:pPr>
        <w:pStyle w:val="5"/>
        <w:numPr>
          <w:ilvl w:val="0"/>
          <w:numId w:val="1"/>
        </w:numPr>
        <w:spacing w:line="240" w:lineRule="auto"/>
        <w:rPr>
          <w:rFonts w:ascii="仿宋" w:hAnsi="仿宋" w:eastAsia="仿宋" w:cs="仿宋"/>
          <w:kern w:val="0"/>
          <w:sz w:val="28"/>
          <w:szCs w:val="28"/>
          <w:highlight w:val="none"/>
        </w:rPr>
      </w:pPr>
      <w:r>
        <w:rPr>
          <w:rFonts w:hint="eastAsia" w:ascii="仿宋" w:hAnsi="仿宋" w:eastAsia="仿宋" w:cs="仿宋"/>
          <w:b w:val="0"/>
          <w:sz w:val="28"/>
          <w:szCs w:val="28"/>
          <w:highlight w:val="none"/>
        </w:rPr>
        <w:t>其他补充事宜</w:t>
      </w:r>
    </w:p>
    <w:bookmarkEnd w:id="17"/>
    <w:bookmarkEnd w:id="18"/>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bookmarkStart w:id="23" w:name="_Toc28359085"/>
      <w:bookmarkStart w:id="24" w:name="_Toc35393796"/>
      <w:bookmarkStart w:id="25" w:name="_Toc28359008"/>
      <w:bookmarkStart w:id="26" w:name="_Toc35393627"/>
      <w:r>
        <w:rPr>
          <w:rFonts w:hint="eastAsia" w:ascii="仿宋" w:hAnsi="仿宋" w:eastAsia="仿宋" w:cs="仿宋"/>
          <w:b w:val="0"/>
          <w:sz w:val="28"/>
          <w:szCs w:val="28"/>
          <w:highlight w:val="none"/>
          <w:lang w:eastAsia="zh-CN"/>
        </w:rPr>
        <w:t>1.本项目需要落实的政府采购政策：促进中小企业发展政策、监狱企业扶持政策、促进残疾人就业政府采购政策、鼓励节能、环保政策等。政府采购政策具体落实情况详见招标文件。</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2.本次招标供应商必须以包为单位进行投标响应，评标和合同授予也以包为单位</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CA 数字证书服务热线 010-58511086</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电子营业执照服务热线  400-699-7000</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技术支持服务热线  010-86483801</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3.1办理 CA 数字证书或电子营业执照</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供应商登录北京市政府采购电子交易平台查阅 “用户指南”—“操作指南”—“市场主体 CA 办理操作流程指引”/“电子营业执照使用指南”，按照程序要求办理。</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3.2注册</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供应商登录北京市政府采购电子交易平台“用户指南”—“操作指南”—“市场主体注 册入库操作流程指引”进行自助注册绑定。</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3.3驱动、客户端下载</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供应商登录北京市政府采购电子交易平台“用户指南”—“工具下载”—“招标采购系 统文件驱动安装包”下载相关驱动。</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供应商登录北京市政府采购电子交易平台“用户指南”—“工具下载”—“投标文件编 制工具”下载相关客户端。</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3.4获取电子招标文件</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供应商使用 CA 数字证书或电子营业执照登录北京市政府采购电子交易平台获取电子招标文件。</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3.5编制电子投标文件（本项目不适用）</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val="zh-TW" w:eastAsia="zh-CN"/>
        </w:rPr>
      </w:pPr>
      <w:r>
        <w:rPr>
          <w:rFonts w:hint="eastAsia" w:ascii="仿宋" w:hAnsi="仿宋" w:eastAsia="仿宋" w:cs="仿宋"/>
          <w:b w:val="0"/>
          <w:sz w:val="28"/>
          <w:szCs w:val="28"/>
          <w:highlight w:val="none"/>
          <w:lang w:val="zh-TW" w:eastAsia="zh-TW"/>
        </w:rPr>
        <w:t>3.6</w:t>
      </w:r>
      <w:r>
        <w:rPr>
          <w:rFonts w:hint="eastAsia" w:ascii="仿宋" w:hAnsi="仿宋" w:eastAsia="仿宋" w:cs="仿宋"/>
          <w:b w:val="0"/>
          <w:sz w:val="28"/>
          <w:szCs w:val="28"/>
          <w:highlight w:val="none"/>
          <w:lang w:val="zh-TW" w:eastAsia="zh-CN"/>
        </w:rPr>
        <w:t>提交电子投标文件</w:t>
      </w:r>
      <w:r>
        <w:rPr>
          <w:rFonts w:hint="eastAsia" w:ascii="仿宋" w:hAnsi="仿宋" w:eastAsia="仿宋" w:cs="仿宋"/>
          <w:b w:val="0"/>
          <w:sz w:val="28"/>
          <w:szCs w:val="28"/>
          <w:highlight w:val="none"/>
          <w:lang w:eastAsia="zh-CN"/>
        </w:rPr>
        <w:t>（本项目不适用）</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供应商应于投标截止时间前在北京市政府采购电子交易平台提交电子投标文件，上传电子投标文件过程中请保持与互联网的连接畅通。</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TW"/>
        </w:rPr>
      </w:pPr>
      <w:r>
        <w:rPr>
          <w:rFonts w:hint="eastAsia" w:ascii="仿宋" w:hAnsi="仿宋" w:eastAsia="仿宋" w:cs="仿宋"/>
          <w:b w:val="0"/>
          <w:sz w:val="28"/>
          <w:szCs w:val="28"/>
          <w:highlight w:val="none"/>
          <w:lang w:val="zh-TW" w:eastAsia="zh-CN"/>
        </w:rPr>
        <w:t>3.</w:t>
      </w:r>
      <w:r>
        <w:rPr>
          <w:rFonts w:hint="eastAsia" w:ascii="仿宋" w:hAnsi="仿宋" w:eastAsia="仿宋" w:cs="仿宋"/>
          <w:b w:val="0"/>
          <w:sz w:val="28"/>
          <w:szCs w:val="28"/>
          <w:highlight w:val="none"/>
          <w:lang w:val="zh-TW" w:eastAsia="zh-TW"/>
        </w:rPr>
        <w:t>7</w:t>
      </w:r>
      <w:r>
        <w:rPr>
          <w:rFonts w:hint="eastAsia" w:ascii="仿宋" w:hAnsi="仿宋" w:eastAsia="仿宋" w:cs="仿宋"/>
          <w:b w:val="0"/>
          <w:sz w:val="28"/>
          <w:szCs w:val="28"/>
          <w:highlight w:val="none"/>
          <w:lang w:val="zh-TW" w:eastAsia="zh-CN"/>
        </w:rPr>
        <w:t>电子开标</w:t>
      </w:r>
      <w:r>
        <w:rPr>
          <w:rFonts w:hint="eastAsia" w:ascii="仿宋" w:hAnsi="仿宋" w:eastAsia="仿宋" w:cs="仿宋"/>
          <w:b w:val="0"/>
          <w:sz w:val="28"/>
          <w:szCs w:val="28"/>
          <w:highlight w:val="none"/>
          <w:lang w:eastAsia="zh-CN"/>
        </w:rPr>
        <w:t>（本项目不适用）</w:t>
      </w:r>
    </w:p>
    <w:p>
      <w:pPr>
        <w:tabs>
          <w:tab w:val="left" w:pos="360"/>
          <w:tab w:val="left" w:pos="794"/>
        </w:tabs>
        <w:spacing w:before="156" w:beforeLines="50" w:line="360" w:lineRule="auto"/>
        <w:jc w:val="left"/>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val="zh-TW" w:eastAsia="zh-CN"/>
        </w:rPr>
        <w:t>供应商在开标地点使用</w:t>
      </w:r>
      <w:r>
        <w:rPr>
          <w:rFonts w:hint="eastAsia" w:ascii="仿宋" w:hAnsi="仿宋" w:eastAsia="仿宋" w:cs="仿宋"/>
          <w:b w:val="0"/>
          <w:sz w:val="28"/>
          <w:szCs w:val="28"/>
          <w:highlight w:val="none"/>
          <w:lang w:eastAsia="zh-CN"/>
        </w:rPr>
        <w:t>CA认证证书</w:t>
      </w:r>
      <w:r>
        <w:rPr>
          <w:rFonts w:hint="eastAsia" w:ascii="仿宋" w:hAnsi="仿宋" w:eastAsia="仿宋" w:cs="仿宋"/>
          <w:b w:val="0"/>
          <w:sz w:val="28"/>
          <w:szCs w:val="28"/>
          <w:highlight w:val="none"/>
          <w:lang w:val="zh-TW" w:eastAsia="zh-CN"/>
        </w:rPr>
        <w:t>登录</w:t>
      </w:r>
      <w:r>
        <w:rPr>
          <w:rFonts w:hint="eastAsia" w:ascii="仿宋" w:hAnsi="仿宋" w:eastAsia="仿宋" w:cs="仿宋"/>
          <w:b w:val="0"/>
          <w:sz w:val="28"/>
          <w:szCs w:val="28"/>
          <w:highlight w:val="none"/>
          <w:lang w:eastAsia="zh-CN"/>
        </w:rPr>
        <w:t>北京市政府采购电子交易平台进行电子开标</w:t>
      </w:r>
      <w:r>
        <w:rPr>
          <w:rFonts w:hint="eastAsia" w:ascii="仿宋" w:hAnsi="仿宋" w:eastAsia="仿宋" w:cs="仿宋"/>
          <w:b w:val="0"/>
          <w:sz w:val="28"/>
          <w:szCs w:val="28"/>
          <w:highlight w:val="none"/>
          <w:lang w:val="zh-TW" w:eastAsia="zh-CN"/>
        </w:rPr>
        <w:t>。</w:t>
      </w:r>
    </w:p>
    <w:p>
      <w:pPr>
        <w:tabs>
          <w:tab w:val="left" w:pos="360"/>
          <w:tab w:val="left" w:pos="794"/>
        </w:tabs>
        <w:spacing w:before="156" w:beforeLines="50" w:line="360" w:lineRule="auto"/>
        <w:jc w:val="left"/>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七、对本次招标提出询问，请按以下方式联系。</w:t>
      </w:r>
      <w:bookmarkEnd w:id="23"/>
      <w:bookmarkEnd w:id="24"/>
      <w:bookmarkEnd w:id="25"/>
      <w:bookmarkEnd w:id="26"/>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129" w:leftChars="371" w:hanging="350" w:hangingChars="125"/>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名 称：</w:t>
      </w:r>
      <w:r>
        <w:rPr>
          <w:rFonts w:hint="eastAsia" w:ascii="仿宋" w:hAnsi="仿宋" w:eastAsia="仿宋" w:cs="仿宋"/>
          <w:sz w:val="28"/>
          <w:szCs w:val="28"/>
          <w:highlight w:val="none"/>
          <w:u w:val="single"/>
          <w:lang w:eastAsia="zh-CN"/>
        </w:rPr>
        <w:t>首都医科大学附属北京地坛医院</w:t>
      </w:r>
    </w:p>
    <w:p>
      <w:pPr>
        <w:spacing w:line="360" w:lineRule="auto"/>
        <w:ind w:left="112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lang w:eastAsia="zh-CN"/>
        </w:rPr>
        <w:t>北京市朝阳区京顺东街8号</w:t>
      </w:r>
    </w:p>
    <w:p>
      <w:pPr>
        <w:spacing w:line="360" w:lineRule="auto"/>
        <w:ind w:left="1129" w:leftChars="371" w:hanging="350" w:hangingChars="125"/>
        <w:jc w:val="left"/>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联系方式：</w:t>
      </w:r>
      <w:bookmarkStart w:id="27" w:name="_Toc28359009"/>
      <w:bookmarkStart w:id="28" w:name="_Toc28359086"/>
      <w:r>
        <w:rPr>
          <w:rFonts w:hint="eastAsia" w:ascii="仿宋" w:hAnsi="仿宋" w:eastAsia="仿宋" w:cs="仿宋"/>
          <w:sz w:val="28"/>
          <w:szCs w:val="28"/>
          <w:highlight w:val="none"/>
          <w:u w:val="single"/>
          <w:lang w:eastAsia="zh-CN"/>
        </w:rPr>
        <w:t>010-84323077</w:t>
      </w:r>
    </w:p>
    <w:bookmarkEnd w:id="27"/>
    <w:bookmarkEnd w:id="28"/>
    <w:p>
      <w:pPr>
        <w:spacing w:line="360" w:lineRule="auto"/>
        <w:ind w:left="112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名 称：</w:t>
      </w:r>
      <w:r>
        <w:rPr>
          <w:rFonts w:hint="eastAsia" w:ascii="仿宋" w:hAnsi="仿宋" w:eastAsia="仿宋" w:cs="仿宋"/>
          <w:sz w:val="28"/>
          <w:szCs w:val="28"/>
          <w:highlight w:val="none"/>
          <w:u w:val="single"/>
        </w:rPr>
        <w:t>北京国际贸易有限公司</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北京市朝阳区建国门外大街甲3号</w:t>
      </w:r>
    </w:p>
    <w:p>
      <w:pPr>
        <w:spacing w:line="360" w:lineRule="auto"/>
        <w:ind w:firstLine="840" w:firstLineChars="3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w:t>
      </w:r>
      <w:bookmarkStart w:id="29" w:name="_Toc28359010"/>
      <w:bookmarkStart w:id="30" w:name="_Toc28359087"/>
      <w:r>
        <w:rPr>
          <w:rFonts w:hint="eastAsia" w:ascii="仿宋" w:hAnsi="仿宋" w:eastAsia="仿宋" w:cs="仿宋"/>
          <w:sz w:val="28"/>
          <w:szCs w:val="28"/>
          <w:highlight w:val="none"/>
          <w:u w:val="single"/>
        </w:rPr>
        <w:t>010-85343434、010-85343457</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3.项目联系方式</w:t>
      </w:r>
      <w:bookmarkEnd w:id="29"/>
      <w:bookmarkEnd w:id="30"/>
    </w:p>
    <w:p>
      <w:pPr>
        <w:pStyle w:val="7"/>
        <w:spacing w:line="360" w:lineRule="auto"/>
        <w:ind w:firstLine="840" w:firstLineChars="30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u w:val="single"/>
          <w:lang w:eastAsia="zh-CN"/>
        </w:rPr>
        <w:t>王靖萱、王崴、梁潇</w:t>
      </w:r>
    </w:p>
    <w:p>
      <w:pPr>
        <w:spacing w:line="360" w:lineRule="auto"/>
        <w:ind w:firstLine="840" w:firstLineChars="30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010-85343434、010-85343457</w:t>
      </w:r>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swiss"/>
    <w:pitch w:val="default"/>
    <w:sig w:usb0="00000000" w:usb1="00000000" w:usb2="00000000" w:usb3="00000000" w:csb0="00040000" w:csb1="00000000"/>
  </w:font>
  <w:font w:name="Trebuchet MS">
    <w:panose1 w:val="020B0603020202020204"/>
    <w:charset w:val="00"/>
    <w:family w:val="decorative"/>
    <w:pitch w:val="default"/>
    <w:sig w:usb0="00000687" w:usb1="00000000" w:usb2="00000000" w:usb3="00000000" w:csb0="2000009F" w:csb1="00000000"/>
  </w:font>
  <w:font w:name="Century">
    <w:panose1 w:val="02040604050505020304"/>
    <w:charset w:val="00"/>
    <w:family w:val="modern"/>
    <w:pitch w:val="default"/>
    <w:sig w:usb0="00000287" w:usb1="00000000" w:usb2="00000000" w:usb3="00000000" w:csb0="2000009F" w:csb1="DFD70000"/>
  </w:font>
  <w:font w:name="Lucida Sans">
    <w:panose1 w:val="020B0602030504020204"/>
    <w:charset w:val="00"/>
    <w:family w:val="decorative"/>
    <w:pitch w:val="default"/>
    <w:sig w:usb0="00000003" w:usb1="00000000" w:usb2="00000000" w:usb3="00000000" w:csb0="20000001" w:csb1="00000000"/>
  </w:font>
  <w:font w:name="仿宋_GB2312">
    <w:altName w:val="仿宋"/>
    <w:panose1 w:val="02010609030101010101"/>
    <w:charset w:val="86"/>
    <w:family w:val="decorative"/>
    <w:pitch w:val="default"/>
    <w:sig w:usb0="00000000" w:usb1="00000000" w:usb2="00000000" w:usb3="00000000" w:csb0="00040000" w:csb1="00000000"/>
  </w:font>
  <w:font w:name="Trebuchet MS">
    <w:panose1 w:val="020B0603020202020204"/>
    <w:charset w:val="00"/>
    <w:family w:val="roman"/>
    <w:pitch w:val="default"/>
    <w:sig w:usb0="00000687" w:usb1="00000000" w:usb2="00000000" w:usb3="00000000" w:csb0="2000009F" w:csb1="00000000"/>
  </w:font>
  <w:font w:name="Century">
    <w:panose1 w:val="02040604050505020304"/>
    <w:charset w:val="00"/>
    <w:family w:val="swiss"/>
    <w:pitch w:val="default"/>
    <w:sig w:usb0="00000287" w:usb1="000000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仿宋_GB2312">
    <w:altName w:val="仿宋"/>
    <w:panose1 w:val="02010609030101010101"/>
    <w:charset w:val="86"/>
    <w:family w:val="roman"/>
    <w:pitch w:val="default"/>
    <w:sig w:usb0="00000000" w:usb1="00000000" w:usb2="00000000" w:usb3="00000000" w:csb0="00040000" w:csb1="00000000"/>
  </w:font>
  <w:font w:name="Trebuchet MS">
    <w:panose1 w:val="020B0603020202020204"/>
    <w:charset w:val="00"/>
    <w:family w:val="modern"/>
    <w:pitch w:val="default"/>
    <w:sig w:usb0="00000687" w:usb1="00000000" w:usb2="00000000" w:usb3="00000000" w:csb0="2000009F" w:csb1="00000000"/>
  </w:font>
  <w:font w:name="Century">
    <w:panose1 w:val="02040604050505020304"/>
    <w:charset w:val="00"/>
    <w:family w:val="decorative"/>
    <w:pitch w:val="default"/>
    <w:sig w:usb0="00000287" w:usb1="00000000" w:usb2="00000000" w:usb3="00000000" w:csb0="2000009F" w:csb1="DFD70000"/>
  </w:font>
  <w:font w:name="Lucida Sans">
    <w:panose1 w:val="020B0602030504020204"/>
    <w:charset w:val="00"/>
    <w:family w:val="moder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Wingdings 2">
    <w:panose1 w:val="05020102010507070707"/>
    <w:charset w:val="02"/>
    <w:family w:val="swiss"/>
    <w:pitch w:val="default"/>
    <w:sig w:usb0="00000000" w:usb1="00000000" w:usb2="00000000" w:usb3="00000000" w:csb0="80000000" w:csb1="00000000"/>
  </w:font>
  <w:font w:name="Microsoft YaHei UI">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Wingdings 2">
    <w:panose1 w:val="05020102010507070707"/>
    <w:charset w:val="02"/>
    <w:family w:val="decorative"/>
    <w:pitch w:val="default"/>
    <w:sig w:usb0="00000000" w:usb1="00000000" w:usb2="00000000" w:usb3="00000000" w:csb0="80000000" w:csb1="00000000"/>
  </w:font>
  <w:font w:name="Microsoft YaHei UI">
    <w:panose1 w:val="020B0503020204020204"/>
    <w:charset w:val="86"/>
    <w:family w:val="modern"/>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Wingdings 2">
    <w:panose1 w:val="05020102010507070707"/>
    <w:charset w:val="02"/>
    <w:family w:val="modern"/>
    <w:pitch w:val="default"/>
    <w:sig w:usb0="00000000" w:usb1="00000000" w:usb2="00000000" w:usb3="00000000" w:csb0="80000000" w:csb1="00000000"/>
  </w:font>
  <w:font w:name="Microsoft YaHei UI">
    <w:panose1 w:val="020B0503020204020204"/>
    <w:charset w:val="86"/>
    <w:family w:val="decorative"/>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894456">
    <w:nsid w:val="5F3DEF38"/>
    <w:multiLevelType w:val="singleLevel"/>
    <w:tmpl w:val="5F3DEF38"/>
    <w:lvl w:ilvl="0" w:tentative="1">
      <w:start w:val="6"/>
      <w:numFmt w:val="chineseCounting"/>
      <w:suff w:val="nothing"/>
      <w:lvlText w:val="%1、"/>
      <w:lvlJc w:val="left"/>
    </w:lvl>
  </w:abstractNum>
  <w:num w:numId="1">
    <w:abstractNumId w:val="1597894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 w:name="KSO_WPS_MARK_KEY" w:val="4f133f9c-01e1-42b8-90d5-78cfe0582901"/>
  </w:docVars>
  <w:rsids>
    <w:rsidRoot w:val="5C69757C"/>
    <w:rsid w:val="00DB1EA0"/>
    <w:rsid w:val="03A7397A"/>
    <w:rsid w:val="03F36EDF"/>
    <w:rsid w:val="04131F77"/>
    <w:rsid w:val="04293179"/>
    <w:rsid w:val="04B24EC3"/>
    <w:rsid w:val="078B3F22"/>
    <w:rsid w:val="0C937D2A"/>
    <w:rsid w:val="0D162709"/>
    <w:rsid w:val="0E0B286D"/>
    <w:rsid w:val="0F020AED"/>
    <w:rsid w:val="103E71C0"/>
    <w:rsid w:val="1247170C"/>
    <w:rsid w:val="124A6E0E"/>
    <w:rsid w:val="12A51AA6"/>
    <w:rsid w:val="142057AB"/>
    <w:rsid w:val="142A5125"/>
    <w:rsid w:val="14A77F72"/>
    <w:rsid w:val="1576092C"/>
    <w:rsid w:val="158C674C"/>
    <w:rsid w:val="161B1F0D"/>
    <w:rsid w:val="17006BFD"/>
    <w:rsid w:val="176751BC"/>
    <w:rsid w:val="190914F4"/>
    <w:rsid w:val="19193C38"/>
    <w:rsid w:val="19F03C9C"/>
    <w:rsid w:val="1A505985"/>
    <w:rsid w:val="1B0442B0"/>
    <w:rsid w:val="1C4972F3"/>
    <w:rsid w:val="1ED35AA3"/>
    <w:rsid w:val="20415C7A"/>
    <w:rsid w:val="2171056A"/>
    <w:rsid w:val="26AD7506"/>
    <w:rsid w:val="26DD532F"/>
    <w:rsid w:val="27401BB2"/>
    <w:rsid w:val="285212FE"/>
    <w:rsid w:val="28B24203"/>
    <w:rsid w:val="29A72483"/>
    <w:rsid w:val="2B136138"/>
    <w:rsid w:val="2B616237"/>
    <w:rsid w:val="2D0A65F3"/>
    <w:rsid w:val="2D24719C"/>
    <w:rsid w:val="2E59405B"/>
    <w:rsid w:val="30BC28EB"/>
    <w:rsid w:val="31102C0A"/>
    <w:rsid w:val="31CC0DBF"/>
    <w:rsid w:val="3262685B"/>
    <w:rsid w:val="329E499A"/>
    <w:rsid w:val="33A1236A"/>
    <w:rsid w:val="33D11865"/>
    <w:rsid w:val="342E63AB"/>
    <w:rsid w:val="34D07ED2"/>
    <w:rsid w:val="355E6A9D"/>
    <w:rsid w:val="36151C5B"/>
    <w:rsid w:val="36C82379"/>
    <w:rsid w:val="39026893"/>
    <w:rsid w:val="3A3A1E13"/>
    <w:rsid w:val="3D7344A5"/>
    <w:rsid w:val="3DA90D42"/>
    <w:rsid w:val="40E12B1B"/>
    <w:rsid w:val="40FD2E2B"/>
    <w:rsid w:val="413E57AF"/>
    <w:rsid w:val="43CA6B8D"/>
    <w:rsid w:val="494E49AA"/>
    <w:rsid w:val="4AED4527"/>
    <w:rsid w:val="4BB24DCF"/>
    <w:rsid w:val="4BFE2B3B"/>
    <w:rsid w:val="4C65418D"/>
    <w:rsid w:val="4C6F0B7D"/>
    <w:rsid w:val="4CAB781B"/>
    <w:rsid w:val="4DBE6397"/>
    <w:rsid w:val="4E295C92"/>
    <w:rsid w:val="4E3C38DE"/>
    <w:rsid w:val="4E580F93"/>
    <w:rsid w:val="4F824D7E"/>
    <w:rsid w:val="5186668A"/>
    <w:rsid w:val="52137636"/>
    <w:rsid w:val="52C23F57"/>
    <w:rsid w:val="53A53563"/>
    <w:rsid w:val="55036611"/>
    <w:rsid w:val="57590062"/>
    <w:rsid w:val="5A7E53C2"/>
    <w:rsid w:val="5B4A5B54"/>
    <w:rsid w:val="5C163FA3"/>
    <w:rsid w:val="5C69757C"/>
    <w:rsid w:val="5CDC69A3"/>
    <w:rsid w:val="5D463954"/>
    <w:rsid w:val="5D751961"/>
    <w:rsid w:val="5D9803BC"/>
    <w:rsid w:val="60B84123"/>
    <w:rsid w:val="61FA594E"/>
    <w:rsid w:val="62CA27A3"/>
    <w:rsid w:val="643D1F77"/>
    <w:rsid w:val="6476245E"/>
    <w:rsid w:val="65B9332C"/>
    <w:rsid w:val="664F10C7"/>
    <w:rsid w:val="669B334E"/>
    <w:rsid w:val="66DD3ED2"/>
    <w:rsid w:val="67924C7A"/>
    <w:rsid w:val="6890131A"/>
    <w:rsid w:val="68AB1F68"/>
    <w:rsid w:val="68DF504F"/>
    <w:rsid w:val="68E02922"/>
    <w:rsid w:val="6A4470E3"/>
    <w:rsid w:val="6C3D7821"/>
    <w:rsid w:val="6D9554A9"/>
    <w:rsid w:val="71ED7A78"/>
    <w:rsid w:val="73723423"/>
    <w:rsid w:val="73E54DF5"/>
    <w:rsid w:val="751D3132"/>
    <w:rsid w:val="75795A4A"/>
    <w:rsid w:val="792C25D8"/>
    <w:rsid w:val="79BC3148"/>
    <w:rsid w:val="7B3B2338"/>
    <w:rsid w:val="7CBD02B6"/>
    <w:rsid w:val="7DAE0B2D"/>
    <w:rsid w:val="7E0D2C70"/>
    <w:rsid w:val="7F3F6032"/>
    <w:rsid w:val="7F4C52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cs="Times New Roman"/>
    </w:rPr>
  </w:style>
  <w:style w:type="paragraph" w:customStyle="1" w:styleId="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7">
    <w:name w:val="Plain Text"/>
    <w:basedOn w:val="1"/>
    <w:qFormat/>
    <w:uiPriority w:val="0"/>
    <w:rPr>
      <w:rFonts w:ascii="宋体" w:hAnsi="Courier New" w:eastAsiaTheme="minorEastAsia" w:cstheme="minorBidi"/>
      <w:szCs w:val="22"/>
    </w:rPr>
  </w:style>
  <w:style w:type="paragraph" w:styleId="8">
    <w:name w:val="toc 2"/>
    <w:basedOn w:val="1"/>
    <w:next w:val="1"/>
    <w:qFormat/>
    <w:uiPriority w:val="39"/>
    <w:pPr>
      <w:tabs>
        <w:tab w:val="right" w:leader="dot" w:pos="8937"/>
      </w:tabs>
      <w:spacing w:line="312" w:lineRule="auto"/>
      <w:ind w:left="420" w:leftChars="200"/>
    </w:pPr>
  </w:style>
  <w:style w:type="paragraph" w:customStyle="1" w:styleId="11">
    <w:name w:val="首行缩进"/>
    <w:basedOn w:val="1"/>
    <w:qFormat/>
    <w:uiPriority w:val="0"/>
    <w:pPr>
      <w:spacing w:line="360" w:lineRule="auto"/>
      <w:ind w:firstLine="480" w:firstLineChars="200"/>
    </w:pPr>
    <w:rPr>
      <w:rFonts w:ascii="宋体" w:hAnsi="宋体" w:cs="宋体"/>
      <w:kern w:val="0"/>
      <w:sz w:val="24"/>
    </w:rPr>
  </w:style>
  <w:style w:type="paragraph" w:customStyle="1" w:styleId="12">
    <w:name w:val="表格文字"/>
    <w:basedOn w:val="1"/>
    <w:qFormat/>
    <w:uiPriority w:val="0"/>
    <w:pPr>
      <w:spacing w:before="25" w:after="25"/>
      <w:jc w:val="left"/>
    </w:pPr>
    <w:rPr>
      <w:bCs/>
      <w:spacing w:val="10"/>
      <w:kern w:val="0"/>
      <w:sz w:val="24"/>
    </w:rPr>
  </w:style>
  <w:style w:type="paragraph" w:customStyle="1" w:styleId="13">
    <w:name w:val="List Paragraph"/>
    <w:basedOn w:val="1"/>
    <w:qFormat/>
    <w:uiPriority w:val="34"/>
    <w:pPr>
      <w:ind w:firstLine="420" w:firstLineChars="200"/>
    </w:pPr>
  </w:style>
  <w:style w:type="paragraph" w:customStyle="1" w:styleId="14">
    <w:name w:val="正文3"/>
    <w:qFormat/>
    <w:uiPriority w:val="0"/>
    <w:pPr>
      <w:jc w:val="both"/>
    </w:pPr>
    <w:rPr>
      <w:rFonts w:ascii="Calibri" w:hAnsi="Calibri" w:eastAsia="宋体" w:cs="Times New Roman"/>
      <w:kern w:val="2"/>
      <w:sz w:val="21"/>
      <w:szCs w:val="21"/>
      <w:lang w:val="en-US" w:eastAsia="zh-CN" w:bidi="ar-SA"/>
    </w:rPr>
  </w:style>
  <w:style w:type="paragraph" w:customStyle="1" w:styleId="15">
    <w:name w:val="Table Paragraph"/>
    <w:basedOn w:val="1"/>
    <w:qFormat/>
    <w:uiPriority w:val="1"/>
    <w:rPr>
      <w:rFonts w:ascii="宋体" w:hAnsi="宋体" w:eastAsia="宋体" w:cs="宋体"/>
    </w:rPr>
  </w:style>
  <w:style w:type="paragraph" w:customStyle="1" w:styleId="16">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1816</Words>
  <Characters>2127</Characters>
  <Lines>0</Lines>
  <Paragraphs>0</Paragraphs>
  <ScaleCrop>false</ScaleCrop>
  <LinksUpToDate>false</LinksUpToDate>
  <CharactersWithSpaces>2145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wangjingxuan</cp:lastModifiedBy>
  <dcterms:modified xsi:type="dcterms:W3CDTF">2025-04-18T07:13:32Z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DF8FAD1E683B4141877CAFE06F5F2C34_13</vt:lpwstr>
  </property>
</Properties>
</file>