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767A">
      <w:pPr>
        <w:spacing w:line="360" w:lineRule="auto"/>
        <w:jc w:val="center"/>
        <w:outlineLvl w:val="0"/>
        <w:rPr>
          <w:b/>
          <w:sz w:val="36"/>
          <w:szCs w:val="36"/>
        </w:rPr>
      </w:pPr>
      <w:bookmarkStart w:id="3" w:name="_GoBack"/>
      <w:bookmarkEnd w:id="3"/>
      <w:bookmarkStart w:id="0" w:name="_Toc99301424"/>
      <w:r>
        <w:rPr>
          <w:b/>
          <w:sz w:val="36"/>
          <w:szCs w:val="36"/>
        </w:rPr>
        <w:t>采购需求</w:t>
      </w:r>
      <w:bookmarkEnd w:id="0"/>
    </w:p>
    <w:p w14:paraId="3237EB7A">
      <w:pPr>
        <w:spacing w:line="360" w:lineRule="auto"/>
        <w:jc w:val="center"/>
        <w:outlineLvl w:val="0"/>
        <w:rPr>
          <w:rFonts w:hint="eastAsia" w:ascii="宋体" w:hAnsi="宋体" w:cs="宋体"/>
          <w:b/>
          <w:sz w:val="24"/>
        </w:rPr>
      </w:pPr>
      <w:r>
        <w:rPr>
          <w:rFonts w:hint="eastAsia" w:ascii="宋体" w:hAnsi="宋体" w:cs="宋体"/>
          <w:bCs/>
          <w:sz w:val="24"/>
        </w:rPr>
        <w:t>北京市司法局2025年政务云租赁服务项目（第一包：法律服务业务系统）</w:t>
      </w:r>
    </w:p>
    <w:p w14:paraId="76410D7D">
      <w:pPr>
        <w:keepNext/>
        <w:keepLines/>
        <w:numPr>
          <w:ilvl w:val="0"/>
          <w:numId w:val="1"/>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项目背景</w:t>
      </w:r>
    </w:p>
    <w:p w14:paraId="4BF6DFC8">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bCs/>
          <w:sz w:val="24"/>
        </w:rPr>
        <w:t>为贯彻落实北京市经济和信息化局关于印发《北京市市级政务云管理办法的通知》（京经信委函（2019）150号）文件的要求，</w:t>
      </w:r>
      <w:r>
        <w:rPr>
          <w:rFonts w:hint="eastAsia" w:ascii="宋体" w:hAnsi="宋体" w:cs="宋体"/>
          <w:kern w:val="0"/>
          <w:sz w:val="24"/>
        </w:rPr>
        <w:t>我局</w:t>
      </w:r>
      <w:r>
        <w:rPr>
          <w:rFonts w:hint="eastAsia" w:ascii="宋体" w:hAnsi="宋体" w:cs="宋体"/>
          <w:sz w:val="24"/>
        </w:rPr>
        <w:t>北京市公共法律服务网络平台、智慧矫正管理平台、法律援助信息管理系统、行政复议应诉管理平台、人民调解管理系统、律师管理系统、司法鉴定管理系统、北京市人民监督员选任管理系统、北京市国家统一法律职业资格考试管理平台、北京市司法局行政审批系统项目、安置帮教工作信息管理系统</w:t>
      </w:r>
      <w:r>
        <w:rPr>
          <w:rFonts w:hint="eastAsia" w:ascii="宋体" w:hAnsi="宋体" w:cs="宋体"/>
          <w:kern w:val="0"/>
          <w:sz w:val="24"/>
        </w:rPr>
        <w:t>已迁入市级政务云，系统运行稳定。</w:t>
      </w:r>
    </w:p>
    <w:p w14:paraId="6073B2B2">
      <w:pPr>
        <w:keepNext/>
        <w:keepLines/>
        <w:numPr>
          <w:ilvl w:val="0"/>
          <w:numId w:val="1"/>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技术参数要求</w:t>
      </w:r>
    </w:p>
    <w:p w14:paraId="2B37CFA6">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政务云基础服务</w:t>
      </w:r>
    </w:p>
    <w:tbl>
      <w:tblPr>
        <w:tblStyle w:val="6"/>
        <w:tblW w:w="4998" w:type="pct"/>
        <w:tblInd w:w="0" w:type="dxa"/>
        <w:tblLayout w:type="fixed"/>
        <w:tblCellMar>
          <w:top w:w="0" w:type="dxa"/>
          <w:left w:w="108" w:type="dxa"/>
          <w:bottom w:w="0" w:type="dxa"/>
          <w:right w:w="108" w:type="dxa"/>
        </w:tblCellMar>
      </w:tblPr>
      <w:tblGrid>
        <w:gridCol w:w="941"/>
        <w:gridCol w:w="1317"/>
        <w:gridCol w:w="3161"/>
        <w:gridCol w:w="915"/>
        <w:gridCol w:w="817"/>
        <w:gridCol w:w="1110"/>
        <w:gridCol w:w="1023"/>
      </w:tblGrid>
      <w:tr w14:paraId="4BC391CE">
        <w:tblPrEx>
          <w:tblCellMar>
            <w:top w:w="0" w:type="dxa"/>
            <w:left w:w="108" w:type="dxa"/>
            <w:bottom w:w="0" w:type="dxa"/>
            <w:right w:w="108" w:type="dxa"/>
          </w:tblCellMar>
        </w:tblPrEx>
        <w:trPr>
          <w:trHeight w:val="630" w:hRule="atLeast"/>
        </w:trPr>
        <w:tc>
          <w:tcPr>
            <w:tcW w:w="506" w:type="pct"/>
            <w:tcBorders>
              <w:top w:val="single" w:color="000000" w:sz="4" w:space="0"/>
              <w:left w:val="single" w:color="000000" w:sz="4" w:space="0"/>
              <w:bottom w:val="single" w:color="000000" w:sz="4" w:space="0"/>
              <w:right w:val="single" w:color="000000" w:sz="4" w:space="0"/>
            </w:tcBorders>
            <w:noWrap w:val="0"/>
            <w:vAlign w:val="center"/>
          </w:tcPr>
          <w:p w14:paraId="27AED42D">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服务类别</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7E84FDC">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服务子类</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7384BCFD">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服务项</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00F2E18">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计价单位</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73F7D70">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报价单位</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6092F00C">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 xml:space="preserve"> 数量 </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53D5B41">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 xml:space="preserve"> 期限（月） </w:t>
            </w:r>
          </w:p>
        </w:tc>
      </w:tr>
      <w:tr w14:paraId="7B8A0E06">
        <w:tblPrEx>
          <w:tblCellMar>
            <w:top w:w="0" w:type="dxa"/>
            <w:left w:w="108" w:type="dxa"/>
            <w:bottom w:w="0" w:type="dxa"/>
            <w:right w:w="108"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2DBD345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计算服务</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38103E1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x86平台云主机服务</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4FE0449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vCPU（主频不低于2.4GHz）</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66A7D9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CPU</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0B031B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186186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655</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87BED6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AA8C2C6">
        <w:tblPrEx>
          <w:tblCellMar>
            <w:top w:w="0" w:type="dxa"/>
            <w:left w:w="108" w:type="dxa"/>
            <w:bottom w:w="0" w:type="dxa"/>
            <w:right w:w="108"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6AECD">
            <w:pPr>
              <w:widowControl/>
              <w:spacing w:line="360" w:lineRule="auto"/>
              <w:jc w:val="center"/>
              <w:rPr>
                <w:rFonts w:hint="eastAsia" w:ascii="宋体" w:hAnsi="宋体" w:cs="宋体"/>
                <w:color w:val="000000"/>
                <w:sz w:val="24"/>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9464B">
            <w:pPr>
              <w:widowControl/>
              <w:spacing w:line="360" w:lineRule="auto"/>
              <w:jc w:val="center"/>
              <w:rPr>
                <w:rFonts w:hint="eastAsia" w:ascii="宋体" w:hAnsi="宋体" w:cs="宋体"/>
                <w:color w:val="000000"/>
                <w:sz w:val="24"/>
              </w:rPr>
            </w:pP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21AA11B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内存</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C227AB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GB</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9798AB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83BF3D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2014</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160457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075C7498">
        <w:tblPrEx>
          <w:tblCellMar>
            <w:top w:w="0" w:type="dxa"/>
            <w:left w:w="108" w:type="dxa"/>
            <w:bottom w:w="0" w:type="dxa"/>
            <w:right w:w="108" w:type="dxa"/>
          </w:tblCellMar>
        </w:tblPrEx>
        <w:trPr>
          <w:trHeight w:val="765"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3B46E">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5D5CFB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x86物理服务器租用服务</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5A59118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x86 物理服务器配置1:2 路12 核（主频≥2.0Ghz），64G内存，2块600G SAS 硬盘,2 个HBA 卡，2 个万兆端口）</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E62042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台</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8451DE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7DAD83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26227F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1D503E88">
        <w:tblPrEx>
          <w:tblCellMar>
            <w:top w:w="0" w:type="dxa"/>
            <w:left w:w="108" w:type="dxa"/>
            <w:bottom w:w="0" w:type="dxa"/>
            <w:right w:w="108"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74D03DE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存储服务</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8173B7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普通性能存储</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28056C5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普通存储 （单盘技术指标: 单盘IOPS1000-3000 ）</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FD683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GB</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AC333F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28CA2E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104545</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AC9AD7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5A1D5267">
        <w:tblPrEx>
          <w:tblCellMar>
            <w:top w:w="0" w:type="dxa"/>
            <w:left w:w="108" w:type="dxa"/>
            <w:bottom w:w="0" w:type="dxa"/>
            <w:right w:w="108" w:type="dxa"/>
          </w:tblCellMar>
        </w:tblPrEx>
        <w:trPr>
          <w:trHeight w:val="270"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648F0F">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1E7180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高性能存储</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64635AC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高性能存储（单盘技术指标：单盘IOPS3000-20000 ）</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61D335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GB</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5D93CF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BBEB88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111545</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EC67F2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516DC4F9">
        <w:tblPrEx>
          <w:tblCellMar>
            <w:top w:w="0" w:type="dxa"/>
            <w:left w:w="108" w:type="dxa"/>
            <w:bottom w:w="0" w:type="dxa"/>
            <w:right w:w="108" w:type="dxa"/>
          </w:tblCellMar>
        </w:tblPrEx>
        <w:trPr>
          <w:trHeight w:val="510"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AAB937">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B0749F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静态存储</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4424544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大容量、高可靠的数据存储服务，具备PB级线性扩展能力，提供静态数据存储</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243087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TB</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9F4EEC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6AEFDD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468E21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4863CD44">
        <w:tblPrEx>
          <w:tblCellMar>
            <w:top w:w="0" w:type="dxa"/>
            <w:left w:w="108" w:type="dxa"/>
            <w:bottom w:w="0" w:type="dxa"/>
            <w:right w:w="108" w:type="dxa"/>
          </w:tblCellMar>
        </w:tblPrEx>
        <w:trPr>
          <w:trHeight w:val="510"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F7700">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8BEA4F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本地备份服务</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7C04756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通过备份策略实现文件、操作系统、数据库的本地备份（不包含备份存储空间费用）</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61AE2A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1GB</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89CA62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22DBD8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111431.86</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9D541A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5974FD80">
        <w:tblPrEx>
          <w:tblCellMar>
            <w:top w:w="0" w:type="dxa"/>
            <w:left w:w="108" w:type="dxa"/>
            <w:bottom w:w="0" w:type="dxa"/>
            <w:right w:w="108" w:type="dxa"/>
          </w:tblCellMar>
        </w:tblPrEx>
        <w:trPr>
          <w:trHeight w:val="270" w:hRule="atLeast"/>
        </w:trPr>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4B0BDA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网络服务</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0459FA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互联网链路服务</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2F7D9A9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互联网链路带宽</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A5FF3A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Mb</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CF3224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40488B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270</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EB764E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4524A97C">
        <w:tblPrEx>
          <w:tblCellMar>
            <w:top w:w="0" w:type="dxa"/>
            <w:left w:w="108" w:type="dxa"/>
            <w:bottom w:w="0" w:type="dxa"/>
            <w:right w:w="108" w:type="dxa"/>
          </w:tblCellMar>
        </w:tblPrEx>
        <w:trPr>
          <w:trHeight w:val="510"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40240">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D8DE23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互联网IP地址租用服务</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0E558D8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互联网IP地址租用服务并提供备案服务</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0DED599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IP</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2AC22B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DE8B01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990997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13B1C911">
        <w:tblPrEx>
          <w:tblCellMar>
            <w:top w:w="0" w:type="dxa"/>
            <w:left w:w="108" w:type="dxa"/>
            <w:bottom w:w="0" w:type="dxa"/>
            <w:right w:w="108" w:type="dxa"/>
          </w:tblCellMar>
        </w:tblPrEx>
        <w:trPr>
          <w:trHeight w:val="510"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BC4CF">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2DC68D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主机负载均衡服务</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22291AB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主机负载均衡服务</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4F6DB83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IP（内网）</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A63FE6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nil"/>
              <w:right w:val="single" w:color="000000" w:sz="4" w:space="0"/>
            </w:tcBorders>
            <w:noWrap w:val="0"/>
            <w:vAlign w:val="center"/>
          </w:tcPr>
          <w:p w14:paraId="5F91BF3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9681EC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72398B8F">
        <w:tblPrEx>
          <w:tblCellMar>
            <w:top w:w="0" w:type="dxa"/>
            <w:left w:w="108" w:type="dxa"/>
            <w:bottom w:w="0" w:type="dxa"/>
            <w:right w:w="108" w:type="dxa"/>
          </w:tblCellMar>
        </w:tblPrEx>
        <w:trPr>
          <w:trHeight w:val="510"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02B68">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F12331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远程接入服务</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5B2A1F57">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每个账号结合身份验通过VPN远程接入堡垒机进行维护（免费提供1个账号）</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7F3DB78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1账号</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D56F19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511261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30</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BFF14D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5582E8F7">
        <w:tblPrEx>
          <w:tblCellMar>
            <w:top w:w="0" w:type="dxa"/>
            <w:left w:w="108" w:type="dxa"/>
            <w:bottom w:w="0" w:type="dxa"/>
            <w:right w:w="108" w:type="dxa"/>
          </w:tblCellMar>
        </w:tblPrEx>
        <w:trPr>
          <w:trHeight w:val="765" w:hRule="atLeast"/>
        </w:trPr>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E616D">
            <w:pPr>
              <w:widowControl/>
              <w:spacing w:line="360" w:lineRule="auto"/>
              <w:jc w:val="center"/>
              <w:rPr>
                <w:rFonts w:hint="eastAsia" w:ascii="宋体" w:hAnsi="宋体" w:cs="宋体"/>
                <w:color w:val="000000"/>
                <w:sz w:val="24"/>
              </w:rPr>
            </w:pP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11CA2C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WAF防护</w:t>
            </w:r>
          </w:p>
        </w:tc>
        <w:tc>
          <w:tcPr>
            <w:tcW w:w="1701" w:type="pct"/>
            <w:tcBorders>
              <w:top w:val="single" w:color="000000" w:sz="4" w:space="0"/>
              <w:left w:val="single" w:color="000000" w:sz="4" w:space="0"/>
              <w:bottom w:val="single" w:color="000000" w:sz="4" w:space="0"/>
              <w:right w:val="single" w:color="000000" w:sz="4" w:space="0"/>
            </w:tcBorders>
            <w:noWrap w:val="0"/>
            <w:vAlign w:val="center"/>
          </w:tcPr>
          <w:p w14:paraId="1A3D50B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在网站前端架设WAF防护服务保证用户网站对已知安全隐患进行防护实时升级漏洞补丁，配置防护策略可起到前端防护作用</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6D2E66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IP（互联网）</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C40F46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39618EB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AF5E46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bl>
    <w:p w14:paraId="38B20A70">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政务云扩展服务</w:t>
      </w:r>
    </w:p>
    <w:tbl>
      <w:tblPr>
        <w:tblStyle w:val="6"/>
        <w:tblW w:w="4997" w:type="pct"/>
        <w:tblInd w:w="0" w:type="dxa"/>
        <w:tblLayout w:type="fixed"/>
        <w:tblCellMar>
          <w:top w:w="0" w:type="dxa"/>
          <w:left w:w="108" w:type="dxa"/>
          <w:bottom w:w="0" w:type="dxa"/>
          <w:right w:w="108" w:type="dxa"/>
        </w:tblCellMar>
      </w:tblPr>
      <w:tblGrid>
        <w:gridCol w:w="1044"/>
        <w:gridCol w:w="1631"/>
        <w:gridCol w:w="3065"/>
        <w:gridCol w:w="1106"/>
        <w:gridCol w:w="520"/>
        <w:gridCol w:w="893"/>
        <w:gridCol w:w="1023"/>
      </w:tblGrid>
      <w:tr w14:paraId="0211CC58">
        <w:tblPrEx>
          <w:tblCellMar>
            <w:top w:w="0" w:type="dxa"/>
            <w:left w:w="108" w:type="dxa"/>
            <w:bottom w:w="0" w:type="dxa"/>
            <w:right w:w="108" w:type="dxa"/>
          </w:tblCellMar>
        </w:tblPrEx>
        <w:trPr>
          <w:trHeight w:val="315" w:hRule="atLeast"/>
        </w:trPr>
        <w:tc>
          <w:tcPr>
            <w:tcW w:w="562" w:type="pct"/>
            <w:tcBorders>
              <w:top w:val="single" w:color="000000" w:sz="4" w:space="0"/>
              <w:left w:val="single" w:color="000000" w:sz="4" w:space="0"/>
              <w:bottom w:val="single" w:color="000000" w:sz="4" w:space="0"/>
              <w:right w:val="single" w:color="000000" w:sz="4" w:space="0"/>
            </w:tcBorders>
            <w:noWrap w:val="0"/>
            <w:vAlign w:val="center"/>
          </w:tcPr>
          <w:p w14:paraId="36BD6657">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服务类别</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437A979E">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服务子类</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603EACD9">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服务项</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237495A2">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计价单位</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5068AAA">
            <w:pPr>
              <w:widowControl/>
              <w:spacing w:line="360" w:lineRule="auto"/>
              <w:jc w:val="left"/>
              <w:textAlignment w:val="center"/>
              <w:rPr>
                <w:rFonts w:hint="eastAsia" w:ascii="宋体" w:hAnsi="宋体" w:cs="宋体"/>
                <w:b/>
                <w:bCs/>
                <w:color w:val="000000"/>
                <w:sz w:val="24"/>
              </w:rPr>
            </w:pPr>
            <w:r>
              <w:rPr>
                <w:rFonts w:hint="eastAsia" w:ascii="宋体" w:hAnsi="宋体" w:cs="宋体"/>
                <w:b/>
                <w:bCs/>
                <w:color w:val="000000"/>
                <w:kern w:val="0"/>
                <w:sz w:val="24"/>
                <w:lang w:bidi="ar"/>
              </w:rPr>
              <w:t>报价单位</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66A204">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 xml:space="preserve"> 数量 </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EF05396">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 xml:space="preserve"> 期限（月） </w:t>
            </w:r>
          </w:p>
        </w:tc>
      </w:tr>
      <w:tr w14:paraId="2F64E4A8">
        <w:tblPrEx>
          <w:tblCellMar>
            <w:top w:w="0" w:type="dxa"/>
            <w:left w:w="108" w:type="dxa"/>
            <w:bottom w:w="0" w:type="dxa"/>
            <w:right w:w="108" w:type="dxa"/>
          </w:tblCellMar>
        </w:tblPrEx>
        <w:trPr>
          <w:trHeight w:val="270" w:hRule="atLeast"/>
        </w:trPr>
        <w:tc>
          <w:tcPr>
            <w:tcW w:w="562" w:type="pct"/>
            <w:vMerge w:val="restart"/>
            <w:tcBorders>
              <w:top w:val="single" w:color="000000" w:sz="4" w:space="0"/>
              <w:left w:val="single" w:color="000000" w:sz="4" w:space="0"/>
              <w:bottom w:val="single" w:color="000000" w:sz="4" w:space="0"/>
              <w:right w:val="single" w:color="000000" w:sz="4" w:space="0"/>
            </w:tcBorders>
            <w:noWrap w:val="0"/>
            <w:vAlign w:val="center"/>
          </w:tcPr>
          <w:p w14:paraId="42974E8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基础软件支撑服务</w:t>
            </w:r>
          </w:p>
        </w:tc>
        <w:tc>
          <w:tcPr>
            <w:tcW w:w="877" w:type="pct"/>
            <w:tcBorders>
              <w:top w:val="single" w:color="000000" w:sz="4" w:space="0"/>
              <w:left w:val="single" w:color="000000" w:sz="4" w:space="0"/>
              <w:bottom w:val="single" w:color="000000" w:sz="4" w:space="0"/>
              <w:right w:val="single" w:color="000000" w:sz="4" w:space="0"/>
            </w:tcBorders>
            <w:noWrap/>
            <w:vAlign w:val="center"/>
          </w:tcPr>
          <w:p w14:paraId="2AFCD06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商用操作系统套餐</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00DC888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Windows Server套餐：Windows Server租用、安装及维护</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54213A5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1个云主机</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B7F223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6C4697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71BBB6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037381E1">
        <w:tblPrEx>
          <w:tblCellMar>
            <w:top w:w="0" w:type="dxa"/>
            <w:left w:w="108" w:type="dxa"/>
            <w:bottom w:w="0" w:type="dxa"/>
            <w:right w:w="108" w:type="dxa"/>
          </w:tblCellMar>
        </w:tblPrEx>
        <w:trPr>
          <w:trHeight w:val="270" w:hRule="atLeast"/>
        </w:trPr>
        <w:tc>
          <w:tcPr>
            <w:tcW w:w="56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DEA113">
            <w:pPr>
              <w:widowControl/>
              <w:spacing w:line="360" w:lineRule="auto"/>
              <w:jc w:val="center"/>
              <w:rPr>
                <w:rFonts w:hint="eastAsia" w:ascii="宋体" w:hAnsi="宋体" w:cs="宋体"/>
                <w:color w:val="000000"/>
                <w:sz w:val="24"/>
              </w:rPr>
            </w:pPr>
          </w:p>
        </w:tc>
        <w:tc>
          <w:tcPr>
            <w:tcW w:w="877" w:type="pct"/>
            <w:tcBorders>
              <w:top w:val="single" w:color="000000" w:sz="4" w:space="0"/>
              <w:left w:val="single" w:color="000000" w:sz="4" w:space="0"/>
              <w:bottom w:val="single" w:color="000000" w:sz="4" w:space="0"/>
              <w:right w:val="single" w:color="000000" w:sz="4" w:space="0"/>
            </w:tcBorders>
            <w:noWrap/>
            <w:vAlign w:val="center"/>
          </w:tcPr>
          <w:p w14:paraId="42783BF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商用操作系统套餐</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23FD1BB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国产Linux套餐：国产Linux操作系统服务租用安装及维护</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2BC001C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1个云主机</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2A3265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1089B4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16</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E84F8A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F1E1F47">
        <w:tblPrEx>
          <w:tblCellMar>
            <w:top w:w="0" w:type="dxa"/>
            <w:left w:w="108" w:type="dxa"/>
            <w:bottom w:w="0" w:type="dxa"/>
            <w:right w:w="108" w:type="dxa"/>
          </w:tblCellMar>
        </w:tblPrEx>
        <w:trPr>
          <w:trHeight w:val="510" w:hRule="atLeast"/>
        </w:trPr>
        <w:tc>
          <w:tcPr>
            <w:tcW w:w="562" w:type="pct"/>
            <w:vMerge w:val="restart"/>
            <w:tcBorders>
              <w:top w:val="single" w:color="000000" w:sz="4" w:space="0"/>
              <w:left w:val="single" w:color="000000" w:sz="4" w:space="0"/>
              <w:right w:val="single" w:color="000000" w:sz="4" w:space="0"/>
            </w:tcBorders>
            <w:noWrap w:val="0"/>
            <w:vAlign w:val="center"/>
          </w:tcPr>
          <w:p w14:paraId="751BBBE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安全服务</w:t>
            </w:r>
          </w:p>
        </w:tc>
        <w:tc>
          <w:tcPr>
            <w:tcW w:w="877" w:type="pct"/>
            <w:tcBorders>
              <w:top w:val="single" w:color="000000" w:sz="4" w:space="0"/>
              <w:left w:val="single" w:color="000000" w:sz="4" w:space="0"/>
              <w:bottom w:val="single" w:color="000000" w:sz="4" w:space="0"/>
              <w:right w:val="single" w:color="000000" w:sz="4" w:space="0"/>
            </w:tcBorders>
            <w:noWrap/>
            <w:vAlign w:val="center"/>
          </w:tcPr>
          <w:p w14:paraId="16E0A8C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主机杀毒服务</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158EE36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对云主机进行定期的病毒查杀杀毒软件集中控制，对网络性能无影响</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1C5B53D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1台</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06FBFE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8E6CFA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113</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6A2E35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A1F40B1">
        <w:tblPrEx>
          <w:tblCellMar>
            <w:top w:w="0" w:type="dxa"/>
            <w:left w:w="108" w:type="dxa"/>
            <w:bottom w:w="0" w:type="dxa"/>
            <w:right w:w="108" w:type="dxa"/>
          </w:tblCellMar>
        </w:tblPrEx>
        <w:trPr>
          <w:trHeight w:val="510" w:hRule="atLeast"/>
        </w:trPr>
        <w:tc>
          <w:tcPr>
            <w:tcW w:w="562" w:type="pct"/>
            <w:vMerge w:val="continue"/>
            <w:tcBorders>
              <w:left w:val="single" w:color="000000" w:sz="4" w:space="0"/>
              <w:right w:val="single" w:color="000000" w:sz="4" w:space="0"/>
            </w:tcBorders>
            <w:noWrap w:val="0"/>
            <w:vAlign w:val="center"/>
          </w:tcPr>
          <w:p w14:paraId="36AED642">
            <w:pPr>
              <w:widowControl/>
              <w:spacing w:line="360" w:lineRule="auto"/>
              <w:jc w:val="center"/>
              <w:rPr>
                <w:rFonts w:hint="eastAsia" w:ascii="宋体" w:hAnsi="宋体" w:cs="宋体"/>
                <w:color w:val="000000"/>
                <w:sz w:val="24"/>
              </w:rPr>
            </w:pPr>
          </w:p>
        </w:tc>
        <w:tc>
          <w:tcPr>
            <w:tcW w:w="877" w:type="pct"/>
            <w:tcBorders>
              <w:top w:val="single" w:color="000000" w:sz="4" w:space="0"/>
              <w:left w:val="single" w:color="000000" w:sz="4" w:space="0"/>
              <w:bottom w:val="single" w:color="000000" w:sz="4" w:space="0"/>
              <w:right w:val="single" w:color="000000" w:sz="4" w:space="0"/>
            </w:tcBorders>
            <w:noWrap/>
            <w:vAlign w:val="center"/>
          </w:tcPr>
          <w:p w14:paraId="188565B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网页防篡改服务</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5F827C3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提供网页防篡改服务通过防篡改软件对用户页面进行实时防护减少用户页面被恶意篡改的可能性</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06F4762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1监控点</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B6C9D5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元/年</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0C3A37B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578936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r>
      <w:tr w14:paraId="12DA587A">
        <w:tblPrEx>
          <w:tblCellMar>
            <w:top w:w="0" w:type="dxa"/>
            <w:left w:w="108" w:type="dxa"/>
            <w:bottom w:w="0" w:type="dxa"/>
            <w:right w:w="108" w:type="dxa"/>
          </w:tblCellMar>
        </w:tblPrEx>
        <w:trPr>
          <w:trHeight w:val="510" w:hRule="atLeast"/>
        </w:trPr>
        <w:tc>
          <w:tcPr>
            <w:tcW w:w="562" w:type="pct"/>
            <w:vMerge w:val="continue"/>
            <w:tcBorders>
              <w:left w:val="single" w:color="000000" w:sz="4" w:space="0"/>
              <w:right w:val="single" w:color="000000" w:sz="4" w:space="0"/>
            </w:tcBorders>
            <w:noWrap w:val="0"/>
            <w:vAlign w:val="center"/>
          </w:tcPr>
          <w:p w14:paraId="15A0C1DF">
            <w:pPr>
              <w:widowControl/>
              <w:spacing w:line="360" w:lineRule="auto"/>
              <w:jc w:val="center"/>
              <w:rPr>
                <w:rFonts w:hint="eastAsia" w:ascii="宋体" w:hAnsi="宋体" w:cs="宋体"/>
                <w:color w:val="000000"/>
                <w:sz w:val="24"/>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3FCF238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云端抗DDOS服务</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461C2967">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云端抗DDOS服务</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75CA04B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元/流量清洗能力10G/月</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78BF6E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3B4359D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0.22</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1BD3E3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1BC20FAB">
        <w:tblPrEx>
          <w:tblCellMar>
            <w:top w:w="0" w:type="dxa"/>
            <w:left w:w="108" w:type="dxa"/>
            <w:bottom w:w="0" w:type="dxa"/>
            <w:right w:w="108" w:type="dxa"/>
          </w:tblCellMar>
        </w:tblPrEx>
        <w:trPr>
          <w:trHeight w:val="510" w:hRule="atLeast"/>
        </w:trPr>
        <w:tc>
          <w:tcPr>
            <w:tcW w:w="562" w:type="pct"/>
            <w:vMerge w:val="continue"/>
            <w:tcBorders>
              <w:left w:val="single" w:color="000000" w:sz="4" w:space="0"/>
              <w:right w:val="single" w:color="000000" w:sz="4" w:space="0"/>
            </w:tcBorders>
            <w:noWrap w:val="0"/>
            <w:vAlign w:val="center"/>
          </w:tcPr>
          <w:p w14:paraId="6DF794D5">
            <w:pPr>
              <w:widowControl/>
              <w:spacing w:line="360" w:lineRule="auto"/>
              <w:jc w:val="center"/>
              <w:rPr>
                <w:rFonts w:hint="eastAsia" w:ascii="宋体" w:hAnsi="宋体" w:cs="宋体"/>
                <w:color w:val="000000"/>
                <w:sz w:val="24"/>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52CD0BC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云端APT防护服务</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5ABCB7D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对未知攻击威胁进行检测和防护，发现隐蔽威胁、木马后门等异常威胁。</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5F17AFB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元/套/月</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008CB8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605C818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0.01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4F105C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1F82023D">
        <w:tblPrEx>
          <w:tblCellMar>
            <w:top w:w="0" w:type="dxa"/>
            <w:left w:w="108" w:type="dxa"/>
            <w:bottom w:w="0" w:type="dxa"/>
            <w:right w:w="108" w:type="dxa"/>
          </w:tblCellMar>
        </w:tblPrEx>
        <w:trPr>
          <w:trHeight w:val="270" w:hRule="atLeast"/>
        </w:trPr>
        <w:tc>
          <w:tcPr>
            <w:tcW w:w="562" w:type="pct"/>
            <w:vMerge w:val="continue"/>
            <w:tcBorders>
              <w:left w:val="single" w:color="000000" w:sz="4" w:space="0"/>
              <w:right w:val="single" w:color="000000" w:sz="4" w:space="0"/>
            </w:tcBorders>
            <w:noWrap w:val="0"/>
            <w:vAlign w:val="center"/>
          </w:tcPr>
          <w:p w14:paraId="1362A63D">
            <w:pPr>
              <w:widowControl/>
              <w:spacing w:line="360" w:lineRule="auto"/>
              <w:jc w:val="center"/>
              <w:rPr>
                <w:rFonts w:hint="eastAsia" w:ascii="宋体" w:hAnsi="宋体" w:cs="宋体"/>
                <w:color w:val="000000"/>
                <w:sz w:val="24"/>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76CBB5B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主机防护</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144F35E5">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主机防护：提供符合等保三级要求的主机权限管理及安全防护。</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3E027CF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元/台/月</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FA468D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1C4DF9A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93A5E3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6365147B">
        <w:tblPrEx>
          <w:tblCellMar>
            <w:top w:w="0" w:type="dxa"/>
            <w:left w:w="108" w:type="dxa"/>
            <w:bottom w:w="0" w:type="dxa"/>
            <w:right w:w="108" w:type="dxa"/>
          </w:tblCellMar>
        </w:tblPrEx>
        <w:trPr>
          <w:trHeight w:val="510" w:hRule="atLeast"/>
        </w:trPr>
        <w:tc>
          <w:tcPr>
            <w:tcW w:w="562" w:type="pct"/>
            <w:vMerge w:val="continue"/>
            <w:tcBorders>
              <w:left w:val="single" w:color="000000" w:sz="4" w:space="0"/>
              <w:bottom w:val="single" w:color="000000" w:sz="4" w:space="0"/>
              <w:right w:val="single" w:color="000000" w:sz="4" w:space="0"/>
            </w:tcBorders>
            <w:noWrap w:val="0"/>
            <w:vAlign w:val="center"/>
          </w:tcPr>
          <w:p w14:paraId="17139447">
            <w:pPr>
              <w:widowControl/>
              <w:spacing w:line="360" w:lineRule="auto"/>
              <w:jc w:val="center"/>
              <w:textAlignment w:val="center"/>
              <w:rPr>
                <w:rFonts w:hint="eastAsia" w:ascii="宋体" w:hAnsi="宋体" w:cs="宋体"/>
                <w:color w:val="000000"/>
                <w:sz w:val="24"/>
              </w:rPr>
            </w:pPr>
          </w:p>
        </w:tc>
        <w:tc>
          <w:tcPr>
            <w:tcW w:w="877" w:type="pct"/>
            <w:tcBorders>
              <w:top w:val="single" w:color="000000" w:sz="4" w:space="0"/>
              <w:left w:val="single" w:color="000000" w:sz="4" w:space="0"/>
              <w:bottom w:val="single" w:color="000000" w:sz="4" w:space="0"/>
              <w:right w:val="single" w:color="000000" w:sz="4" w:space="0"/>
            </w:tcBorders>
            <w:noWrap w:val="0"/>
            <w:vAlign w:val="center"/>
          </w:tcPr>
          <w:p w14:paraId="47ECA53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数据库审计服务</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7ADA940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支持Oracle、SQL-Server、DB2、MySQL等数据库审计。（1套为1个数据库实例）。</w:t>
            </w:r>
          </w:p>
        </w:tc>
        <w:tc>
          <w:tcPr>
            <w:tcW w:w="596" w:type="pct"/>
            <w:tcBorders>
              <w:top w:val="single" w:color="000000" w:sz="4" w:space="0"/>
              <w:left w:val="single" w:color="000000" w:sz="4" w:space="0"/>
              <w:bottom w:val="single" w:color="000000" w:sz="4" w:space="0"/>
              <w:right w:val="single" w:color="000000" w:sz="4" w:space="0"/>
            </w:tcBorders>
            <w:noWrap/>
            <w:vAlign w:val="center"/>
          </w:tcPr>
          <w:p w14:paraId="45C0BA3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套</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DEBC3C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元/套</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0766CEE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35</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B74028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7FF854C9">
        <w:tblPrEx>
          <w:tblCellMar>
            <w:top w:w="0" w:type="dxa"/>
            <w:left w:w="108" w:type="dxa"/>
            <w:bottom w:w="0" w:type="dxa"/>
            <w:right w:w="108" w:type="dxa"/>
          </w:tblCellMar>
        </w:tblPrEx>
        <w:trPr>
          <w:trHeight w:val="270" w:hRule="atLeast"/>
        </w:trPr>
        <w:tc>
          <w:tcPr>
            <w:tcW w:w="562" w:type="pct"/>
            <w:tcBorders>
              <w:top w:val="single" w:color="000000" w:sz="4" w:space="0"/>
              <w:left w:val="single" w:color="000000" w:sz="4" w:space="0"/>
              <w:bottom w:val="single" w:color="000000" w:sz="4" w:space="0"/>
              <w:right w:val="single" w:color="000000" w:sz="4" w:space="0"/>
            </w:tcBorders>
            <w:noWrap w:val="0"/>
            <w:vAlign w:val="center"/>
          </w:tcPr>
          <w:p w14:paraId="7C9E486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其他服务</w:t>
            </w:r>
          </w:p>
        </w:tc>
        <w:tc>
          <w:tcPr>
            <w:tcW w:w="877" w:type="pct"/>
            <w:tcBorders>
              <w:top w:val="single" w:color="000000" w:sz="4" w:space="0"/>
              <w:left w:val="single" w:color="000000" w:sz="4" w:space="0"/>
              <w:bottom w:val="single" w:color="000000" w:sz="4" w:space="0"/>
              <w:right w:val="single" w:color="000000" w:sz="4" w:space="0"/>
            </w:tcBorders>
            <w:noWrap/>
            <w:vAlign w:val="center"/>
          </w:tcPr>
          <w:p w14:paraId="07B8AEF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短信服务</w:t>
            </w:r>
          </w:p>
        </w:tc>
        <w:tc>
          <w:tcPr>
            <w:tcW w:w="1650" w:type="pct"/>
            <w:tcBorders>
              <w:top w:val="single" w:color="000000" w:sz="4" w:space="0"/>
              <w:left w:val="single" w:color="000000" w:sz="4" w:space="0"/>
              <w:bottom w:val="single" w:color="000000" w:sz="4" w:space="0"/>
              <w:right w:val="single" w:color="000000" w:sz="4" w:space="0"/>
            </w:tcBorders>
            <w:noWrap w:val="0"/>
            <w:vAlign w:val="center"/>
          </w:tcPr>
          <w:p w14:paraId="056EE0B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lang w:bidi="ar"/>
              </w:rPr>
              <w:t>提供短信服务</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093DF4B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1条</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178383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元/次</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69E97DD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140000</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6EAD2B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w:t>
            </w:r>
          </w:p>
        </w:tc>
      </w:tr>
    </w:tbl>
    <w:p w14:paraId="311DFFF9">
      <w:pPr>
        <w:keepNext/>
        <w:keepLines/>
        <w:numPr>
          <w:ilvl w:val="0"/>
          <w:numId w:val="1"/>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采购目标</w:t>
      </w:r>
    </w:p>
    <w:p w14:paraId="3474E0CA">
      <w:pPr>
        <w:spacing w:after="120" w:line="360" w:lineRule="auto"/>
        <w:ind w:firstLine="480" w:firstLineChars="200"/>
        <w:rPr>
          <w:rFonts w:hint="eastAsia" w:ascii="宋体" w:hAnsi="宋体" w:cs="宋体"/>
          <w:kern w:val="0"/>
          <w:sz w:val="24"/>
        </w:rPr>
      </w:pPr>
      <w:r>
        <w:rPr>
          <w:rFonts w:hint="eastAsia" w:ascii="宋体" w:hAnsi="宋体" w:cs="宋体"/>
          <w:bCs/>
          <w:sz w:val="24"/>
        </w:rPr>
        <w:t>本项目的总体目标是通过租用政务云平台</w:t>
      </w:r>
      <w:r>
        <w:rPr>
          <w:rFonts w:hint="eastAsia" w:ascii="宋体" w:hAnsi="宋体" w:cs="宋体"/>
          <w:kern w:val="0"/>
          <w:sz w:val="24"/>
        </w:rPr>
        <w:t>计算服务、存储服务、网络服务、基础软件支撑服务、安全服务等。提供全年7×24小时运维保障，做好重大活动和节假日应急值守保障服务，确保各信息系统在政务云环境中安全稳定运行。</w:t>
      </w:r>
    </w:p>
    <w:p w14:paraId="3B84D2CA">
      <w:pPr>
        <w:keepNext/>
        <w:keepLines/>
        <w:numPr>
          <w:ilvl w:val="0"/>
          <w:numId w:val="1"/>
        </w:numPr>
        <w:spacing w:before="340" w:after="330" w:line="360" w:lineRule="auto"/>
        <w:ind w:firstLine="562"/>
        <w:outlineLvl w:val="0"/>
        <w:rPr>
          <w:rFonts w:hint="eastAsia" w:ascii="宋体" w:hAnsi="宋体" w:cs="宋体"/>
          <w:b/>
          <w:kern w:val="44"/>
          <w:sz w:val="24"/>
        </w:rPr>
      </w:pPr>
      <w:bookmarkStart w:id="1" w:name="_Toc24198"/>
      <w:r>
        <w:rPr>
          <w:rFonts w:hint="eastAsia" w:ascii="宋体" w:hAnsi="宋体" w:cs="宋体"/>
          <w:b/>
          <w:kern w:val="44"/>
          <w:sz w:val="24"/>
        </w:rPr>
        <w:t xml:space="preserve"> 服务内容与服务标准</w:t>
      </w:r>
      <w:bookmarkEnd w:id="1"/>
    </w:p>
    <w:p w14:paraId="0EA6B929">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计算服务</w:t>
      </w:r>
    </w:p>
    <w:p w14:paraId="7CFAA101">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0AD8C46F">
      <w:pPr>
        <w:spacing w:line="360" w:lineRule="auto"/>
        <w:ind w:firstLine="480"/>
        <w:rPr>
          <w:rFonts w:hint="eastAsia" w:ascii="宋体" w:hAnsi="宋体" w:cs="宋体"/>
          <w:sz w:val="24"/>
        </w:rPr>
      </w:pPr>
      <w:r>
        <w:rPr>
          <w:rFonts w:hint="eastAsia" w:ascii="宋体" w:hAnsi="宋体" w:cs="宋体"/>
          <w:sz w:val="24"/>
        </w:rPr>
        <w:t>按照采购人的具体需求，提供云主机服务，包括：x86 平台云主机服务和x86 物理服务器租用服务，按需求对CPU及内存进行动态调整，实现合理的计算资源配置。在提供政务云主机的服务过程中做好与采购人和对应项目应用开发厂商的协调沟通工作。</w:t>
      </w:r>
    </w:p>
    <w:p w14:paraId="5C346F86">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6B2830D6">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云主机应实现物理机的全部功能，如具有CPU、存储、内存、网卡等资源，可以指定单独的IP地址等；</w:t>
      </w:r>
    </w:p>
    <w:p w14:paraId="4564E02F">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支持存储裸设备映射（RDM），可以将存储设备上的LUN直接映射给虚拟机使用，并且支持SCSI指令使用透传模式或者非透传模式；</w:t>
      </w:r>
    </w:p>
    <w:p w14:paraId="6EA299F9">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应满足云主机之间、CPU之间隔离保护要求；</w:t>
      </w:r>
    </w:p>
    <w:p w14:paraId="1BE7B115">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支持资源的动态调整，根据业务的负载情况实现业务系统虚拟机的动态扩展和回收；</w:t>
      </w:r>
    </w:p>
    <w:p w14:paraId="507E8FC1">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支持在线进行虚拟化软件版本升级，不同版本之间可以相互兼容；</w:t>
      </w:r>
    </w:p>
    <w:p w14:paraId="05048D56">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支持异构虚拟化能力，如KVM等多种虚拟化技术；</w:t>
      </w:r>
    </w:p>
    <w:p w14:paraId="0AF4CE44">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云主机出现故障时，支持自动重启或者迁移，保障业务连续性；</w:t>
      </w:r>
    </w:p>
    <w:p w14:paraId="291F13BF">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支持虚拟机热迁移，可在不同代CPU资源池中进行虚拟机热迁移；</w:t>
      </w:r>
    </w:p>
    <w:p w14:paraId="708BDA7E">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云计算资源性能要求包括但不限于如下：</w:t>
      </w:r>
    </w:p>
    <w:p w14:paraId="04FF4D05">
      <w:pPr>
        <w:snapToGrid w:val="0"/>
        <w:spacing w:line="360" w:lineRule="auto"/>
        <w:ind w:firstLine="480"/>
        <w:rPr>
          <w:rFonts w:hint="eastAsia" w:ascii="宋体" w:hAnsi="宋体" w:cs="宋体"/>
          <w:sz w:val="24"/>
        </w:rPr>
      </w:pPr>
      <w:r>
        <w:rPr>
          <w:rFonts w:hint="eastAsia" w:ascii="宋体" w:hAnsi="宋体" w:cs="宋体"/>
          <w:sz w:val="24"/>
        </w:rPr>
        <w:t>（1）物理服务器CPU主频应不低于2.40GHz；</w:t>
      </w:r>
    </w:p>
    <w:p w14:paraId="70D297AC">
      <w:pPr>
        <w:snapToGrid w:val="0"/>
        <w:spacing w:line="360" w:lineRule="auto"/>
        <w:ind w:firstLine="480"/>
        <w:rPr>
          <w:rFonts w:hint="eastAsia" w:ascii="宋体" w:hAnsi="宋体" w:cs="宋体"/>
          <w:sz w:val="24"/>
        </w:rPr>
      </w:pPr>
      <w:r>
        <w:rPr>
          <w:rFonts w:hint="eastAsia" w:ascii="宋体" w:hAnsi="宋体" w:cs="宋体"/>
          <w:sz w:val="24"/>
        </w:rPr>
        <w:t>（2）主机内存硬件配置不低于DDR4-2400MHz；</w:t>
      </w:r>
    </w:p>
    <w:p w14:paraId="68D095E0">
      <w:pPr>
        <w:snapToGrid w:val="0"/>
        <w:spacing w:line="360" w:lineRule="auto"/>
        <w:ind w:firstLine="480"/>
        <w:rPr>
          <w:rFonts w:hint="eastAsia" w:ascii="宋体" w:hAnsi="宋体" w:cs="宋体"/>
          <w:sz w:val="24"/>
        </w:rPr>
      </w:pPr>
      <w:r>
        <w:rPr>
          <w:rFonts w:hint="eastAsia" w:ascii="宋体" w:hAnsi="宋体" w:cs="宋体"/>
          <w:sz w:val="24"/>
        </w:rPr>
        <w:t>（3）可用性不低于99.99%。</w:t>
      </w:r>
    </w:p>
    <w:p w14:paraId="4881C164">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存储服务</w:t>
      </w:r>
    </w:p>
    <w:p w14:paraId="655A5670">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36AA21FD">
      <w:pPr>
        <w:spacing w:line="360" w:lineRule="auto"/>
        <w:ind w:firstLine="480"/>
        <w:rPr>
          <w:rFonts w:hint="eastAsia" w:ascii="宋体" w:hAnsi="宋体" w:cs="宋体"/>
          <w:sz w:val="24"/>
        </w:rPr>
      </w:pPr>
      <w:r>
        <w:rPr>
          <w:rFonts w:hint="eastAsia" w:ascii="宋体" w:hAnsi="宋体" w:cs="宋体"/>
          <w:sz w:val="24"/>
        </w:rPr>
        <w:t>按照采购人的具体需求，提供存储服务，包括：普通性能存储、高性能存储和本地备份服务，实现合理的存储资源配置。在提供政务云存储的服务过程中需做好采购人和对应项目应用开发厂商的协调沟通工作。</w:t>
      </w:r>
    </w:p>
    <w:p w14:paraId="3A4C577E">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0D1F31CE">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支持结构化数据、半结构化数据和非结构化数据等多种数据类型存储；</w:t>
      </w:r>
    </w:p>
    <w:p w14:paraId="6C1C5599">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支持块存储、对象存储、文件存储等多种存储方法，满足数据备份、视频存储等不同应用场景使用要求；</w:t>
      </w:r>
    </w:p>
    <w:p w14:paraId="78B986E2">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支持存储资源扩展能力，例如：PB级扩展；</w:t>
      </w:r>
    </w:p>
    <w:p w14:paraId="087E1DBD">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支持磁盘容错技术，如磁盘故障后节点的自动平衡和重构、硬盘故障 检测和处理、集群节点出现单盘故障时不影响业务运行等；</w:t>
      </w:r>
    </w:p>
    <w:p w14:paraId="01A458D3">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存储资源性能要求包括但不限于如下：</w:t>
      </w:r>
    </w:p>
    <w:p w14:paraId="77CD8CAE">
      <w:pPr>
        <w:snapToGrid w:val="0"/>
        <w:spacing w:line="360" w:lineRule="auto"/>
        <w:ind w:firstLine="480"/>
        <w:rPr>
          <w:rFonts w:hint="eastAsia" w:ascii="宋体" w:hAnsi="宋体" w:cs="宋体"/>
          <w:sz w:val="24"/>
        </w:rPr>
      </w:pPr>
      <w:r>
        <w:rPr>
          <w:rFonts w:hint="eastAsia" w:ascii="宋体" w:hAnsi="宋体" w:cs="宋体"/>
          <w:sz w:val="24"/>
        </w:rPr>
        <w:t>(1)吞吐量：</w:t>
      </w:r>
      <w:bookmarkStart w:id="2" w:name="OLE_LINK2"/>
      <w:r>
        <w:rPr>
          <w:rFonts w:hint="eastAsia" w:ascii="宋体" w:hAnsi="宋体" w:cs="宋体"/>
          <w:sz w:val="24"/>
        </w:rPr>
        <w:t>高性能存储系统的读写带宽应不低于1000MB/s</w:t>
      </w:r>
      <w:bookmarkEnd w:id="2"/>
      <w:r>
        <w:rPr>
          <w:rFonts w:hint="eastAsia" w:ascii="宋体" w:hAnsi="宋体" w:cs="宋体"/>
          <w:sz w:val="24"/>
        </w:rPr>
        <w:t>,IOPS不低于20000;普通性能存储系统的读写带宽应不低于200MB/s，IOPS不低于1000。</w:t>
      </w:r>
    </w:p>
    <w:p w14:paraId="201DEB2C">
      <w:pPr>
        <w:spacing w:line="360" w:lineRule="auto"/>
        <w:ind w:firstLine="480"/>
        <w:rPr>
          <w:rFonts w:hint="eastAsia" w:ascii="宋体" w:hAnsi="宋体" w:cs="宋体"/>
          <w:sz w:val="24"/>
        </w:rPr>
      </w:pPr>
      <w:r>
        <w:rPr>
          <w:rFonts w:hint="eastAsia" w:ascii="宋体" w:hAnsi="宋体" w:cs="宋体"/>
          <w:sz w:val="24"/>
        </w:rPr>
        <w:t>(2)支持高可靠性，可靠性不低于99.9999%%；</w:t>
      </w:r>
    </w:p>
    <w:p w14:paraId="291F170F">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备份服务</w:t>
      </w:r>
    </w:p>
    <w:p w14:paraId="0317163C">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40EFCB2A">
      <w:pPr>
        <w:spacing w:line="360" w:lineRule="auto"/>
        <w:ind w:firstLine="480"/>
        <w:rPr>
          <w:rFonts w:hint="eastAsia" w:ascii="宋体" w:hAnsi="宋体" w:cs="宋体"/>
          <w:sz w:val="24"/>
        </w:rPr>
      </w:pPr>
      <w:r>
        <w:rPr>
          <w:rFonts w:hint="eastAsia" w:ascii="宋体" w:hAnsi="宋体" w:cs="宋体"/>
          <w:sz w:val="24"/>
        </w:rPr>
        <w:t>投标人需具有本地和同城异地数据级备份能力，并配合采购人完成数据级容灾演练及恢复等工作。</w:t>
      </w:r>
    </w:p>
    <w:p w14:paraId="58BE7235">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服务标准</w:t>
      </w:r>
    </w:p>
    <w:p w14:paraId="5F8826A3">
      <w:pPr>
        <w:spacing w:line="360" w:lineRule="auto"/>
        <w:ind w:firstLine="480"/>
        <w:rPr>
          <w:rFonts w:hint="eastAsia" w:ascii="宋体" w:hAnsi="宋体" w:cs="宋体"/>
          <w:sz w:val="24"/>
        </w:rPr>
      </w:pPr>
      <w:r>
        <w:rPr>
          <w:rFonts w:hint="eastAsia" w:ascii="宋体" w:hAnsi="宋体" w:cs="宋体"/>
          <w:sz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1808CA8B">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备份介质本身具备高可用性和冗余性。</w:t>
      </w:r>
    </w:p>
    <w:p w14:paraId="7674E393">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备份方式包括完整备份、差异备份和增量备份。</w:t>
      </w:r>
    </w:p>
    <w:p w14:paraId="42328B7E">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支持Windows系列操作系统、Linux主流系统操作系统、主流数据库软件、主流中间件软件、结构化数据以及非结构化数据等备份对象。</w:t>
      </w:r>
    </w:p>
    <w:p w14:paraId="29BAA6FC">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投标人应提供对备份过程状态、备份结果提供运维监控保障服务，确保备份任务执行成功以及备份的数据完整性。</w:t>
      </w:r>
    </w:p>
    <w:p w14:paraId="05373C7F">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网络服务</w:t>
      </w:r>
    </w:p>
    <w:p w14:paraId="13426EA8">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73E620D5">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互联网链路服务</w:t>
      </w:r>
    </w:p>
    <w:p w14:paraId="102C73FF">
      <w:pPr>
        <w:spacing w:line="360" w:lineRule="auto"/>
        <w:ind w:firstLine="480"/>
        <w:rPr>
          <w:rFonts w:hint="eastAsia" w:ascii="宋体" w:hAnsi="宋体" w:cs="宋体"/>
          <w:sz w:val="24"/>
        </w:rPr>
      </w:pPr>
      <w:r>
        <w:rPr>
          <w:rFonts w:hint="eastAsia" w:ascii="宋体" w:hAnsi="宋体" w:cs="宋体"/>
          <w:sz w:val="24"/>
        </w:rPr>
        <w:t>提供互联网链路带宽服务、互联网IP地址租用服务，并提供相应的网络域名备案服务，配合应用开发厂商提供网络策略配置服务。</w:t>
      </w:r>
    </w:p>
    <w:p w14:paraId="78C23565">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主机负载均衡服务</w:t>
      </w:r>
    </w:p>
    <w:p w14:paraId="13D7B53C">
      <w:pPr>
        <w:spacing w:line="360" w:lineRule="auto"/>
        <w:ind w:firstLine="480"/>
        <w:rPr>
          <w:rFonts w:hint="eastAsia" w:ascii="宋体" w:hAnsi="宋体" w:cs="宋体"/>
          <w:sz w:val="24"/>
        </w:rPr>
      </w:pPr>
      <w:r>
        <w:rPr>
          <w:rFonts w:hint="eastAsia" w:ascii="宋体" w:hAnsi="宋体" w:cs="宋体"/>
          <w:sz w:val="24"/>
        </w:rPr>
        <w:t>提供主机负载均衡服务，通过云管理平台实现针每租户按需自动分配负载均衡服务的能力。</w:t>
      </w:r>
    </w:p>
    <w:p w14:paraId="2E1322ED">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远程接入服务</w:t>
      </w:r>
    </w:p>
    <w:p w14:paraId="778DAB94">
      <w:pPr>
        <w:spacing w:line="360" w:lineRule="auto"/>
        <w:ind w:firstLine="480"/>
        <w:rPr>
          <w:rFonts w:hint="eastAsia" w:ascii="宋体" w:hAnsi="宋体" w:cs="宋体"/>
          <w:sz w:val="24"/>
        </w:rPr>
      </w:pPr>
      <w:r>
        <w:rPr>
          <w:rFonts w:hint="eastAsia" w:ascii="宋体" w:hAnsi="宋体" w:cs="宋体"/>
          <w:sz w:val="24"/>
        </w:rPr>
        <w:t>提供远程接入服务，每个账号结合身份验证接入堡垒机维护应用系统。</w:t>
      </w:r>
    </w:p>
    <w:p w14:paraId="5BAF320C">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WAF防护服务</w:t>
      </w:r>
    </w:p>
    <w:p w14:paraId="241A8F78">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提供WAF防护服务，在政务云流量入口架设WAF（Web Application Firewall，网站应用级入侵防御系统）防护服务，保证用户网站对已知安全隐患进行防御。</w:t>
      </w:r>
    </w:p>
    <w:p w14:paraId="4212FE91">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74D81715">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云内骨干线路带宽不低于10Gb/s；</w:t>
      </w:r>
    </w:p>
    <w:p w14:paraId="0BCB20CD">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服务器业务带宽不低于1Gb/s；</w:t>
      </w:r>
    </w:p>
    <w:p w14:paraId="34627F98">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平均可用性不低于99.9%。</w:t>
      </w:r>
    </w:p>
    <w:p w14:paraId="1A0222CE">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基础软件支撑服务</w:t>
      </w:r>
    </w:p>
    <w:p w14:paraId="55A73812">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36407162">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提供商用操作系统套餐等软件服务。</w:t>
      </w:r>
    </w:p>
    <w:p w14:paraId="77AF1305">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6AB70E8F">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商用操作系统套餐</w:t>
      </w:r>
    </w:p>
    <w:p w14:paraId="2BEEAEE0">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提供商用操作系统的租用、安装、调优、排错、技术支持服务。</w:t>
      </w:r>
    </w:p>
    <w:p w14:paraId="20F3D9F9">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安全服务</w:t>
      </w:r>
    </w:p>
    <w:p w14:paraId="12B2F6C3">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0A8B08F4">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安全是政务云的红线，应按照网络安全等级保护等要求建设安全技术防护体系和安全管理体系，建立应急处置体系，强化各领域平台安全管控，本项目安全服务主要内容包含：</w:t>
      </w:r>
    </w:p>
    <w:p w14:paraId="6B5BA0E3">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主机杀毒服务</w:t>
      </w:r>
    </w:p>
    <w:p w14:paraId="53B4E025">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提供主机杀毒服务，对云主机进行定期的病毒查杀，杀毒软件集中控制，对网络性能无影响。</w:t>
      </w:r>
    </w:p>
    <w:p w14:paraId="70B183FA">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kern w:val="0"/>
          <w:sz w:val="24"/>
        </w:rPr>
        <w:t>网页防篡改服务</w:t>
      </w:r>
    </w:p>
    <w:p w14:paraId="2ABB7F76">
      <w:pPr>
        <w:spacing w:line="360" w:lineRule="auto"/>
        <w:rPr>
          <w:rFonts w:hint="eastAsia" w:ascii="宋体" w:hAnsi="宋体" w:cs="宋体"/>
          <w:sz w:val="24"/>
        </w:rPr>
      </w:pPr>
      <w:r>
        <w:rPr>
          <w:rFonts w:hint="eastAsia" w:ascii="宋体" w:hAnsi="宋体" w:cs="宋体"/>
          <w:kern w:val="0"/>
          <w:sz w:val="24"/>
        </w:rPr>
        <w:t>提供网页防篡改服务，通过防篡改软件对用户页面进行实时防护减少用户页面被恶意篡改的可能性。</w:t>
      </w:r>
    </w:p>
    <w:p w14:paraId="248F7F84">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云端抗DDOS服务</w:t>
      </w:r>
    </w:p>
    <w:p w14:paraId="779E70C1">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提供云端抗DDOS服务，为云内应用系统抵御大流量分布式拒绝服务攻击，避免业务遭受拒绝服务攻击。</w:t>
      </w:r>
    </w:p>
    <w:p w14:paraId="6AF852BB">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云端APT防护服务</w:t>
      </w:r>
    </w:p>
    <w:p w14:paraId="000E2F86">
      <w:pPr>
        <w:spacing w:line="360" w:lineRule="auto"/>
        <w:ind w:firstLine="480" w:firstLineChars="200"/>
        <w:rPr>
          <w:rFonts w:hint="eastAsia" w:ascii="宋体" w:hAnsi="宋体" w:cs="宋体"/>
          <w:sz w:val="24"/>
        </w:rPr>
      </w:pPr>
      <w:r>
        <w:rPr>
          <w:rFonts w:hint="eastAsia" w:ascii="宋体" w:hAnsi="宋体" w:cs="宋体"/>
          <w:kern w:val="0"/>
          <w:sz w:val="24"/>
        </w:rPr>
        <w:t>按照采购人的具体需求，</w:t>
      </w:r>
      <w:r>
        <w:rPr>
          <w:rFonts w:hint="eastAsia" w:ascii="宋体" w:hAnsi="宋体" w:cs="宋体"/>
          <w:sz w:val="24"/>
        </w:rPr>
        <w:t>提供云端APT防护服务，对未知攻击威胁进行检测和防护，发现隐蔽威胁、木马后门等异常威胁。</w:t>
      </w:r>
    </w:p>
    <w:p w14:paraId="079CF93B">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主机防护</w:t>
      </w:r>
    </w:p>
    <w:p w14:paraId="42AEABF7">
      <w:pPr>
        <w:adjustRightInd w:val="0"/>
        <w:snapToGrid w:val="0"/>
        <w:spacing w:line="360" w:lineRule="auto"/>
        <w:ind w:left="14" w:firstLine="480"/>
        <w:textAlignment w:val="baseline"/>
        <w:rPr>
          <w:rFonts w:hint="eastAsia" w:ascii="宋体" w:hAnsi="宋体" w:cs="宋体"/>
          <w:kern w:val="0"/>
          <w:sz w:val="24"/>
        </w:rPr>
      </w:pPr>
      <w:r>
        <w:rPr>
          <w:rFonts w:hint="eastAsia" w:ascii="宋体" w:hAnsi="宋体" w:cs="宋体"/>
          <w:kern w:val="0"/>
          <w:sz w:val="24"/>
        </w:rPr>
        <w:t>按照采购人的具体需求，提供符合等保三级要求的主机权限管理及安全防护。</w:t>
      </w:r>
    </w:p>
    <w:p w14:paraId="1F97B59B">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数据库审计服务</w:t>
      </w:r>
    </w:p>
    <w:p w14:paraId="63E60D99">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按照采购人的具体需求，提供数据库审计服务，支持Oracle、SQL-Server、DB2、MySQL等数据库审计。</w:t>
      </w:r>
    </w:p>
    <w:p w14:paraId="23EDCD50">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694D1C8D">
      <w:pPr>
        <w:spacing w:line="360" w:lineRule="auto"/>
        <w:ind w:firstLine="480"/>
        <w:rPr>
          <w:rFonts w:hint="eastAsia" w:ascii="宋体" w:hAnsi="宋体" w:cs="宋体"/>
          <w:sz w:val="24"/>
        </w:rPr>
      </w:pPr>
      <w:r>
        <w:rPr>
          <w:rFonts w:hint="eastAsia" w:ascii="宋体" w:hAnsi="宋体" w:cs="宋体"/>
          <w:sz w:val="24"/>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134B6033">
      <w:pPr>
        <w:spacing w:line="360" w:lineRule="auto"/>
        <w:ind w:firstLine="480"/>
        <w:rPr>
          <w:rFonts w:hint="eastAsia" w:ascii="宋体" w:hAnsi="宋体" w:cs="宋体"/>
          <w:sz w:val="24"/>
        </w:rPr>
      </w:pPr>
      <w:r>
        <w:rPr>
          <w:rFonts w:hint="eastAsia" w:ascii="宋体" w:hAnsi="宋体" w:cs="宋体"/>
          <w:sz w:val="24"/>
        </w:rPr>
        <w:t>投标人需利用监控系统或人工对机房环境、硬件设备及应用系统的运行情况进行7*24小时的不间断巡检监控，及时发现安全隐患，通知相关人员及时处理，并形成监控报告。</w:t>
      </w:r>
    </w:p>
    <w:p w14:paraId="52D21CB6">
      <w:pPr>
        <w:spacing w:line="360" w:lineRule="auto"/>
        <w:ind w:firstLine="480"/>
        <w:rPr>
          <w:rFonts w:hint="eastAsia" w:ascii="宋体" w:hAnsi="宋体" w:cs="宋体"/>
          <w:sz w:val="24"/>
        </w:rPr>
      </w:pPr>
      <w:r>
        <w:rPr>
          <w:rFonts w:hint="eastAsia" w:ascii="宋体" w:hAnsi="宋体" w:cs="宋体"/>
          <w:sz w:val="24"/>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0B154CAB">
      <w:pPr>
        <w:spacing w:line="360" w:lineRule="auto"/>
        <w:ind w:firstLine="480"/>
        <w:rPr>
          <w:rFonts w:hint="eastAsia" w:ascii="宋体" w:hAnsi="宋体" w:cs="宋体"/>
          <w:sz w:val="24"/>
        </w:rPr>
      </w:pPr>
      <w:r>
        <w:rPr>
          <w:rFonts w:hint="eastAsia" w:ascii="宋体" w:hAnsi="宋体" w:cs="宋体"/>
          <w:sz w:val="24"/>
        </w:rPr>
        <w:t>投标人需保证安全技术服务能力不低于所承载的信息系统的最高级别，并通过GB/T22239相应等级的测评；通过商用密码应用安全性评估，商用密码应用安全性评估参考GB/T39786-2021中相应等级规定。</w:t>
      </w:r>
    </w:p>
    <w:p w14:paraId="5CC8FD49">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其他服务</w:t>
      </w:r>
    </w:p>
    <w:p w14:paraId="53D90BBD">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6E1626CD">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为本项目提供短信服务。</w:t>
      </w:r>
    </w:p>
    <w:p w14:paraId="2C51768E">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1F8D8F81">
      <w:pPr>
        <w:keepNext/>
        <w:keepLines/>
        <w:numPr>
          <w:ilvl w:val="3"/>
          <w:numId w:val="1"/>
        </w:numPr>
        <w:spacing w:before="280" w:after="290" w:line="360" w:lineRule="auto"/>
        <w:ind w:firstLine="480"/>
        <w:outlineLvl w:val="3"/>
        <w:rPr>
          <w:rFonts w:hint="eastAsia" w:ascii="宋体" w:hAnsi="宋体" w:cs="宋体"/>
          <w:sz w:val="24"/>
        </w:rPr>
      </w:pPr>
      <w:r>
        <w:rPr>
          <w:rFonts w:hint="eastAsia" w:ascii="宋体" w:hAnsi="宋体" w:cs="宋体"/>
          <w:sz w:val="24"/>
        </w:rPr>
        <w:t>短信服务</w:t>
      </w:r>
    </w:p>
    <w:p w14:paraId="30C8EE46">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按照采购人的具体需求，为云上系统提供短信服务。</w:t>
      </w:r>
    </w:p>
    <w:p w14:paraId="4A5EDDAA">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运维服务</w:t>
      </w:r>
    </w:p>
    <w:p w14:paraId="2F412EFD">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72B67F4C">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负责机房环境资源、云平台硬件资产、虚拟化资产的管理工作；</w:t>
      </w:r>
    </w:p>
    <w:p w14:paraId="63E670D1">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信息系统入云、上线、变更、退出等各阶段的备案与信息变更等工作；</w:t>
      </w:r>
    </w:p>
    <w:p w14:paraId="4C5552B8">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执行云平台变更申请、审批流程；</w:t>
      </w:r>
    </w:p>
    <w:p w14:paraId="3665F09B">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云平台网络资源管理，针对内部地址使用情况、云平台专线接入情况、政务外网资源使用情况等做好统计工作；</w:t>
      </w:r>
    </w:p>
    <w:p w14:paraId="68A7BB9A">
      <w:pPr>
        <w:keepNext/>
        <w:keepLines/>
        <w:numPr>
          <w:ilvl w:val="3"/>
          <w:numId w:val="1"/>
        </w:numPr>
        <w:spacing w:before="280" w:after="290" w:line="360" w:lineRule="auto"/>
        <w:outlineLvl w:val="3"/>
        <w:rPr>
          <w:rFonts w:hint="eastAsia" w:ascii="宋体" w:hAnsi="宋体" w:cs="宋体"/>
          <w:sz w:val="24"/>
        </w:rPr>
      </w:pPr>
      <w:r>
        <w:rPr>
          <w:rFonts w:hint="eastAsia" w:ascii="宋体" w:hAnsi="宋体" w:cs="宋体"/>
          <w:sz w:val="24"/>
        </w:rPr>
        <w:t>服务期内，投标人须配备运维团队，提供可靠的售后服务保障。投标人针对采购人要求的云平台运维服务相关内容，需指定专业技术能力较强的工程师，根据采购人要求配合开展相关维护服务。</w:t>
      </w:r>
    </w:p>
    <w:p w14:paraId="06D0B24F">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服务标准</w:t>
      </w:r>
    </w:p>
    <w:p w14:paraId="2229E348">
      <w:pPr>
        <w:spacing w:line="360" w:lineRule="auto"/>
        <w:ind w:firstLine="480"/>
        <w:rPr>
          <w:rFonts w:hint="eastAsia" w:ascii="宋体" w:hAnsi="宋体" w:cs="宋体"/>
          <w:sz w:val="24"/>
        </w:rPr>
      </w:pPr>
      <w:r>
        <w:rPr>
          <w:rFonts w:hint="eastAsia" w:ascii="宋体" w:hAnsi="宋体" w:cs="宋体"/>
          <w:sz w:val="24"/>
        </w:rPr>
        <w:t>依据《北京市市级政务云管理办法》，投标人应当提供高效的系统维护服务，有效防范系统风险，系统对应负责人7*24 小时电话畅通，能够在系统发 生除宕机外的其他故障问题时，能够协调人力资源在1小时内到达政务云机房现场提供服务。系统发生宕机问题时，投标人应在30分钟内响应，能够协调人力资源在1小时内到达运维现场定位、排除故障，在1个小时之内使系统恢复正常，故障处理完毕后提供相关系统宕机报告。</w:t>
      </w:r>
    </w:p>
    <w:p w14:paraId="0712837C">
      <w:pPr>
        <w:spacing w:line="360" w:lineRule="auto"/>
        <w:ind w:firstLine="480"/>
        <w:rPr>
          <w:rFonts w:hint="eastAsia" w:ascii="宋体" w:hAnsi="宋体" w:cs="宋体"/>
          <w:sz w:val="24"/>
        </w:rPr>
      </w:pPr>
      <w:r>
        <w:rPr>
          <w:rFonts w:hint="eastAsia" w:ascii="宋体" w:hAnsi="宋体" w:cs="宋体"/>
          <w:sz w:val="24"/>
        </w:rPr>
        <w:t>为保障业务高峰期内系统平稳运行，缓解系统高峰期内因业务发生量增大而带来系统压力风险，要求投标人根据业务周期性特点，加大运维保障力度，保证在业务高峰期内系统平稳运行。</w:t>
      </w:r>
    </w:p>
    <w:p w14:paraId="5D7556D3">
      <w:pPr>
        <w:spacing w:line="360" w:lineRule="auto"/>
        <w:ind w:firstLine="480"/>
        <w:rPr>
          <w:rFonts w:hint="eastAsia" w:ascii="宋体" w:hAnsi="宋体" w:cs="宋体"/>
          <w:sz w:val="24"/>
        </w:rPr>
      </w:pPr>
      <w:r>
        <w:rPr>
          <w:rFonts w:hint="eastAsia" w:ascii="宋体" w:hAnsi="宋体" w:cs="宋体"/>
          <w:sz w:val="24"/>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7D8D8383">
      <w:pPr>
        <w:spacing w:line="360" w:lineRule="auto"/>
        <w:ind w:firstLine="480"/>
        <w:rPr>
          <w:rFonts w:hint="eastAsia" w:ascii="宋体" w:hAnsi="宋体" w:cs="宋体"/>
          <w:sz w:val="24"/>
        </w:rPr>
      </w:pPr>
      <w:r>
        <w:rPr>
          <w:rFonts w:hint="eastAsia" w:ascii="宋体" w:hAnsi="宋体" w:cs="宋体"/>
          <w:sz w:val="24"/>
        </w:rPr>
        <w:t>按照国家、北京市相关规定和信息安全技术标准及规范要求,落实安全保障措施,通过信息安全测评机构的测评和政务云安全审查。</w:t>
      </w:r>
    </w:p>
    <w:p w14:paraId="3FCC6EC3">
      <w:pPr>
        <w:spacing w:line="360" w:lineRule="auto"/>
        <w:ind w:firstLine="480"/>
        <w:rPr>
          <w:rFonts w:hint="eastAsia" w:ascii="宋体" w:hAnsi="宋体" w:cs="宋体"/>
          <w:sz w:val="24"/>
        </w:rPr>
      </w:pPr>
      <w:r>
        <w:rPr>
          <w:rFonts w:hint="eastAsia" w:ascii="宋体" w:hAnsi="宋体" w:cs="宋体"/>
          <w:sz w:val="24"/>
        </w:rPr>
        <w:t>除不可抗力或计划内维护作业造成的政务云服务中断外,政务云实行24小时不间断运行。</w:t>
      </w:r>
    </w:p>
    <w:p w14:paraId="1A41888A">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迁移服务</w:t>
      </w:r>
    </w:p>
    <w:p w14:paraId="7E0B330E">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638A4A1C">
      <w:pPr>
        <w:spacing w:line="360" w:lineRule="auto"/>
        <w:ind w:firstLine="480"/>
        <w:rPr>
          <w:rFonts w:hint="eastAsia" w:ascii="宋体" w:hAnsi="宋体" w:cs="宋体"/>
          <w:sz w:val="24"/>
        </w:rPr>
      </w:pPr>
      <w:r>
        <w:rPr>
          <w:rFonts w:hint="eastAsia" w:ascii="宋体" w:hAnsi="宋体" w:cs="宋体"/>
          <w:sz w:val="24"/>
        </w:rPr>
        <w:t>投标人需提供整体的业务上云迁移服务，应支持X86云主机迁移、X86物理主机迁移、单机数据库迁移、高可用数据库迁移等迁移场景。负责需求调研、架构规划设计、应用迁移部署等工作。</w:t>
      </w:r>
    </w:p>
    <w:p w14:paraId="0FC0E3D1">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6AA42578">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本项目涉及的业务系统为采购人在用的生产系统，目前在北京市政务云上平稳运行，因此业务连续性是首要的保障需求。迁移服务具体要求如下：</w:t>
      </w:r>
    </w:p>
    <w:p w14:paraId="28C784AF">
      <w:pPr>
        <w:snapToGrid w:val="0"/>
        <w:spacing w:line="360" w:lineRule="auto"/>
        <w:ind w:firstLine="420"/>
        <w:rPr>
          <w:rFonts w:hint="eastAsia" w:ascii="宋体" w:hAnsi="宋体" w:cs="宋体"/>
          <w:sz w:val="24"/>
        </w:rPr>
      </w:pPr>
      <w:r>
        <w:rPr>
          <w:rFonts w:hint="eastAsia" w:ascii="宋体" w:hAnsi="宋体" w:cs="宋体"/>
          <w:sz w:val="24"/>
        </w:rPr>
        <w:t>投标人需编制业务连续性服务方案。</w:t>
      </w:r>
    </w:p>
    <w:p w14:paraId="297E3ADA">
      <w:pPr>
        <w:snapToGrid w:val="0"/>
        <w:spacing w:line="360" w:lineRule="auto"/>
        <w:ind w:firstLine="480"/>
        <w:rPr>
          <w:rFonts w:hint="eastAsia" w:ascii="宋体" w:hAnsi="宋体" w:cs="宋体"/>
          <w:sz w:val="24"/>
        </w:rPr>
      </w:pPr>
      <w:r>
        <w:rPr>
          <w:rFonts w:hint="eastAsia" w:ascii="宋体" w:hAnsi="宋体" w:cs="宋体"/>
          <w:sz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12553407">
      <w:pPr>
        <w:snapToGrid w:val="0"/>
        <w:spacing w:line="360" w:lineRule="auto"/>
        <w:ind w:firstLine="480"/>
        <w:rPr>
          <w:rFonts w:hint="eastAsia" w:ascii="宋体" w:hAnsi="宋体" w:cs="宋体"/>
          <w:sz w:val="24"/>
        </w:rPr>
      </w:pPr>
      <w:r>
        <w:rPr>
          <w:rFonts w:hint="eastAsia" w:ascii="宋体" w:hAnsi="宋体" w:cs="宋体"/>
          <w:sz w:val="24"/>
        </w:rPr>
        <w:t>本项目如涉及系统迁移，为保障业务系统的连续性，投标人应承诺自中标之日起，积极与原服务商对接，在5个工作日内，完成系统迁移平滑过渡，且因此产生的各项费用（包括但不限于测试阶段的云资源费用，系统开发商对业务系统的部署、调试费用等），应包含在投标人的报价中，提供“承诺函”并加盖投标人公章。</w:t>
      </w:r>
    </w:p>
    <w:p w14:paraId="2EEB61C6">
      <w:pPr>
        <w:keepNext/>
        <w:keepLines/>
        <w:numPr>
          <w:ilvl w:val="0"/>
          <w:numId w:val="1"/>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运维团队要求</w:t>
      </w:r>
    </w:p>
    <w:p w14:paraId="06A0C79D">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服务期内，投标人须设有7×24小时电话响应服务、具备运维团队，提供售后服务保障。团队成员应明确职责，架构清晰，岗位设置合理，且具备与本项目相关的项目经验。</w:t>
      </w:r>
    </w:p>
    <w:p w14:paraId="7987DC5C">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投标人须提供项目经理1人、技术负责人1人以及相应实施人员，项目团队人员8人（含项目经理和技术负责人）及以上。为本项目提供服务。要求如下：</w:t>
      </w:r>
    </w:p>
    <w:p w14:paraId="6D61BB8A">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项目经理具备5年及以上类似工作经验，且具有信息系统项目管理师（高级）证书等同类证书。</w:t>
      </w:r>
    </w:p>
    <w:p w14:paraId="22C5BCBD">
      <w:pPr>
        <w:tabs>
          <w:tab w:val="left" w:pos="1162"/>
        </w:tabs>
        <w:adjustRightInd w:val="0"/>
        <w:snapToGrid w:val="0"/>
        <w:spacing w:line="360" w:lineRule="auto"/>
        <w:ind w:firstLine="480"/>
        <w:textAlignment w:val="baseline"/>
        <w:rPr>
          <w:rFonts w:hint="eastAsia" w:ascii="宋体" w:hAnsi="宋体" w:cs="宋体"/>
          <w:kern w:val="0"/>
          <w:sz w:val="24"/>
          <w:highlight w:val="none"/>
        </w:rPr>
      </w:pPr>
      <w:r>
        <w:rPr>
          <w:rFonts w:hint="eastAsia" w:ascii="宋体" w:hAnsi="宋体" w:cs="宋体"/>
          <w:kern w:val="0"/>
          <w:sz w:val="24"/>
        </w:rPr>
        <w:t>技术负责人具备5年及以上类似工作经验，且具有</w:t>
      </w:r>
      <w:r>
        <w:rPr>
          <w:rFonts w:hint="eastAsia" w:ascii="宋体" w:hAnsi="宋体" w:cs="宋体"/>
          <w:sz w:val="24"/>
        </w:rPr>
        <w:t>信息系统项目管理师（高级）证</w:t>
      </w:r>
      <w:r>
        <w:rPr>
          <w:rFonts w:hint="eastAsia" w:ascii="宋体" w:hAnsi="宋体" w:cs="宋体"/>
          <w:sz w:val="24"/>
          <w:highlight w:val="none"/>
        </w:rPr>
        <w:t>书</w:t>
      </w:r>
      <w:r>
        <w:rPr>
          <w:rFonts w:hint="eastAsia" w:ascii="宋体" w:hAnsi="宋体" w:cs="宋体"/>
          <w:kern w:val="0"/>
          <w:sz w:val="24"/>
          <w:highlight w:val="none"/>
        </w:rPr>
        <w:t>。</w:t>
      </w:r>
    </w:p>
    <w:p w14:paraId="14461B28">
      <w:pPr>
        <w:tabs>
          <w:tab w:val="left" w:pos="1162"/>
        </w:tabs>
        <w:adjustRightInd w:val="0"/>
        <w:snapToGrid w:val="0"/>
        <w:spacing w:line="360" w:lineRule="auto"/>
        <w:ind w:firstLine="480"/>
        <w:textAlignment w:val="baseline"/>
        <w:rPr>
          <w:rFonts w:hint="eastAsia" w:ascii="宋体" w:hAnsi="宋体" w:cs="宋体"/>
          <w:kern w:val="0"/>
          <w:sz w:val="24"/>
          <w:highlight w:val="none"/>
        </w:rPr>
      </w:pPr>
      <w:r>
        <w:rPr>
          <w:rFonts w:hint="eastAsia" w:ascii="宋体" w:hAnsi="宋体" w:cs="宋体"/>
          <w:kern w:val="0"/>
          <w:sz w:val="24"/>
          <w:highlight w:val="none"/>
        </w:rPr>
        <w:t>团队成员（除项目经理和技术负责人之外）具有</w:t>
      </w:r>
      <w:r>
        <w:rPr>
          <w:rFonts w:hint="eastAsia" w:ascii="宋体" w:hAnsi="宋体" w:cs="宋体"/>
          <w:sz w:val="24"/>
          <w:highlight w:val="none"/>
        </w:rPr>
        <w:t>信息系统项目管理师（高级）证书</w:t>
      </w:r>
      <w:r>
        <w:rPr>
          <w:rFonts w:hint="eastAsia" w:ascii="宋体" w:hAnsi="宋体" w:cs="宋体"/>
          <w:sz w:val="24"/>
          <w:highlight w:val="none"/>
          <w:lang w:eastAsia="zh-CN"/>
        </w:rPr>
        <w:t>、</w:t>
      </w:r>
      <w:r>
        <w:rPr>
          <w:rFonts w:hint="eastAsia" w:ascii="宋体" w:hAnsi="宋体" w:cs="宋体"/>
          <w:kern w:val="0"/>
          <w:sz w:val="24"/>
          <w:highlight w:val="none"/>
        </w:rPr>
        <w:t>CISP等同类证书。</w:t>
      </w:r>
    </w:p>
    <w:p w14:paraId="1CFFB4CD">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highlight w:val="none"/>
        </w:rPr>
        <w:t>项目技术负责人应是专</w:t>
      </w:r>
      <w:r>
        <w:rPr>
          <w:rFonts w:hint="eastAsia" w:ascii="宋体" w:hAnsi="宋体" w:cs="宋体"/>
          <w:kern w:val="0"/>
          <w:sz w:val="24"/>
        </w:rPr>
        <w:t>职负责人，在服务期内不可更换。项目成员如有变化，需提前一个月通知采购人。</w:t>
      </w:r>
    </w:p>
    <w:p w14:paraId="209F7886">
      <w:pPr>
        <w:keepNext/>
        <w:keepLines/>
        <w:numPr>
          <w:ilvl w:val="0"/>
          <w:numId w:val="1"/>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商务要求</w:t>
      </w:r>
    </w:p>
    <w:p w14:paraId="1ABCEF76">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服务地点</w:t>
      </w:r>
    </w:p>
    <w:p w14:paraId="57291D2D">
      <w:pPr>
        <w:spacing w:line="360" w:lineRule="auto"/>
        <w:ind w:firstLine="480"/>
        <w:rPr>
          <w:rFonts w:hint="eastAsia" w:ascii="宋体" w:hAnsi="宋体" w:cs="宋体"/>
          <w:sz w:val="24"/>
        </w:rPr>
      </w:pPr>
      <w:r>
        <w:rPr>
          <w:rFonts w:hint="eastAsia" w:ascii="宋体" w:hAnsi="宋体" w:cs="宋体"/>
          <w:sz w:val="24"/>
        </w:rPr>
        <w:t>北京市政务云机房。</w:t>
      </w:r>
    </w:p>
    <w:p w14:paraId="2506CE3D">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服务期限</w:t>
      </w:r>
    </w:p>
    <w:p w14:paraId="7360C3EC">
      <w:pPr>
        <w:spacing w:line="360" w:lineRule="auto"/>
        <w:ind w:firstLine="480"/>
        <w:rPr>
          <w:rFonts w:hint="eastAsia" w:ascii="宋体" w:hAnsi="宋体" w:cs="宋体"/>
          <w:sz w:val="24"/>
        </w:rPr>
      </w:pPr>
      <w:r>
        <w:rPr>
          <w:rFonts w:hint="eastAsia" w:ascii="宋体" w:hAnsi="宋体" w:cs="宋体"/>
          <w:sz w:val="24"/>
        </w:rPr>
        <w:t>自合同签订之日起12个月。</w:t>
      </w:r>
    </w:p>
    <w:p w14:paraId="70F828BE">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验收服务标准</w:t>
      </w:r>
    </w:p>
    <w:p w14:paraId="68070E1D">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服务绩效指标</w:t>
      </w:r>
    </w:p>
    <w:p w14:paraId="2ED722E8">
      <w:pPr>
        <w:spacing w:line="360" w:lineRule="auto"/>
        <w:ind w:firstLine="480"/>
        <w:rPr>
          <w:rFonts w:hint="eastAsia" w:ascii="宋体" w:hAnsi="宋体" w:cs="宋体"/>
          <w:sz w:val="24"/>
        </w:rPr>
      </w:pPr>
      <w:r>
        <w:rPr>
          <w:rFonts w:hint="eastAsia" w:ascii="宋体" w:hAnsi="宋体" w:cs="宋体"/>
          <w:sz w:val="24"/>
        </w:rPr>
        <w:t>（1）云服务全年整体可用性≥99.9%；</w:t>
      </w:r>
    </w:p>
    <w:p w14:paraId="09CE85C0">
      <w:pPr>
        <w:spacing w:line="360" w:lineRule="auto"/>
        <w:ind w:firstLine="480"/>
        <w:rPr>
          <w:rFonts w:hint="eastAsia" w:ascii="宋体" w:hAnsi="宋体" w:cs="宋体"/>
          <w:sz w:val="24"/>
        </w:rPr>
      </w:pPr>
      <w:r>
        <w:rPr>
          <w:rFonts w:hint="eastAsia" w:ascii="宋体" w:hAnsi="宋体" w:cs="宋体"/>
          <w:sz w:val="24"/>
        </w:rPr>
        <w:t>（2）故障响应率100%；</w:t>
      </w:r>
    </w:p>
    <w:p w14:paraId="4BE6808B">
      <w:pPr>
        <w:spacing w:line="360" w:lineRule="auto"/>
        <w:ind w:firstLine="480"/>
        <w:rPr>
          <w:rFonts w:hint="eastAsia" w:ascii="宋体" w:hAnsi="宋体" w:cs="宋体"/>
          <w:sz w:val="24"/>
        </w:rPr>
      </w:pPr>
      <w:r>
        <w:rPr>
          <w:rFonts w:hint="eastAsia" w:ascii="宋体" w:hAnsi="宋体" w:cs="宋体"/>
          <w:sz w:val="24"/>
        </w:rPr>
        <w:t>（3）应急响应时间≤5分钟（重大事件1分钟内响应）。</w:t>
      </w:r>
    </w:p>
    <w:p w14:paraId="0DC56FB3">
      <w:pPr>
        <w:keepNext/>
        <w:keepLines/>
        <w:numPr>
          <w:ilvl w:val="2"/>
          <w:numId w:val="1"/>
        </w:numPr>
        <w:spacing w:before="260" w:after="260" w:line="360" w:lineRule="auto"/>
        <w:ind w:firstLine="482"/>
        <w:outlineLvl w:val="2"/>
        <w:rPr>
          <w:rFonts w:hint="eastAsia" w:ascii="宋体" w:hAnsi="宋体" w:cs="宋体"/>
          <w:b/>
          <w:sz w:val="24"/>
        </w:rPr>
      </w:pPr>
      <w:r>
        <w:rPr>
          <w:rFonts w:hint="eastAsia" w:ascii="宋体" w:hAnsi="宋体" w:cs="宋体"/>
          <w:b/>
          <w:sz w:val="24"/>
        </w:rPr>
        <w:t>项目验收要求</w:t>
      </w:r>
    </w:p>
    <w:p w14:paraId="206B2F06">
      <w:pPr>
        <w:spacing w:line="360" w:lineRule="auto"/>
        <w:ind w:firstLine="480"/>
        <w:rPr>
          <w:rFonts w:hint="eastAsia" w:ascii="宋体" w:hAnsi="宋体" w:cs="宋体"/>
          <w:sz w:val="24"/>
        </w:rPr>
      </w:pPr>
      <w:r>
        <w:rPr>
          <w:rFonts w:hint="eastAsia" w:ascii="宋体" w:hAnsi="宋体" w:cs="宋体"/>
          <w:sz w:val="24"/>
        </w:rPr>
        <w:t>投标人所提供的北京市市级政务云基础资源服务应遵循客观、科学、合理的原则，符合《北京市市级政务云管理办法》的相关标准及要求。</w:t>
      </w:r>
    </w:p>
    <w:p w14:paraId="6EC15BDB">
      <w:pPr>
        <w:spacing w:line="360" w:lineRule="auto"/>
        <w:ind w:firstLine="480"/>
        <w:rPr>
          <w:rFonts w:hint="eastAsia" w:ascii="宋体" w:hAnsi="宋体" w:cs="宋体"/>
          <w:sz w:val="24"/>
        </w:rPr>
      </w:pPr>
      <w:r>
        <w:rPr>
          <w:rFonts w:hint="eastAsia" w:ascii="宋体" w:hAnsi="宋体" w:cs="宋体"/>
          <w:sz w:val="24"/>
        </w:rPr>
        <w:t>投标人所提供资源应满足采购文件规定的要求。保证合同期内系统安全稳定运行，不因硬件故障导致服务中断4小时及以上。</w:t>
      </w:r>
    </w:p>
    <w:p w14:paraId="2D8A28D9">
      <w:pPr>
        <w:spacing w:line="360" w:lineRule="auto"/>
        <w:ind w:firstLine="480"/>
        <w:rPr>
          <w:rFonts w:hint="eastAsia" w:ascii="宋体" w:hAnsi="宋体" w:cs="宋体"/>
          <w:color w:val="000000"/>
          <w:sz w:val="24"/>
        </w:rPr>
      </w:pPr>
      <w:r>
        <w:rPr>
          <w:rFonts w:hint="eastAsia" w:ascii="宋体" w:hAnsi="宋体" w:cs="宋体"/>
          <w:color w:val="000000"/>
          <w:sz w:val="24"/>
        </w:rPr>
        <w:t>投标人应于合同履约期满6个月后【10】日内向采购人提出中期验收申请，采购人应于收到投标人验收申请后7个工作日内对投标人服务进行中期验收。</w:t>
      </w:r>
    </w:p>
    <w:p w14:paraId="35CF82FA">
      <w:pPr>
        <w:spacing w:line="360" w:lineRule="auto"/>
        <w:ind w:firstLine="480"/>
        <w:rPr>
          <w:rFonts w:hint="eastAsia" w:ascii="宋体" w:hAnsi="宋体" w:cs="宋体"/>
          <w:color w:val="000000"/>
          <w:sz w:val="24"/>
        </w:rPr>
      </w:pPr>
      <w:r>
        <w:rPr>
          <w:rFonts w:hint="eastAsia" w:ascii="宋体" w:hAnsi="宋体" w:cs="宋体"/>
          <w:color w:val="000000"/>
          <w:sz w:val="24"/>
        </w:rPr>
        <w:t>投标人应于合同履约期满10个月后【10】日内向采购人提出终验申请，采购人应于收到投标人验收申请后7个工作日内对投标人服务进行终验。采购人在具备验收条件后7个工作日内未验收也未提出异议的视为完成验收。</w:t>
      </w:r>
    </w:p>
    <w:p w14:paraId="1A0C234C">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投标人应在验收前向采购人提供详细验收申请、验收计划、验收方案、总结报告等材料，应当接受采购人或采购人聘请的专家对其工作成果进行的质量评审。</w:t>
      </w:r>
    </w:p>
    <w:p w14:paraId="0C397EFA">
      <w:pPr>
        <w:keepNext/>
        <w:keepLines/>
        <w:numPr>
          <w:ilvl w:val="1"/>
          <w:numId w:val="1"/>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支付方式及条件</w:t>
      </w:r>
    </w:p>
    <w:p w14:paraId="6302E941">
      <w:pPr>
        <w:adjustRightInd w:val="0"/>
        <w:snapToGrid w:val="0"/>
        <w:spacing w:line="360" w:lineRule="auto"/>
        <w:ind w:firstLine="480"/>
        <w:textAlignment w:val="baseline"/>
        <w:rPr>
          <w:rFonts w:hint="eastAsia"/>
        </w:rPr>
      </w:pPr>
      <w:r>
        <w:rPr>
          <w:rFonts w:hint="eastAsia" w:ascii="宋体" w:hAnsi="宋体" w:eastAsia="宋体" w:cs="宋体"/>
          <w:kern w:val="0"/>
          <w:sz w:val="24"/>
        </w:rPr>
        <w:t>本项目服务期为12个月，每月服务费单价为合同总价款除以服务月数。2025年度累计支付10个月的服务费，具体支付方式为：本合同生效后7个工作日内，</w:t>
      </w:r>
      <w:r>
        <w:rPr>
          <w:rFonts w:hint="eastAsia" w:ascii="宋体" w:hAnsi="宋体" w:eastAsia="宋体" w:cs="宋体"/>
          <w:kern w:val="0"/>
          <w:sz w:val="24"/>
          <w:lang w:val="en-US" w:eastAsia="zh-CN"/>
        </w:rPr>
        <w:t>采购人</w:t>
      </w:r>
      <w:r>
        <w:rPr>
          <w:rFonts w:hint="eastAsia" w:ascii="宋体" w:hAnsi="宋体" w:eastAsia="宋体" w:cs="宋体"/>
          <w:kern w:val="0"/>
          <w:sz w:val="24"/>
        </w:rPr>
        <w:t>支付</w:t>
      </w:r>
      <w:r>
        <w:rPr>
          <w:rFonts w:hint="eastAsia" w:ascii="宋体" w:hAnsi="宋体" w:eastAsia="宋体" w:cs="宋体"/>
          <w:kern w:val="0"/>
          <w:sz w:val="24"/>
          <w:lang w:val="en-US" w:eastAsia="zh-CN"/>
        </w:rPr>
        <w:t>中标人</w:t>
      </w:r>
      <w:r>
        <w:rPr>
          <w:rFonts w:hint="eastAsia" w:ascii="宋体" w:hAnsi="宋体" w:eastAsia="宋体" w:cs="宋体"/>
          <w:kern w:val="0"/>
          <w:sz w:val="24"/>
        </w:rPr>
        <w:t>首笔10个服务月数的合同价款</w:t>
      </w:r>
      <w:r>
        <w:rPr>
          <w:rFonts w:hint="eastAsia" w:ascii="宋体" w:hAnsi="宋体" w:eastAsia="宋体" w:cs="宋体"/>
          <w:kern w:val="0"/>
          <w:sz w:val="24"/>
          <w:lang w:eastAsia="zh-CN"/>
        </w:rPr>
        <w:t>。</w:t>
      </w:r>
      <w:r>
        <w:rPr>
          <w:rFonts w:hint="eastAsia" w:ascii="宋体" w:hAnsi="宋体" w:eastAsia="宋体" w:cs="宋体"/>
          <w:kern w:val="0"/>
          <w:sz w:val="24"/>
        </w:rPr>
        <w:t>项目执行期满，经</w:t>
      </w:r>
      <w:r>
        <w:rPr>
          <w:rFonts w:hint="eastAsia" w:ascii="宋体" w:hAnsi="宋体" w:eastAsia="宋体" w:cs="宋体"/>
          <w:kern w:val="0"/>
          <w:sz w:val="24"/>
          <w:lang w:val="en-US" w:eastAsia="zh-CN"/>
        </w:rPr>
        <w:t>采购人</w:t>
      </w:r>
      <w:r>
        <w:rPr>
          <w:rFonts w:hint="eastAsia" w:ascii="宋体" w:hAnsi="宋体" w:eastAsia="宋体" w:cs="宋体"/>
          <w:kern w:val="0"/>
          <w:sz w:val="24"/>
        </w:rPr>
        <w:t>验收合格且</w:t>
      </w:r>
      <w:r>
        <w:rPr>
          <w:rFonts w:hint="eastAsia" w:ascii="宋体" w:hAnsi="宋体" w:eastAsia="宋体" w:cs="宋体"/>
          <w:kern w:val="0"/>
          <w:sz w:val="24"/>
          <w:lang w:val="en-US" w:eastAsia="zh-CN"/>
        </w:rPr>
        <w:t>中标人</w:t>
      </w:r>
      <w:r>
        <w:rPr>
          <w:rFonts w:hint="eastAsia" w:ascii="宋体" w:hAnsi="宋体" w:eastAsia="宋体" w:cs="宋体"/>
          <w:kern w:val="0"/>
          <w:sz w:val="24"/>
        </w:rPr>
        <w:t>不存在违约情形的，</w:t>
      </w:r>
      <w:r>
        <w:rPr>
          <w:rFonts w:hint="eastAsia" w:ascii="宋体" w:hAnsi="宋体" w:eastAsia="宋体" w:cs="宋体"/>
          <w:kern w:val="0"/>
          <w:sz w:val="24"/>
          <w:lang w:val="en-US" w:eastAsia="zh-CN"/>
        </w:rPr>
        <w:t>采购人</w:t>
      </w:r>
      <w:r>
        <w:rPr>
          <w:rFonts w:hint="eastAsia" w:ascii="宋体" w:hAnsi="宋体" w:eastAsia="宋体" w:cs="宋体"/>
          <w:kern w:val="0"/>
          <w:sz w:val="24"/>
        </w:rPr>
        <w:t>支付</w:t>
      </w:r>
      <w:r>
        <w:rPr>
          <w:rFonts w:hint="eastAsia" w:ascii="宋体" w:hAnsi="宋体" w:eastAsia="宋体" w:cs="宋体"/>
          <w:kern w:val="0"/>
          <w:sz w:val="24"/>
          <w:lang w:val="en-US" w:eastAsia="zh-CN"/>
        </w:rPr>
        <w:t>中标人</w:t>
      </w:r>
      <w:r>
        <w:rPr>
          <w:rFonts w:hint="eastAsia" w:ascii="宋体" w:hAnsi="宋体" w:eastAsia="宋体" w:cs="宋体"/>
          <w:kern w:val="0"/>
          <w:sz w:val="24"/>
        </w:rPr>
        <w:t>剩余2个服务月数的合同价款</w:t>
      </w:r>
      <w:r>
        <w:rPr>
          <w:rFonts w:hint="eastAsia" w:ascii="宋体" w:hAnsi="宋体" w:eastAsia="宋体" w:cs="宋体"/>
          <w:kern w:val="0"/>
          <w:sz w:val="24"/>
          <w:lang w:eastAsia="zh-CN"/>
        </w:rPr>
        <w:t>。</w:t>
      </w:r>
    </w:p>
    <w:p w14:paraId="09DE6797">
      <w:pPr>
        <w:keepNext/>
        <w:keepLines/>
        <w:numPr>
          <w:ilvl w:val="0"/>
          <w:numId w:val="1"/>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知识产权和保密要求</w:t>
      </w:r>
    </w:p>
    <w:p w14:paraId="16250C58">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投标人应确保本项目所提交成果无知识产权纠纷，项目成果的知识产权属于</w:t>
      </w:r>
      <w:r>
        <w:rPr>
          <w:rFonts w:hint="eastAsia" w:ascii="宋体" w:hAnsi="宋体" w:cs="宋体"/>
          <w:kern w:val="0"/>
          <w:sz w:val="24"/>
          <w:lang w:eastAsia="zh-CN"/>
        </w:rPr>
        <w:t>采购人。</w:t>
      </w:r>
    </w:p>
    <w:p w14:paraId="532A2E68">
      <w:pPr>
        <w:adjustRightInd w:val="0"/>
        <w:snapToGrid w:val="0"/>
        <w:spacing w:line="360" w:lineRule="auto"/>
        <w:ind w:firstLine="480"/>
        <w:textAlignment w:val="baseline"/>
        <w:rPr>
          <w:rFonts w:hint="eastAsia" w:ascii="宋体" w:hAnsi="宋体" w:cs="宋体"/>
          <w:szCs w:val="24"/>
        </w:rPr>
      </w:pPr>
      <w:r>
        <w:rPr>
          <w:rFonts w:hint="eastAsia" w:ascii="宋体" w:hAnsi="宋体" w:cs="宋体"/>
          <w:kern w:val="0"/>
          <w:sz w:val="24"/>
        </w:rPr>
        <w:t>在签订和履行合同过程中从采购人处获知的技术和商业秘密，无论在合同期限内还是合同终止后，均应遵守国家有关版权、专利、商标等知识产权方面的法律规定，尊重</w:t>
      </w:r>
      <w:r>
        <w:rPr>
          <w:rFonts w:hint="eastAsia" w:ascii="宋体" w:hAnsi="宋体" w:cs="宋体"/>
          <w:kern w:val="0"/>
          <w:sz w:val="24"/>
          <w:lang w:eastAsia="zh-CN"/>
        </w:rPr>
        <w:t>采购人</w:t>
      </w:r>
      <w:r>
        <w:rPr>
          <w:rFonts w:hint="eastAsia" w:ascii="宋体" w:hAnsi="宋体" w:cs="宋体"/>
          <w:kern w:val="0"/>
          <w:sz w:val="24"/>
        </w:rPr>
        <w:t>的知识产权，对所知悉的采购人的技术秘密和商业秘密负有保密责任。未经采购人事先书面授权，不得以任何方式向任何其他组织或个人泄露、转让、许可使用、交换、赠与或与任何其他组织或个人共同使用或不正当使用（依据国家或上级部门指示所做的赠送除外）。违反本条规定给对方造成损失的，违约方应负相关的法律责任。</w:t>
      </w:r>
    </w:p>
    <w:p w14:paraId="49C26558">
      <w:pPr>
        <w:pStyle w:val="5"/>
        <w:ind w:firstLine="480"/>
        <w:rPr>
          <w:rFonts w:hint="eastAsia" w:ascii="宋体" w:hAnsi="宋体" w:cs="宋体"/>
          <w:szCs w:val="24"/>
        </w:rPr>
      </w:pPr>
    </w:p>
    <w:p w14:paraId="378F9B8C">
      <w:pPr>
        <w:pStyle w:val="5"/>
        <w:ind w:firstLine="480"/>
        <w:rPr>
          <w:rFonts w:hint="eastAsia" w:ascii="宋体" w:hAnsi="宋体" w:cs="宋体"/>
          <w:szCs w:val="24"/>
        </w:rPr>
      </w:pPr>
    </w:p>
    <w:p w14:paraId="0AE4E141">
      <w:pPr>
        <w:pStyle w:val="5"/>
        <w:ind w:firstLine="480"/>
        <w:rPr>
          <w:rFonts w:hint="eastAsia" w:ascii="宋体" w:hAnsi="宋体" w:cs="宋体"/>
          <w:szCs w:val="24"/>
        </w:rPr>
      </w:pPr>
    </w:p>
    <w:p w14:paraId="655A3A88">
      <w:pPr>
        <w:pStyle w:val="5"/>
        <w:ind w:firstLine="480"/>
        <w:rPr>
          <w:rFonts w:hint="eastAsia" w:ascii="宋体" w:hAnsi="宋体" w:cs="宋体"/>
          <w:szCs w:val="24"/>
        </w:rPr>
      </w:pPr>
    </w:p>
    <w:p w14:paraId="244463FB">
      <w:pPr>
        <w:spacing w:line="360" w:lineRule="auto"/>
        <w:outlineLvl w:val="0"/>
        <w:rPr>
          <w:rFonts w:hint="eastAsia" w:ascii="宋体" w:hAnsi="宋体" w:cs="宋体"/>
          <w:b/>
          <w:sz w:val="24"/>
        </w:rPr>
      </w:pPr>
    </w:p>
    <w:p w14:paraId="197882B0">
      <w:pPr>
        <w:spacing w:line="360" w:lineRule="auto"/>
        <w:jc w:val="center"/>
        <w:outlineLvl w:val="0"/>
        <w:rPr>
          <w:rFonts w:hint="eastAsia" w:ascii="宋体" w:hAnsi="宋体" w:cs="宋体"/>
          <w:b/>
          <w:sz w:val="24"/>
        </w:rPr>
        <w:sectPr>
          <w:pgSz w:w="11907" w:h="16840"/>
          <w:pgMar w:top="1418" w:right="1134" w:bottom="1418" w:left="1701" w:header="851" w:footer="851" w:gutter="0"/>
          <w:cols w:space="720" w:num="1"/>
          <w:docGrid w:linePitch="462" w:charSpace="0"/>
        </w:sectPr>
      </w:pPr>
    </w:p>
    <w:p w14:paraId="520D545D">
      <w:pPr>
        <w:spacing w:line="360" w:lineRule="auto"/>
        <w:jc w:val="center"/>
        <w:outlineLvl w:val="0"/>
        <w:rPr>
          <w:rFonts w:hint="eastAsia" w:ascii="宋体" w:hAnsi="宋体" w:cs="宋体"/>
          <w:b/>
          <w:sz w:val="24"/>
        </w:rPr>
      </w:pPr>
      <w:r>
        <w:rPr>
          <w:rFonts w:hint="eastAsia" w:ascii="宋体" w:hAnsi="宋体" w:cs="宋体"/>
          <w:bCs/>
          <w:sz w:val="24"/>
        </w:rPr>
        <w:t>北京市司法局2025年政务云租赁服务项目（第二包：综合日常业务系统）</w:t>
      </w:r>
    </w:p>
    <w:p w14:paraId="0D5C8307">
      <w:pPr>
        <w:keepNext/>
        <w:keepLines/>
        <w:numPr>
          <w:ilvl w:val="0"/>
          <w:numId w:val="2"/>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项目背景</w:t>
      </w:r>
    </w:p>
    <w:p w14:paraId="1CE881E4">
      <w:pPr>
        <w:spacing w:after="120" w:line="360" w:lineRule="auto"/>
        <w:ind w:firstLine="480" w:firstLineChars="200"/>
        <w:rPr>
          <w:b/>
          <w:sz w:val="24"/>
        </w:rPr>
      </w:pPr>
      <w:r>
        <w:rPr>
          <w:rFonts w:hint="eastAsia"/>
          <w:sz w:val="24"/>
        </w:rPr>
        <w:t>北京市司法局拟租赁北京市级政务云服务，为综合财务信息系统、队伍管理、人民陪审员造任管理系统、信访管理系统、新政府会计制度下内控管理信息系统租赁政务云基</w:t>
      </w:r>
      <w:r>
        <w:rPr>
          <w:rFonts w:hint="eastAsia" w:ascii="宋体" w:hAnsi="宋体" w:cs="宋体"/>
          <w:sz w:val="24"/>
        </w:rPr>
        <w:t>础和扩展服务，服务项包含计算服务（X86平台云主机服务、X86物理服务器租赁服务）、存储服务（高性能存储）、网络服务（远程接入服务、VPN服务）。</w:t>
      </w:r>
    </w:p>
    <w:p w14:paraId="6ECE6EB4">
      <w:pPr>
        <w:keepNext/>
        <w:keepLines/>
        <w:numPr>
          <w:ilvl w:val="0"/>
          <w:numId w:val="2"/>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技术参数要求</w:t>
      </w:r>
    </w:p>
    <w:p w14:paraId="247BC880">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政务云基础服务</w:t>
      </w:r>
    </w:p>
    <w:tbl>
      <w:tblPr>
        <w:tblStyle w:val="6"/>
        <w:tblW w:w="8878" w:type="dxa"/>
        <w:tblInd w:w="0" w:type="dxa"/>
        <w:tblLayout w:type="fixed"/>
        <w:tblCellMar>
          <w:top w:w="0" w:type="dxa"/>
          <w:left w:w="108" w:type="dxa"/>
          <w:bottom w:w="0" w:type="dxa"/>
          <w:right w:w="108" w:type="dxa"/>
        </w:tblCellMar>
      </w:tblPr>
      <w:tblGrid>
        <w:gridCol w:w="498"/>
        <w:gridCol w:w="757"/>
        <w:gridCol w:w="1233"/>
        <w:gridCol w:w="3362"/>
        <w:gridCol w:w="782"/>
        <w:gridCol w:w="746"/>
        <w:gridCol w:w="701"/>
        <w:gridCol w:w="799"/>
      </w:tblGrid>
      <w:tr w14:paraId="330E79EE">
        <w:tblPrEx>
          <w:tblCellMar>
            <w:top w:w="0" w:type="dxa"/>
            <w:left w:w="108" w:type="dxa"/>
            <w:bottom w:w="0" w:type="dxa"/>
            <w:right w:w="108" w:type="dxa"/>
          </w:tblCellMar>
        </w:tblPrEx>
        <w:trPr>
          <w:trHeight w:val="620" w:hRule="atLeast"/>
        </w:trPr>
        <w:tc>
          <w:tcPr>
            <w:tcW w:w="498" w:type="dxa"/>
            <w:tcBorders>
              <w:top w:val="single" w:color="auto" w:sz="4" w:space="0"/>
              <w:left w:val="single" w:color="auto" w:sz="4" w:space="0"/>
              <w:bottom w:val="single" w:color="000000" w:sz="4" w:space="0"/>
              <w:right w:val="single" w:color="000000" w:sz="4" w:space="0"/>
            </w:tcBorders>
            <w:noWrap w:val="0"/>
            <w:vAlign w:val="center"/>
          </w:tcPr>
          <w:p w14:paraId="1B08F7B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757" w:type="dxa"/>
            <w:tcBorders>
              <w:top w:val="single" w:color="auto" w:sz="4" w:space="0"/>
              <w:left w:val="single" w:color="000000" w:sz="4" w:space="0"/>
              <w:bottom w:val="single" w:color="000000" w:sz="4" w:space="0"/>
              <w:right w:val="single" w:color="000000" w:sz="4" w:space="0"/>
            </w:tcBorders>
            <w:noWrap w:val="0"/>
            <w:vAlign w:val="center"/>
          </w:tcPr>
          <w:p w14:paraId="58B7A6F1">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服务类别</w:t>
            </w:r>
          </w:p>
        </w:tc>
        <w:tc>
          <w:tcPr>
            <w:tcW w:w="1233" w:type="dxa"/>
            <w:tcBorders>
              <w:top w:val="single" w:color="auto" w:sz="4" w:space="0"/>
              <w:left w:val="single" w:color="000000" w:sz="4" w:space="0"/>
              <w:bottom w:val="single" w:color="000000" w:sz="4" w:space="0"/>
              <w:right w:val="single" w:color="000000" w:sz="4" w:space="0"/>
            </w:tcBorders>
            <w:noWrap w:val="0"/>
            <w:vAlign w:val="center"/>
          </w:tcPr>
          <w:p w14:paraId="67370D4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服务子类</w:t>
            </w:r>
          </w:p>
        </w:tc>
        <w:tc>
          <w:tcPr>
            <w:tcW w:w="3362" w:type="dxa"/>
            <w:tcBorders>
              <w:top w:val="single" w:color="auto" w:sz="4" w:space="0"/>
              <w:left w:val="single" w:color="000000" w:sz="4" w:space="0"/>
              <w:bottom w:val="single" w:color="000000" w:sz="4" w:space="0"/>
              <w:right w:val="single" w:color="000000" w:sz="4" w:space="0"/>
            </w:tcBorders>
            <w:noWrap w:val="0"/>
            <w:vAlign w:val="center"/>
          </w:tcPr>
          <w:p w14:paraId="5050C93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服务项</w:t>
            </w:r>
          </w:p>
        </w:tc>
        <w:tc>
          <w:tcPr>
            <w:tcW w:w="782" w:type="dxa"/>
            <w:tcBorders>
              <w:top w:val="single" w:color="auto" w:sz="4" w:space="0"/>
              <w:left w:val="single" w:color="000000" w:sz="4" w:space="0"/>
              <w:bottom w:val="single" w:color="000000" w:sz="4" w:space="0"/>
              <w:right w:val="single" w:color="000000" w:sz="4" w:space="0"/>
            </w:tcBorders>
            <w:noWrap w:val="0"/>
            <w:vAlign w:val="center"/>
          </w:tcPr>
          <w:p w14:paraId="03CF838B">
            <w:pPr>
              <w:widowControl/>
              <w:jc w:val="center"/>
              <w:textAlignment w:val="center"/>
              <w:rPr>
                <w:rFonts w:ascii="宋体" w:hAnsi="宋体" w:cs="宋体"/>
                <w:b/>
                <w:bCs/>
                <w:color w:val="000000"/>
                <w:sz w:val="24"/>
              </w:rPr>
            </w:pPr>
            <w:r>
              <w:rPr>
                <w:rFonts w:hint="eastAsia" w:ascii="宋体" w:hAnsi="宋体" w:cs="宋体"/>
                <w:b/>
                <w:bCs/>
                <w:color w:val="000000"/>
                <w:sz w:val="24"/>
              </w:rPr>
              <w:t>计价单位</w:t>
            </w:r>
          </w:p>
        </w:tc>
        <w:tc>
          <w:tcPr>
            <w:tcW w:w="746" w:type="dxa"/>
            <w:tcBorders>
              <w:top w:val="single" w:color="auto" w:sz="4" w:space="0"/>
              <w:left w:val="single" w:color="000000" w:sz="4" w:space="0"/>
              <w:bottom w:val="single" w:color="000000" w:sz="4" w:space="0"/>
              <w:right w:val="single" w:color="000000" w:sz="4" w:space="0"/>
            </w:tcBorders>
            <w:noWrap w:val="0"/>
            <w:vAlign w:val="center"/>
          </w:tcPr>
          <w:p w14:paraId="28E45E3A">
            <w:pPr>
              <w:widowControl/>
              <w:jc w:val="center"/>
              <w:textAlignment w:val="center"/>
              <w:rPr>
                <w:rFonts w:ascii="宋体" w:hAnsi="宋体" w:cs="宋体"/>
                <w:b/>
                <w:bCs/>
                <w:color w:val="000000"/>
                <w:sz w:val="24"/>
              </w:rPr>
            </w:pPr>
            <w:r>
              <w:rPr>
                <w:rFonts w:hint="eastAsia" w:ascii="宋体" w:hAnsi="宋体" w:cs="宋体"/>
                <w:b/>
                <w:bCs/>
                <w:color w:val="000000"/>
                <w:sz w:val="24"/>
              </w:rPr>
              <w:t>报价单位</w:t>
            </w:r>
          </w:p>
        </w:tc>
        <w:tc>
          <w:tcPr>
            <w:tcW w:w="701" w:type="dxa"/>
            <w:tcBorders>
              <w:top w:val="single" w:color="auto" w:sz="4" w:space="0"/>
              <w:left w:val="single" w:color="000000" w:sz="4" w:space="0"/>
              <w:bottom w:val="single" w:color="000000" w:sz="4" w:space="0"/>
              <w:right w:val="single" w:color="000000" w:sz="4" w:space="0"/>
            </w:tcBorders>
            <w:noWrap/>
            <w:vAlign w:val="center"/>
          </w:tcPr>
          <w:p w14:paraId="4DD5D64D">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数量</w:t>
            </w:r>
          </w:p>
        </w:tc>
        <w:tc>
          <w:tcPr>
            <w:tcW w:w="799" w:type="dxa"/>
            <w:tcBorders>
              <w:top w:val="single" w:color="auto" w:sz="4" w:space="0"/>
              <w:left w:val="single" w:color="000000" w:sz="4" w:space="0"/>
              <w:bottom w:val="single" w:color="000000" w:sz="4" w:space="0"/>
              <w:right w:val="single" w:color="auto" w:sz="4" w:space="0"/>
            </w:tcBorders>
            <w:noWrap/>
            <w:vAlign w:val="center"/>
          </w:tcPr>
          <w:p w14:paraId="6C7F7210">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期限</w:t>
            </w:r>
          </w:p>
        </w:tc>
      </w:tr>
      <w:tr w14:paraId="4AAA4842">
        <w:tblPrEx>
          <w:tblCellMar>
            <w:top w:w="0" w:type="dxa"/>
            <w:left w:w="108" w:type="dxa"/>
            <w:bottom w:w="0" w:type="dxa"/>
            <w:right w:w="108" w:type="dxa"/>
          </w:tblCellMar>
        </w:tblPrEx>
        <w:trPr>
          <w:trHeight w:val="620" w:hRule="atLeast"/>
        </w:trPr>
        <w:tc>
          <w:tcPr>
            <w:tcW w:w="498" w:type="dxa"/>
            <w:vMerge w:val="restart"/>
            <w:tcBorders>
              <w:top w:val="nil"/>
              <w:left w:val="single" w:color="auto" w:sz="4" w:space="0"/>
              <w:right w:val="single" w:color="000000" w:sz="4" w:space="0"/>
            </w:tcBorders>
            <w:noWrap w:val="0"/>
            <w:vAlign w:val="center"/>
          </w:tcPr>
          <w:p w14:paraId="0F986F79">
            <w:pPr>
              <w:jc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757" w:type="dxa"/>
            <w:vMerge w:val="restart"/>
            <w:tcBorders>
              <w:top w:val="nil"/>
              <w:left w:val="single" w:color="000000" w:sz="4" w:space="0"/>
              <w:right w:val="single" w:color="000000" w:sz="4" w:space="0"/>
            </w:tcBorders>
            <w:noWrap w:val="0"/>
            <w:vAlign w:val="center"/>
          </w:tcPr>
          <w:p w14:paraId="53F076F3">
            <w:pPr>
              <w:jc w:val="center"/>
              <w:rPr>
                <w:rFonts w:ascii="宋体" w:hAnsi="宋体"/>
                <w:color w:val="000000"/>
                <w:sz w:val="24"/>
              </w:rPr>
            </w:pPr>
            <w:r>
              <w:rPr>
                <w:rFonts w:hint="eastAsia" w:ascii="宋体" w:hAnsi="宋体" w:cs="宋体"/>
                <w:b/>
                <w:bCs/>
                <w:color w:val="000000"/>
                <w:kern w:val="0"/>
                <w:sz w:val="24"/>
                <w:lang w:bidi="ar"/>
              </w:rPr>
              <w:t>计算服务</w:t>
            </w:r>
          </w:p>
        </w:tc>
        <w:tc>
          <w:tcPr>
            <w:tcW w:w="1233" w:type="dxa"/>
            <w:vMerge w:val="restart"/>
            <w:tcBorders>
              <w:top w:val="nil"/>
              <w:left w:val="single" w:color="000000" w:sz="4" w:space="0"/>
              <w:right w:val="single" w:color="000000" w:sz="4" w:space="0"/>
            </w:tcBorders>
            <w:noWrap w:val="0"/>
            <w:vAlign w:val="center"/>
          </w:tcPr>
          <w:p w14:paraId="3472F8DB">
            <w:pPr>
              <w:jc w:val="center"/>
              <w:rPr>
                <w:rFonts w:ascii="宋体" w:hAnsi="宋体" w:cs="宋体"/>
                <w:color w:val="000000"/>
                <w:sz w:val="24"/>
              </w:rPr>
            </w:pPr>
            <w:r>
              <w:rPr>
                <w:rFonts w:hint="eastAsia" w:ascii="宋体" w:hAnsi="宋体"/>
                <w:color w:val="000000"/>
                <w:sz w:val="24"/>
              </w:rPr>
              <w:t>x86平台  云主机服务</w:t>
            </w:r>
          </w:p>
        </w:tc>
        <w:tc>
          <w:tcPr>
            <w:tcW w:w="3362" w:type="dxa"/>
            <w:tcBorders>
              <w:top w:val="nil"/>
              <w:left w:val="single" w:color="000000" w:sz="4" w:space="0"/>
              <w:bottom w:val="single" w:color="000000" w:sz="4" w:space="0"/>
              <w:right w:val="single" w:color="000000" w:sz="4" w:space="0"/>
            </w:tcBorders>
            <w:noWrap w:val="0"/>
            <w:vAlign w:val="top"/>
          </w:tcPr>
          <w:p w14:paraId="34654F3D">
            <w:pPr>
              <w:jc w:val="center"/>
              <w:rPr>
                <w:rFonts w:ascii="宋体" w:hAnsi="宋体" w:cs="宋体"/>
                <w:color w:val="000000"/>
                <w:sz w:val="24"/>
              </w:rPr>
            </w:pPr>
            <w:r>
              <w:rPr>
                <w:rFonts w:hint="eastAsia" w:ascii="宋体" w:hAnsi="宋体"/>
                <w:color w:val="000000"/>
                <w:sz w:val="24"/>
              </w:rPr>
              <w:t>vCPU（主频不低于2.4GHz）</w:t>
            </w:r>
          </w:p>
        </w:tc>
        <w:tc>
          <w:tcPr>
            <w:tcW w:w="782" w:type="dxa"/>
            <w:tcBorders>
              <w:top w:val="nil"/>
              <w:left w:val="single" w:color="000000" w:sz="4" w:space="0"/>
              <w:bottom w:val="single" w:color="000000" w:sz="4" w:space="0"/>
              <w:right w:val="single" w:color="000000" w:sz="4" w:space="0"/>
            </w:tcBorders>
            <w:noWrap w:val="0"/>
            <w:vAlign w:val="center"/>
          </w:tcPr>
          <w:p w14:paraId="054F1490">
            <w:pPr>
              <w:jc w:val="center"/>
              <w:rPr>
                <w:rFonts w:ascii="宋体" w:hAnsi="宋体" w:cs="宋体"/>
                <w:color w:val="000000"/>
                <w:sz w:val="24"/>
              </w:rPr>
            </w:pPr>
            <w:r>
              <w:rPr>
                <w:rFonts w:hint="eastAsia" w:ascii="宋体" w:hAnsi="宋体"/>
                <w:color w:val="000000"/>
                <w:sz w:val="24"/>
              </w:rPr>
              <w:t>1 CPU</w:t>
            </w:r>
          </w:p>
        </w:tc>
        <w:tc>
          <w:tcPr>
            <w:tcW w:w="746" w:type="dxa"/>
            <w:tcBorders>
              <w:top w:val="nil"/>
              <w:left w:val="single" w:color="000000" w:sz="4" w:space="0"/>
              <w:bottom w:val="single" w:color="000000" w:sz="4" w:space="0"/>
              <w:right w:val="single" w:color="000000" w:sz="4" w:space="0"/>
            </w:tcBorders>
            <w:noWrap w:val="0"/>
            <w:vAlign w:val="center"/>
          </w:tcPr>
          <w:p w14:paraId="2262866C">
            <w:pPr>
              <w:jc w:val="center"/>
              <w:rPr>
                <w:rFonts w:ascii="宋体" w:hAnsi="宋体" w:cs="宋体"/>
                <w:color w:val="000000"/>
                <w:sz w:val="24"/>
              </w:rPr>
            </w:pPr>
            <w:r>
              <w:rPr>
                <w:rFonts w:hint="eastAsia" w:ascii="宋体" w:hAnsi="宋体"/>
                <w:color w:val="000000"/>
                <w:sz w:val="24"/>
              </w:rPr>
              <w:t>元/月</w:t>
            </w:r>
          </w:p>
        </w:tc>
        <w:tc>
          <w:tcPr>
            <w:tcW w:w="701" w:type="dxa"/>
            <w:tcBorders>
              <w:top w:val="nil"/>
              <w:left w:val="single" w:color="000000" w:sz="4" w:space="0"/>
              <w:bottom w:val="single" w:color="000000" w:sz="4" w:space="0"/>
              <w:right w:val="single" w:color="000000" w:sz="4" w:space="0"/>
            </w:tcBorders>
            <w:noWrap w:val="0"/>
            <w:vAlign w:val="center"/>
          </w:tcPr>
          <w:p w14:paraId="58F7A70B">
            <w:pPr>
              <w:jc w:val="center"/>
              <w:rPr>
                <w:rFonts w:ascii="宋体" w:hAnsi="宋体" w:cs="宋体"/>
                <w:color w:val="000000"/>
                <w:sz w:val="24"/>
              </w:rPr>
            </w:pPr>
            <w:r>
              <w:rPr>
                <w:rFonts w:hint="eastAsia" w:ascii="宋体" w:hAnsi="宋体"/>
                <w:color w:val="000000"/>
                <w:sz w:val="24"/>
              </w:rPr>
              <w:t>60</w:t>
            </w:r>
          </w:p>
        </w:tc>
        <w:tc>
          <w:tcPr>
            <w:tcW w:w="799" w:type="dxa"/>
            <w:tcBorders>
              <w:top w:val="nil"/>
              <w:left w:val="single" w:color="000000" w:sz="4" w:space="0"/>
              <w:bottom w:val="single" w:color="000000" w:sz="4" w:space="0"/>
              <w:right w:val="single" w:color="auto" w:sz="4" w:space="0"/>
            </w:tcBorders>
            <w:noWrap w:val="0"/>
            <w:vAlign w:val="center"/>
          </w:tcPr>
          <w:p w14:paraId="590C60E4">
            <w:pPr>
              <w:jc w:val="center"/>
              <w:rPr>
                <w:rFonts w:ascii="宋体" w:hAnsi="宋体" w:cs="宋体"/>
                <w:color w:val="000000"/>
                <w:sz w:val="24"/>
              </w:rPr>
            </w:pPr>
            <w:r>
              <w:rPr>
                <w:rFonts w:hint="eastAsia" w:ascii="宋体" w:hAnsi="宋体"/>
                <w:color w:val="000000"/>
                <w:sz w:val="24"/>
              </w:rPr>
              <w:t>12</w:t>
            </w:r>
          </w:p>
        </w:tc>
      </w:tr>
      <w:tr w14:paraId="2F24D9F2">
        <w:tblPrEx>
          <w:tblCellMar>
            <w:top w:w="0" w:type="dxa"/>
            <w:left w:w="108" w:type="dxa"/>
            <w:bottom w:w="0" w:type="dxa"/>
            <w:right w:w="108" w:type="dxa"/>
          </w:tblCellMar>
        </w:tblPrEx>
        <w:trPr>
          <w:trHeight w:val="620" w:hRule="atLeast"/>
        </w:trPr>
        <w:tc>
          <w:tcPr>
            <w:tcW w:w="498" w:type="dxa"/>
            <w:vMerge w:val="continue"/>
            <w:tcBorders>
              <w:left w:val="single" w:color="auto" w:sz="4" w:space="0"/>
              <w:bottom w:val="single" w:color="000000" w:sz="4" w:space="0"/>
              <w:right w:val="single" w:color="000000" w:sz="4" w:space="0"/>
            </w:tcBorders>
            <w:noWrap w:val="0"/>
            <w:vAlign w:val="center"/>
          </w:tcPr>
          <w:p w14:paraId="59A43274">
            <w:pPr>
              <w:jc w:val="center"/>
              <w:rPr>
                <w:rFonts w:ascii="宋体" w:hAnsi="宋体" w:cs="宋体"/>
                <w:color w:val="000000"/>
                <w:sz w:val="24"/>
              </w:rPr>
            </w:pPr>
          </w:p>
        </w:tc>
        <w:tc>
          <w:tcPr>
            <w:tcW w:w="757" w:type="dxa"/>
            <w:vMerge w:val="continue"/>
            <w:tcBorders>
              <w:left w:val="single" w:color="000000" w:sz="4" w:space="0"/>
              <w:bottom w:val="single" w:color="000000" w:sz="4" w:space="0"/>
              <w:right w:val="single" w:color="000000" w:sz="4" w:space="0"/>
            </w:tcBorders>
            <w:noWrap w:val="0"/>
            <w:vAlign w:val="center"/>
          </w:tcPr>
          <w:p w14:paraId="563DC1F3">
            <w:pPr>
              <w:jc w:val="center"/>
              <w:rPr>
                <w:rFonts w:ascii="宋体" w:hAnsi="宋体" w:cs="宋体"/>
                <w:color w:val="000000"/>
                <w:sz w:val="24"/>
              </w:rPr>
            </w:pPr>
          </w:p>
        </w:tc>
        <w:tc>
          <w:tcPr>
            <w:tcW w:w="1233" w:type="dxa"/>
            <w:vMerge w:val="continue"/>
            <w:tcBorders>
              <w:left w:val="single" w:color="000000" w:sz="4" w:space="0"/>
              <w:bottom w:val="single" w:color="000000" w:sz="4" w:space="0"/>
              <w:right w:val="single" w:color="000000" w:sz="4" w:space="0"/>
            </w:tcBorders>
            <w:noWrap w:val="0"/>
            <w:vAlign w:val="center"/>
          </w:tcPr>
          <w:p w14:paraId="4539E0A4">
            <w:pPr>
              <w:jc w:val="center"/>
              <w:rPr>
                <w:rFonts w:ascii="宋体" w:hAnsi="宋体" w:cs="宋体"/>
                <w:color w:val="000000"/>
                <w:sz w:val="24"/>
              </w:rPr>
            </w:pPr>
          </w:p>
        </w:tc>
        <w:tc>
          <w:tcPr>
            <w:tcW w:w="3362" w:type="dxa"/>
            <w:tcBorders>
              <w:top w:val="single" w:color="000000" w:sz="4" w:space="0"/>
              <w:left w:val="single" w:color="000000" w:sz="4" w:space="0"/>
              <w:bottom w:val="single" w:color="000000" w:sz="4" w:space="0"/>
              <w:right w:val="single" w:color="000000" w:sz="4" w:space="0"/>
            </w:tcBorders>
            <w:noWrap w:val="0"/>
            <w:vAlign w:val="top"/>
          </w:tcPr>
          <w:p w14:paraId="759F9358">
            <w:pPr>
              <w:jc w:val="center"/>
              <w:rPr>
                <w:rFonts w:ascii="宋体" w:hAnsi="宋体" w:cs="宋体"/>
                <w:color w:val="000000"/>
                <w:sz w:val="24"/>
              </w:rPr>
            </w:pPr>
            <w:r>
              <w:rPr>
                <w:rFonts w:hint="eastAsia" w:ascii="宋体" w:hAnsi="宋体"/>
                <w:color w:val="000000"/>
                <w:sz w:val="24"/>
              </w:rPr>
              <w:t>内存</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232B6F2">
            <w:pPr>
              <w:jc w:val="center"/>
              <w:rPr>
                <w:rFonts w:ascii="宋体" w:hAnsi="宋体" w:cs="宋体"/>
                <w:color w:val="000000"/>
                <w:sz w:val="24"/>
              </w:rPr>
            </w:pPr>
            <w:r>
              <w:rPr>
                <w:rFonts w:hint="eastAsia" w:ascii="宋体" w:hAnsi="宋体"/>
                <w:color w:val="000000"/>
                <w:sz w:val="24"/>
              </w:rPr>
              <w:t>1 GB</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0058542">
            <w:pPr>
              <w:jc w:val="center"/>
              <w:rPr>
                <w:rFonts w:ascii="宋体" w:hAnsi="宋体" w:cs="宋体"/>
                <w:color w:val="000000"/>
                <w:sz w:val="24"/>
              </w:rPr>
            </w:pPr>
            <w:r>
              <w:rPr>
                <w:rFonts w:hint="eastAsia" w:ascii="宋体" w:hAnsi="宋体"/>
                <w:color w:val="000000"/>
                <w:sz w:val="24"/>
              </w:rPr>
              <w:t>元/月</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14:paraId="373F44F8">
            <w:pPr>
              <w:jc w:val="center"/>
              <w:rPr>
                <w:rFonts w:ascii="宋体" w:hAnsi="宋体" w:cs="宋体"/>
                <w:color w:val="000000"/>
                <w:sz w:val="24"/>
              </w:rPr>
            </w:pPr>
            <w:r>
              <w:rPr>
                <w:rFonts w:hint="eastAsia" w:ascii="宋体" w:hAnsi="宋体" w:cs="宋体"/>
                <w:color w:val="000000"/>
                <w:sz w:val="24"/>
              </w:rPr>
              <w:t>173</w:t>
            </w:r>
          </w:p>
        </w:tc>
        <w:tc>
          <w:tcPr>
            <w:tcW w:w="799" w:type="dxa"/>
            <w:tcBorders>
              <w:top w:val="nil"/>
              <w:left w:val="single" w:color="000000" w:sz="4" w:space="0"/>
              <w:bottom w:val="single" w:color="000000" w:sz="4" w:space="0"/>
              <w:right w:val="single" w:color="auto" w:sz="4" w:space="0"/>
            </w:tcBorders>
            <w:noWrap w:val="0"/>
            <w:vAlign w:val="center"/>
          </w:tcPr>
          <w:p w14:paraId="01313851">
            <w:pPr>
              <w:jc w:val="center"/>
              <w:rPr>
                <w:rFonts w:ascii="宋体" w:hAnsi="宋体" w:cs="宋体"/>
                <w:color w:val="000000"/>
                <w:sz w:val="24"/>
              </w:rPr>
            </w:pPr>
            <w:r>
              <w:rPr>
                <w:rFonts w:hint="eastAsia" w:ascii="宋体" w:hAnsi="宋体"/>
                <w:color w:val="000000"/>
                <w:sz w:val="24"/>
              </w:rPr>
              <w:t>12</w:t>
            </w:r>
          </w:p>
        </w:tc>
      </w:tr>
      <w:tr w14:paraId="1FC302BA">
        <w:tblPrEx>
          <w:tblCellMar>
            <w:top w:w="0" w:type="dxa"/>
            <w:left w:w="108" w:type="dxa"/>
            <w:bottom w:w="0" w:type="dxa"/>
            <w:right w:w="108" w:type="dxa"/>
          </w:tblCellMar>
        </w:tblPrEx>
        <w:trPr>
          <w:trHeight w:val="925" w:hRule="atLeast"/>
        </w:trPr>
        <w:tc>
          <w:tcPr>
            <w:tcW w:w="498" w:type="dxa"/>
            <w:tcBorders>
              <w:top w:val="single" w:color="000000" w:sz="4" w:space="0"/>
              <w:left w:val="single" w:color="auto" w:sz="4" w:space="0"/>
              <w:bottom w:val="single" w:color="000000" w:sz="4" w:space="0"/>
              <w:right w:val="single" w:color="000000" w:sz="4" w:space="0"/>
            </w:tcBorders>
            <w:noWrap w:val="0"/>
            <w:vAlign w:val="center"/>
          </w:tcPr>
          <w:p w14:paraId="4B7BE8A0">
            <w:pPr>
              <w:jc w:val="center"/>
              <w:rPr>
                <w:rFonts w:ascii="宋体" w:hAnsi="宋体" w:cs="宋体"/>
                <w:b/>
                <w:bCs/>
                <w:color w:val="000000"/>
                <w:kern w:val="0"/>
                <w:sz w:val="24"/>
                <w:lang w:bidi="ar"/>
              </w:rPr>
            </w:pPr>
            <w:r>
              <w:rPr>
                <w:rFonts w:hint="eastAsia" w:ascii="宋体" w:hAnsi="宋体" w:cs="宋体"/>
                <w:b/>
                <w:bCs/>
                <w:color w:val="000000"/>
                <w:kern w:val="0"/>
                <w:sz w:val="24"/>
                <w:lang w:bidi="ar"/>
              </w:rPr>
              <w:t>2</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86A0B02">
            <w:pPr>
              <w:jc w:val="center"/>
              <w:rPr>
                <w:rFonts w:ascii="宋体" w:hAnsi="宋体"/>
                <w:color w:val="000000"/>
                <w:sz w:val="24"/>
              </w:rPr>
            </w:pPr>
            <w:r>
              <w:rPr>
                <w:rFonts w:hint="eastAsia" w:ascii="宋体" w:hAnsi="宋体" w:cs="宋体"/>
                <w:b/>
                <w:bCs/>
                <w:color w:val="000000"/>
                <w:kern w:val="0"/>
                <w:sz w:val="24"/>
                <w:lang w:bidi="ar"/>
              </w:rPr>
              <w:t>存储服务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E520ED7">
            <w:pPr>
              <w:jc w:val="center"/>
              <w:rPr>
                <w:rFonts w:ascii="宋体" w:hAnsi="宋体" w:cs="宋体"/>
                <w:color w:val="000000"/>
                <w:sz w:val="24"/>
              </w:rPr>
            </w:pPr>
            <w:r>
              <w:rPr>
                <w:rFonts w:hint="eastAsia" w:ascii="宋体" w:hAnsi="宋体"/>
                <w:color w:val="000000"/>
                <w:sz w:val="24"/>
              </w:rPr>
              <w:t>高性能存储</w:t>
            </w:r>
          </w:p>
        </w:tc>
        <w:tc>
          <w:tcPr>
            <w:tcW w:w="3362" w:type="dxa"/>
            <w:tcBorders>
              <w:top w:val="single" w:color="000000" w:sz="4" w:space="0"/>
              <w:left w:val="single" w:color="000000" w:sz="4" w:space="0"/>
              <w:bottom w:val="single" w:color="000000" w:sz="4" w:space="0"/>
              <w:right w:val="single" w:color="000000" w:sz="4" w:space="0"/>
            </w:tcBorders>
            <w:noWrap w:val="0"/>
            <w:vAlign w:val="top"/>
          </w:tcPr>
          <w:p w14:paraId="1B19A895">
            <w:pPr>
              <w:jc w:val="center"/>
              <w:rPr>
                <w:rFonts w:ascii="宋体" w:hAnsi="宋体"/>
                <w:color w:val="000000"/>
                <w:sz w:val="24"/>
              </w:rPr>
            </w:pPr>
            <w:r>
              <w:rPr>
                <w:rFonts w:hint="eastAsia" w:ascii="宋体" w:hAnsi="宋体"/>
                <w:color w:val="000000"/>
                <w:sz w:val="24"/>
              </w:rPr>
              <w:t>高性能存储</w:t>
            </w:r>
          </w:p>
          <w:p w14:paraId="49BE47BF">
            <w:pPr>
              <w:jc w:val="center"/>
              <w:rPr>
                <w:rFonts w:ascii="宋体" w:hAnsi="宋体" w:cs="宋体"/>
                <w:color w:val="000000"/>
                <w:sz w:val="24"/>
              </w:rPr>
            </w:pPr>
            <w:r>
              <w:rPr>
                <w:rFonts w:hint="eastAsia" w:ascii="宋体" w:hAnsi="宋体"/>
                <w:color w:val="000000"/>
                <w:sz w:val="24"/>
              </w:rPr>
              <w:t>（单盘技术指标：单盘IOPS 3000-20000）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0205F42E">
            <w:pPr>
              <w:jc w:val="center"/>
              <w:rPr>
                <w:rFonts w:ascii="宋体" w:hAnsi="宋体" w:cs="宋体"/>
                <w:color w:val="000000"/>
                <w:sz w:val="24"/>
              </w:rPr>
            </w:pPr>
            <w:r>
              <w:rPr>
                <w:rFonts w:hint="eastAsia" w:ascii="宋体" w:hAnsi="宋体"/>
                <w:color w:val="000000"/>
                <w:sz w:val="24"/>
              </w:rPr>
              <w:t>1 GB</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5192A63">
            <w:pPr>
              <w:jc w:val="center"/>
              <w:rPr>
                <w:rFonts w:ascii="宋体" w:hAnsi="宋体" w:cs="宋体"/>
                <w:color w:val="000000"/>
                <w:sz w:val="24"/>
              </w:rPr>
            </w:pPr>
            <w:r>
              <w:rPr>
                <w:rFonts w:hint="eastAsia" w:ascii="宋体" w:hAnsi="宋体"/>
                <w:color w:val="000000"/>
                <w:sz w:val="24"/>
              </w:rPr>
              <w:t>元/月</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14:paraId="25067B83">
            <w:pPr>
              <w:jc w:val="center"/>
              <w:rPr>
                <w:rFonts w:ascii="宋体" w:hAnsi="宋体" w:cs="宋体"/>
                <w:color w:val="000000"/>
                <w:sz w:val="24"/>
              </w:rPr>
            </w:pPr>
            <w:r>
              <w:rPr>
                <w:rFonts w:hint="eastAsia" w:ascii="宋体" w:hAnsi="宋体"/>
                <w:color w:val="000000"/>
                <w:sz w:val="24"/>
              </w:rPr>
              <w:t>9424</w:t>
            </w:r>
          </w:p>
        </w:tc>
        <w:tc>
          <w:tcPr>
            <w:tcW w:w="799" w:type="dxa"/>
            <w:tcBorders>
              <w:top w:val="nil"/>
              <w:left w:val="single" w:color="000000" w:sz="4" w:space="0"/>
              <w:bottom w:val="single" w:color="000000" w:sz="4" w:space="0"/>
              <w:right w:val="single" w:color="auto" w:sz="4" w:space="0"/>
            </w:tcBorders>
            <w:noWrap w:val="0"/>
            <w:vAlign w:val="center"/>
          </w:tcPr>
          <w:p w14:paraId="37E0F5AD">
            <w:pPr>
              <w:jc w:val="center"/>
              <w:rPr>
                <w:rFonts w:ascii="宋体" w:hAnsi="宋体" w:cs="宋体"/>
                <w:color w:val="000000"/>
                <w:sz w:val="24"/>
              </w:rPr>
            </w:pPr>
            <w:r>
              <w:rPr>
                <w:rFonts w:hint="eastAsia" w:ascii="宋体" w:hAnsi="宋体"/>
                <w:color w:val="000000"/>
                <w:sz w:val="24"/>
              </w:rPr>
              <w:t>12</w:t>
            </w:r>
          </w:p>
        </w:tc>
      </w:tr>
      <w:tr w14:paraId="39759076">
        <w:tblPrEx>
          <w:tblCellMar>
            <w:top w:w="0" w:type="dxa"/>
            <w:left w:w="108" w:type="dxa"/>
            <w:bottom w:w="0" w:type="dxa"/>
            <w:right w:w="108" w:type="dxa"/>
          </w:tblCellMar>
        </w:tblPrEx>
        <w:trPr>
          <w:trHeight w:val="925" w:hRule="atLeast"/>
        </w:trPr>
        <w:tc>
          <w:tcPr>
            <w:tcW w:w="498" w:type="dxa"/>
            <w:vMerge w:val="restart"/>
            <w:tcBorders>
              <w:top w:val="single" w:color="000000" w:sz="4" w:space="0"/>
              <w:left w:val="single" w:color="auto" w:sz="4" w:space="0"/>
              <w:right w:val="single" w:color="000000" w:sz="4" w:space="0"/>
            </w:tcBorders>
            <w:noWrap w:val="0"/>
            <w:vAlign w:val="center"/>
          </w:tcPr>
          <w:p w14:paraId="050E46F9">
            <w:pPr>
              <w:jc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757" w:type="dxa"/>
            <w:vMerge w:val="restart"/>
            <w:tcBorders>
              <w:top w:val="single" w:color="000000" w:sz="4" w:space="0"/>
              <w:left w:val="single" w:color="000000" w:sz="4" w:space="0"/>
              <w:right w:val="single" w:color="000000" w:sz="4" w:space="0"/>
            </w:tcBorders>
            <w:noWrap w:val="0"/>
            <w:vAlign w:val="center"/>
          </w:tcPr>
          <w:p w14:paraId="5449E44A">
            <w:pPr>
              <w:jc w:val="center"/>
              <w:rPr>
                <w:rFonts w:ascii="宋体" w:hAnsi="宋体"/>
                <w:color w:val="000000"/>
                <w:sz w:val="24"/>
              </w:rPr>
            </w:pPr>
            <w:r>
              <w:rPr>
                <w:rFonts w:hint="eastAsia" w:ascii="宋体" w:hAnsi="宋体" w:cs="宋体"/>
                <w:b/>
                <w:bCs/>
                <w:color w:val="000000"/>
                <w:kern w:val="0"/>
                <w:sz w:val="24"/>
                <w:lang w:bidi="ar"/>
              </w:rPr>
              <w:t>网络服务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68103C6">
            <w:pPr>
              <w:jc w:val="center"/>
              <w:rPr>
                <w:rFonts w:ascii="宋体" w:hAnsi="宋体"/>
                <w:color w:val="000000"/>
                <w:sz w:val="24"/>
              </w:rPr>
            </w:pPr>
            <w:r>
              <w:rPr>
                <w:rFonts w:hint="eastAsia" w:ascii="宋体" w:hAnsi="宋体"/>
                <w:color w:val="000000"/>
                <w:sz w:val="24"/>
              </w:rPr>
              <w:t>远程</w:t>
            </w:r>
          </w:p>
          <w:p w14:paraId="07E57EE3">
            <w:pPr>
              <w:jc w:val="center"/>
              <w:rPr>
                <w:rFonts w:ascii="宋体" w:hAnsi="宋体" w:cs="宋体"/>
                <w:color w:val="000000"/>
                <w:sz w:val="24"/>
              </w:rPr>
            </w:pPr>
            <w:r>
              <w:rPr>
                <w:rFonts w:hint="eastAsia" w:ascii="宋体" w:hAnsi="宋体"/>
                <w:color w:val="000000"/>
                <w:sz w:val="24"/>
              </w:rPr>
              <w:t>接入服务</w:t>
            </w:r>
          </w:p>
        </w:tc>
        <w:tc>
          <w:tcPr>
            <w:tcW w:w="3362" w:type="dxa"/>
            <w:tcBorders>
              <w:top w:val="single" w:color="000000" w:sz="4" w:space="0"/>
              <w:left w:val="single" w:color="000000" w:sz="4" w:space="0"/>
              <w:bottom w:val="single" w:color="000000" w:sz="4" w:space="0"/>
              <w:right w:val="single" w:color="000000" w:sz="4" w:space="0"/>
            </w:tcBorders>
            <w:noWrap w:val="0"/>
            <w:vAlign w:val="top"/>
          </w:tcPr>
          <w:p w14:paraId="4463F275">
            <w:pPr>
              <w:jc w:val="center"/>
              <w:rPr>
                <w:rFonts w:ascii="宋体" w:hAnsi="宋体" w:cs="宋体"/>
                <w:color w:val="000000"/>
                <w:sz w:val="24"/>
              </w:rPr>
            </w:pPr>
            <w:r>
              <w:rPr>
                <w:rFonts w:hint="eastAsia" w:ascii="宋体" w:hAnsi="宋体"/>
                <w:color w:val="000000"/>
                <w:sz w:val="24"/>
              </w:rPr>
              <w:t>每个账号结合身份验通过VPN远程接入堡垒机进行维护（免费提供1个账号）</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274CD62">
            <w:pPr>
              <w:jc w:val="center"/>
              <w:rPr>
                <w:rFonts w:ascii="宋体" w:hAnsi="宋体" w:cs="宋体"/>
                <w:color w:val="000000"/>
                <w:sz w:val="24"/>
              </w:rPr>
            </w:pPr>
            <w:r>
              <w:rPr>
                <w:rFonts w:hint="eastAsia" w:ascii="宋体" w:hAnsi="宋体"/>
                <w:color w:val="000000"/>
                <w:sz w:val="24"/>
              </w:rPr>
              <w:t>1账号</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E7D358C">
            <w:pPr>
              <w:jc w:val="center"/>
              <w:rPr>
                <w:rFonts w:ascii="宋体" w:hAnsi="宋体" w:cs="宋体"/>
                <w:color w:val="000000"/>
                <w:sz w:val="24"/>
              </w:rPr>
            </w:pPr>
            <w:r>
              <w:rPr>
                <w:rFonts w:hint="eastAsia" w:ascii="宋体" w:hAnsi="宋体"/>
                <w:color w:val="000000"/>
                <w:sz w:val="24"/>
              </w:rPr>
              <w:t>元/月</w:t>
            </w: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1A183DC1">
            <w:pPr>
              <w:jc w:val="center"/>
              <w:rPr>
                <w:rFonts w:ascii="宋体" w:hAnsi="宋体" w:cs="宋体"/>
                <w:color w:val="000000"/>
                <w:sz w:val="24"/>
              </w:rPr>
            </w:pPr>
            <w:r>
              <w:rPr>
                <w:rFonts w:hint="eastAsia" w:ascii="宋体" w:hAnsi="宋体"/>
                <w:color w:val="000000"/>
                <w:sz w:val="24"/>
              </w:rPr>
              <w:t>6</w:t>
            </w:r>
          </w:p>
        </w:tc>
        <w:tc>
          <w:tcPr>
            <w:tcW w:w="799" w:type="dxa"/>
            <w:tcBorders>
              <w:top w:val="nil"/>
              <w:left w:val="single" w:color="000000" w:sz="4" w:space="0"/>
              <w:bottom w:val="single" w:color="000000" w:sz="4" w:space="0"/>
              <w:right w:val="single" w:color="auto" w:sz="4" w:space="0"/>
            </w:tcBorders>
            <w:noWrap w:val="0"/>
            <w:vAlign w:val="center"/>
          </w:tcPr>
          <w:p w14:paraId="1D793368">
            <w:pPr>
              <w:jc w:val="center"/>
              <w:rPr>
                <w:rFonts w:ascii="宋体" w:hAnsi="宋体" w:cs="宋体"/>
                <w:color w:val="000000"/>
                <w:sz w:val="24"/>
              </w:rPr>
            </w:pPr>
            <w:r>
              <w:rPr>
                <w:rFonts w:hint="eastAsia" w:ascii="宋体" w:hAnsi="宋体"/>
                <w:color w:val="000000"/>
                <w:sz w:val="24"/>
              </w:rPr>
              <w:t>12</w:t>
            </w:r>
          </w:p>
        </w:tc>
      </w:tr>
      <w:tr w14:paraId="140CE23B">
        <w:tblPrEx>
          <w:tblCellMar>
            <w:top w:w="0" w:type="dxa"/>
            <w:left w:w="108" w:type="dxa"/>
            <w:bottom w:w="0" w:type="dxa"/>
            <w:right w:w="108" w:type="dxa"/>
          </w:tblCellMar>
        </w:tblPrEx>
        <w:trPr>
          <w:trHeight w:val="1239" w:hRule="atLeast"/>
        </w:trPr>
        <w:tc>
          <w:tcPr>
            <w:tcW w:w="498" w:type="dxa"/>
            <w:vMerge w:val="continue"/>
            <w:tcBorders>
              <w:left w:val="single" w:color="auto" w:sz="4" w:space="0"/>
              <w:bottom w:val="single" w:color="auto" w:sz="4" w:space="0"/>
              <w:right w:val="single" w:color="000000" w:sz="4" w:space="0"/>
            </w:tcBorders>
            <w:noWrap w:val="0"/>
            <w:vAlign w:val="top"/>
          </w:tcPr>
          <w:p w14:paraId="689BF722">
            <w:pPr>
              <w:jc w:val="center"/>
              <w:rPr>
                <w:rFonts w:ascii="宋体" w:hAnsi="宋体"/>
                <w:color w:val="000000"/>
                <w:sz w:val="24"/>
              </w:rPr>
            </w:pPr>
          </w:p>
        </w:tc>
        <w:tc>
          <w:tcPr>
            <w:tcW w:w="757" w:type="dxa"/>
            <w:vMerge w:val="continue"/>
            <w:tcBorders>
              <w:left w:val="single" w:color="000000" w:sz="4" w:space="0"/>
              <w:bottom w:val="single" w:color="auto" w:sz="4" w:space="0"/>
              <w:right w:val="single" w:color="000000" w:sz="4" w:space="0"/>
            </w:tcBorders>
            <w:noWrap w:val="0"/>
            <w:vAlign w:val="top"/>
          </w:tcPr>
          <w:p w14:paraId="58A96A04">
            <w:pPr>
              <w:jc w:val="center"/>
              <w:rPr>
                <w:rFonts w:ascii="宋体" w:hAnsi="宋体"/>
                <w:color w:val="000000"/>
                <w:sz w:val="24"/>
              </w:rPr>
            </w:pPr>
          </w:p>
        </w:tc>
        <w:tc>
          <w:tcPr>
            <w:tcW w:w="1233" w:type="dxa"/>
            <w:tcBorders>
              <w:top w:val="single" w:color="000000" w:sz="4" w:space="0"/>
              <w:left w:val="single" w:color="000000" w:sz="4" w:space="0"/>
              <w:bottom w:val="single" w:color="auto" w:sz="4" w:space="0"/>
              <w:right w:val="single" w:color="000000" w:sz="4" w:space="0"/>
            </w:tcBorders>
            <w:noWrap w:val="0"/>
            <w:vAlign w:val="center"/>
          </w:tcPr>
          <w:p w14:paraId="5B11FA65">
            <w:pPr>
              <w:jc w:val="center"/>
              <w:rPr>
                <w:rFonts w:ascii="宋体" w:hAnsi="宋体" w:cs="宋体"/>
                <w:color w:val="000000"/>
                <w:sz w:val="24"/>
              </w:rPr>
            </w:pPr>
            <w:r>
              <w:rPr>
                <w:rFonts w:hint="eastAsia" w:ascii="宋体" w:hAnsi="宋体"/>
                <w:color w:val="000000"/>
                <w:sz w:val="24"/>
              </w:rPr>
              <w:t>VPN服务</w:t>
            </w:r>
          </w:p>
        </w:tc>
        <w:tc>
          <w:tcPr>
            <w:tcW w:w="3362" w:type="dxa"/>
            <w:tcBorders>
              <w:top w:val="single" w:color="000000" w:sz="4" w:space="0"/>
              <w:left w:val="single" w:color="000000" w:sz="4" w:space="0"/>
              <w:bottom w:val="single" w:color="auto" w:sz="4" w:space="0"/>
              <w:right w:val="single" w:color="000000" w:sz="4" w:space="0"/>
            </w:tcBorders>
            <w:noWrap w:val="0"/>
            <w:vAlign w:val="top"/>
          </w:tcPr>
          <w:p w14:paraId="31924944">
            <w:pPr>
              <w:jc w:val="left"/>
              <w:rPr>
                <w:rFonts w:ascii="宋体" w:hAnsi="宋体" w:cs="宋体"/>
                <w:color w:val="000000"/>
                <w:sz w:val="24"/>
              </w:rPr>
            </w:pPr>
            <w:r>
              <w:rPr>
                <w:rFonts w:hint="eastAsia" w:ascii="宋体" w:hAnsi="宋体"/>
                <w:color w:val="000000"/>
                <w:sz w:val="24"/>
              </w:rPr>
              <w:t>SSL VPN接入，用户通过SSL VPN访问业务系统。每套10个并发用户。所需带宽参照“互联网链路带宽”购买</w:t>
            </w:r>
          </w:p>
        </w:tc>
        <w:tc>
          <w:tcPr>
            <w:tcW w:w="782" w:type="dxa"/>
            <w:tcBorders>
              <w:top w:val="single" w:color="000000" w:sz="4" w:space="0"/>
              <w:left w:val="single" w:color="000000" w:sz="4" w:space="0"/>
              <w:bottom w:val="single" w:color="auto" w:sz="4" w:space="0"/>
              <w:right w:val="single" w:color="000000" w:sz="4" w:space="0"/>
            </w:tcBorders>
            <w:noWrap w:val="0"/>
            <w:vAlign w:val="center"/>
          </w:tcPr>
          <w:p w14:paraId="27F3C98B">
            <w:pPr>
              <w:jc w:val="center"/>
              <w:rPr>
                <w:rFonts w:ascii="宋体" w:hAnsi="宋体" w:cs="宋体"/>
                <w:color w:val="000000"/>
                <w:sz w:val="24"/>
              </w:rPr>
            </w:pPr>
            <w:r>
              <w:rPr>
                <w:rFonts w:hint="eastAsia" w:ascii="宋体" w:hAnsi="宋体"/>
                <w:color w:val="000000"/>
                <w:sz w:val="24"/>
              </w:rPr>
              <w:t>1套</w:t>
            </w:r>
          </w:p>
        </w:tc>
        <w:tc>
          <w:tcPr>
            <w:tcW w:w="746" w:type="dxa"/>
            <w:tcBorders>
              <w:top w:val="single" w:color="000000" w:sz="4" w:space="0"/>
              <w:left w:val="single" w:color="000000" w:sz="4" w:space="0"/>
              <w:bottom w:val="single" w:color="auto" w:sz="4" w:space="0"/>
              <w:right w:val="single" w:color="000000" w:sz="4" w:space="0"/>
            </w:tcBorders>
            <w:noWrap w:val="0"/>
            <w:vAlign w:val="center"/>
          </w:tcPr>
          <w:p w14:paraId="2C993D25">
            <w:pPr>
              <w:jc w:val="center"/>
              <w:rPr>
                <w:rFonts w:ascii="宋体" w:hAnsi="宋体" w:cs="宋体"/>
                <w:color w:val="000000"/>
                <w:sz w:val="24"/>
              </w:rPr>
            </w:pPr>
            <w:r>
              <w:rPr>
                <w:rFonts w:hint="eastAsia" w:ascii="宋体" w:hAnsi="宋体"/>
                <w:color w:val="000000"/>
                <w:sz w:val="24"/>
              </w:rPr>
              <w:t>元/月</w:t>
            </w:r>
          </w:p>
        </w:tc>
        <w:tc>
          <w:tcPr>
            <w:tcW w:w="701" w:type="dxa"/>
            <w:tcBorders>
              <w:top w:val="single" w:color="000000" w:sz="4" w:space="0"/>
              <w:left w:val="single" w:color="000000" w:sz="4" w:space="0"/>
              <w:bottom w:val="single" w:color="auto" w:sz="4" w:space="0"/>
              <w:right w:val="single" w:color="000000" w:sz="4" w:space="0"/>
            </w:tcBorders>
            <w:noWrap w:val="0"/>
            <w:vAlign w:val="center"/>
          </w:tcPr>
          <w:p w14:paraId="10C81A7F">
            <w:pPr>
              <w:jc w:val="center"/>
              <w:rPr>
                <w:rFonts w:ascii="宋体" w:hAnsi="宋体" w:cs="宋体"/>
                <w:color w:val="000000"/>
                <w:sz w:val="24"/>
              </w:rPr>
            </w:pPr>
            <w:r>
              <w:rPr>
                <w:rFonts w:hint="eastAsia" w:ascii="宋体" w:hAnsi="宋体"/>
                <w:color w:val="000000"/>
                <w:sz w:val="24"/>
              </w:rPr>
              <w:t>6</w:t>
            </w:r>
          </w:p>
        </w:tc>
        <w:tc>
          <w:tcPr>
            <w:tcW w:w="799" w:type="dxa"/>
            <w:tcBorders>
              <w:top w:val="nil"/>
              <w:left w:val="single" w:color="000000" w:sz="4" w:space="0"/>
              <w:bottom w:val="single" w:color="auto" w:sz="4" w:space="0"/>
              <w:right w:val="single" w:color="auto" w:sz="4" w:space="0"/>
            </w:tcBorders>
            <w:noWrap w:val="0"/>
            <w:vAlign w:val="center"/>
          </w:tcPr>
          <w:p w14:paraId="3232BF98">
            <w:pPr>
              <w:jc w:val="center"/>
              <w:rPr>
                <w:rFonts w:ascii="宋体" w:hAnsi="宋体" w:cs="宋体"/>
                <w:color w:val="000000"/>
                <w:sz w:val="24"/>
              </w:rPr>
            </w:pPr>
            <w:r>
              <w:rPr>
                <w:rFonts w:hint="eastAsia" w:ascii="宋体" w:hAnsi="宋体"/>
                <w:color w:val="000000"/>
                <w:sz w:val="24"/>
              </w:rPr>
              <w:t>12</w:t>
            </w:r>
          </w:p>
        </w:tc>
      </w:tr>
    </w:tbl>
    <w:p w14:paraId="267988FC">
      <w:pPr>
        <w:keepNext/>
        <w:keepLines/>
        <w:numPr>
          <w:ilvl w:val="0"/>
          <w:numId w:val="2"/>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采购目标</w:t>
      </w:r>
    </w:p>
    <w:p w14:paraId="7BE2062F">
      <w:pPr>
        <w:spacing w:after="120" w:line="360" w:lineRule="auto"/>
        <w:ind w:firstLine="480" w:firstLineChars="200"/>
        <w:rPr>
          <w:rFonts w:hint="eastAsia" w:ascii="宋体" w:hAnsi="宋体" w:cs="宋体"/>
          <w:kern w:val="0"/>
          <w:sz w:val="24"/>
        </w:rPr>
      </w:pPr>
      <w:r>
        <w:rPr>
          <w:rFonts w:hint="eastAsia" w:ascii="宋体" w:hAnsi="宋体" w:cs="宋体"/>
          <w:bCs/>
          <w:sz w:val="24"/>
        </w:rPr>
        <w:t>本项目的总体目标是通过租用政务云平台</w:t>
      </w:r>
      <w:r>
        <w:rPr>
          <w:rFonts w:hint="eastAsia" w:ascii="宋体" w:hAnsi="宋体" w:cs="宋体"/>
          <w:kern w:val="0"/>
          <w:sz w:val="24"/>
        </w:rPr>
        <w:t>计算服务、存储服务、网络服务等。提供全年7×24小时运维保障，做好重大活动和节假日应急值守保障服务，确保各信息系统在政务云环境中安全稳定运行。</w:t>
      </w:r>
    </w:p>
    <w:p w14:paraId="4FC9C069">
      <w:pPr>
        <w:keepNext/>
        <w:keepLines/>
        <w:numPr>
          <w:ilvl w:val="0"/>
          <w:numId w:val="2"/>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服务内容与服务标准</w:t>
      </w:r>
    </w:p>
    <w:p w14:paraId="332205CE">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计算服务</w:t>
      </w:r>
    </w:p>
    <w:p w14:paraId="1C9C8DC2">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080D225B">
      <w:pPr>
        <w:spacing w:line="360" w:lineRule="auto"/>
        <w:ind w:firstLine="480"/>
        <w:rPr>
          <w:rFonts w:hint="eastAsia" w:ascii="宋体" w:hAnsi="宋体" w:cs="宋体"/>
          <w:sz w:val="24"/>
        </w:rPr>
      </w:pPr>
      <w:r>
        <w:rPr>
          <w:rFonts w:hint="eastAsia" w:ascii="宋体" w:hAnsi="宋体" w:cs="宋体"/>
          <w:sz w:val="24"/>
        </w:rPr>
        <w:t>按照采购人的具体需求，提供云主机服务，包括：x86 平台云主机服务和x86 物理服务器租用服务，按需求对CPU及内存进行动态调整，实现合理的计算资源配置。在提供政务云主机的服务过程中做好与采购人和对应项目应用开发厂商的协调沟通工作。</w:t>
      </w:r>
    </w:p>
    <w:p w14:paraId="29FBECF7">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69F9B599">
      <w:pPr>
        <w:keepNext/>
        <w:keepLines/>
        <w:numPr>
          <w:ilvl w:val="3"/>
          <w:numId w:val="2"/>
        </w:numPr>
        <w:spacing w:before="280" w:after="290" w:line="360" w:lineRule="auto"/>
        <w:outlineLvl w:val="3"/>
        <w:rPr>
          <w:rFonts w:hint="eastAsia" w:cs="宋体"/>
          <w:sz w:val="24"/>
        </w:rPr>
      </w:pPr>
      <w:r>
        <w:rPr>
          <w:rFonts w:hint="eastAsia" w:cs="宋体"/>
          <w:sz w:val="24"/>
        </w:rPr>
        <w:t>云主机应实现物理机的全部功能，如具有CPU、存储、内存、网卡等资源，可以指定单独的IP地址等；</w:t>
      </w:r>
    </w:p>
    <w:p w14:paraId="626B673B">
      <w:pPr>
        <w:keepNext/>
        <w:keepLines/>
        <w:numPr>
          <w:ilvl w:val="3"/>
          <w:numId w:val="2"/>
        </w:numPr>
        <w:spacing w:before="280" w:after="290" w:line="360" w:lineRule="auto"/>
        <w:outlineLvl w:val="3"/>
        <w:rPr>
          <w:rFonts w:hint="eastAsia" w:cs="宋体"/>
          <w:sz w:val="24"/>
        </w:rPr>
      </w:pPr>
      <w:r>
        <w:rPr>
          <w:rFonts w:hint="eastAsia" w:cs="宋体"/>
          <w:sz w:val="24"/>
        </w:rPr>
        <w:t>支持存储裸设备映射（RDM），可以将存储设备上的LUN直接映射给虚拟机使用，并且支持SCSI指令使用透传模式或者非透传模式；</w:t>
      </w:r>
    </w:p>
    <w:p w14:paraId="13B97638">
      <w:pPr>
        <w:keepNext/>
        <w:keepLines/>
        <w:numPr>
          <w:ilvl w:val="3"/>
          <w:numId w:val="2"/>
        </w:numPr>
        <w:spacing w:before="280" w:after="290" w:line="360" w:lineRule="auto"/>
        <w:outlineLvl w:val="3"/>
        <w:rPr>
          <w:rFonts w:hint="eastAsia" w:cs="宋体"/>
          <w:sz w:val="24"/>
        </w:rPr>
      </w:pPr>
      <w:r>
        <w:rPr>
          <w:rFonts w:hint="eastAsia" w:cs="宋体"/>
          <w:sz w:val="24"/>
        </w:rPr>
        <w:t>应满足云主机之间、CPU之间隔离保护要求；</w:t>
      </w:r>
    </w:p>
    <w:p w14:paraId="188C998F">
      <w:pPr>
        <w:keepNext/>
        <w:keepLines/>
        <w:numPr>
          <w:ilvl w:val="3"/>
          <w:numId w:val="2"/>
        </w:numPr>
        <w:spacing w:before="280" w:after="290" w:line="360" w:lineRule="auto"/>
        <w:outlineLvl w:val="3"/>
        <w:rPr>
          <w:rFonts w:hint="eastAsia" w:cs="宋体"/>
          <w:sz w:val="24"/>
        </w:rPr>
      </w:pPr>
      <w:r>
        <w:rPr>
          <w:rFonts w:hint="eastAsia" w:cs="宋体"/>
          <w:sz w:val="24"/>
        </w:rPr>
        <w:t>支持资源的动态调整，根据业务的负载情况实现业务系统虚拟机的动态扩展和回收；</w:t>
      </w:r>
    </w:p>
    <w:p w14:paraId="490F7A06">
      <w:pPr>
        <w:keepNext/>
        <w:keepLines/>
        <w:numPr>
          <w:ilvl w:val="3"/>
          <w:numId w:val="2"/>
        </w:numPr>
        <w:spacing w:before="280" w:after="290" w:line="360" w:lineRule="auto"/>
        <w:outlineLvl w:val="3"/>
        <w:rPr>
          <w:rFonts w:hint="eastAsia" w:cs="宋体"/>
          <w:sz w:val="24"/>
        </w:rPr>
      </w:pPr>
      <w:r>
        <w:rPr>
          <w:rFonts w:hint="eastAsia" w:cs="宋体"/>
          <w:sz w:val="24"/>
        </w:rPr>
        <w:t>支持在线进行虚拟化软件版本升级，不同版本之间可以相互兼容；</w:t>
      </w:r>
    </w:p>
    <w:p w14:paraId="39366ED1">
      <w:pPr>
        <w:keepNext/>
        <w:keepLines/>
        <w:numPr>
          <w:ilvl w:val="3"/>
          <w:numId w:val="2"/>
        </w:numPr>
        <w:spacing w:before="280" w:after="290" w:line="360" w:lineRule="auto"/>
        <w:outlineLvl w:val="3"/>
        <w:rPr>
          <w:rFonts w:hint="eastAsia" w:cs="宋体"/>
          <w:sz w:val="24"/>
        </w:rPr>
      </w:pPr>
      <w:r>
        <w:rPr>
          <w:rFonts w:hint="eastAsia" w:cs="宋体"/>
          <w:sz w:val="24"/>
        </w:rPr>
        <w:t>支持异构虚拟化能力，如KVM等多种虚拟化技术；</w:t>
      </w:r>
    </w:p>
    <w:p w14:paraId="203D7932">
      <w:pPr>
        <w:keepNext/>
        <w:keepLines/>
        <w:numPr>
          <w:ilvl w:val="3"/>
          <w:numId w:val="2"/>
        </w:numPr>
        <w:spacing w:before="280" w:after="290" w:line="360" w:lineRule="auto"/>
        <w:outlineLvl w:val="3"/>
        <w:rPr>
          <w:rFonts w:hint="eastAsia" w:cs="宋体"/>
          <w:sz w:val="24"/>
        </w:rPr>
      </w:pPr>
      <w:r>
        <w:rPr>
          <w:rFonts w:hint="eastAsia" w:cs="宋体"/>
          <w:sz w:val="24"/>
        </w:rPr>
        <w:t>云主机出现故障时，支持自动重启或者迁移，保障业务连续性；</w:t>
      </w:r>
    </w:p>
    <w:p w14:paraId="73E79BEC">
      <w:pPr>
        <w:keepNext/>
        <w:keepLines/>
        <w:numPr>
          <w:ilvl w:val="3"/>
          <w:numId w:val="2"/>
        </w:numPr>
        <w:spacing w:before="280" w:after="290" w:line="360" w:lineRule="auto"/>
        <w:outlineLvl w:val="3"/>
        <w:rPr>
          <w:rFonts w:hint="eastAsia" w:cs="宋体"/>
          <w:sz w:val="24"/>
        </w:rPr>
      </w:pPr>
      <w:r>
        <w:rPr>
          <w:rFonts w:hint="eastAsia" w:cs="宋体"/>
          <w:sz w:val="24"/>
        </w:rPr>
        <w:t>支持虚拟机热迁移，可在不同代CPU资源池中进行虚拟机热迁移；</w:t>
      </w:r>
    </w:p>
    <w:p w14:paraId="3E87E053">
      <w:pPr>
        <w:keepNext/>
        <w:keepLines/>
        <w:numPr>
          <w:ilvl w:val="3"/>
          <w:numId w:val="2"/>
        </w:numPr>
        <w:spacing w:before="280" w:after="290" w:line="360" w:lineRule="auto"/>
        <w:outlineLvl w:val="3"/>
        <w:rPr>
          <w:rFonts w:hint="eastAsia" w:cs="宋体"/>
          <w:sz w:val="24"/>
        </w:rPr>
      </w:pPr>
      <w:r>
        <w:rPr>
          <w:rFonts w:hint="eastAsia" w:cs="宋体"/>
          <w:sz w:val="24"/>
        </w:rPr>
        <w:t>云计算资源性能要求包括但不限于如下：</w:t>
      </w:r>
    </w:p>
    <w:p w14:paraId="528E4AD7">
      <w:pPr>
        <w:snapToGrid w:val="0"/>
        <w:spacing w:line="360" w:lineRule="auto"/>
        <w:ind w:firstLine="480"/>
        <w:rPr>
          <w:rFonts w:hint="eastAsia" w:ascii="宋体" w:hAnsi="宋体" w:cs="宋体"/>
          <w:sz w:val="24"/>
        </w:rPr>
      </w:pPr>
      <w:r>
        <w:rPr>
          <w:rFonts w:hint="eastAsia" w:ascii="宋体" w:hAnsi="宋体" w:cs="宋体"/>
          <w:sz w:val="24"/>
        </w:rPr>
        <w:t>（1）物理服务器CPU主频应不低于2.40GHz；</w:t>
      </w:r>
    </w:p>
    <w:p w14:paraId="7D06675A">
      <w:pPr>
        <w:snapToGrid w:val="0"/>
        <w:spacing w:line="360" w:lineRule="auto"/>
        <w:ind w:firstLine="480"/>
        <w:rPr>
          <w:rFonts w:hint="eastAsia" w:ascii="宋体" w:hAnsi="宋体" w:cs="宋体"/>
          <w:sz w:val="24"/>
        </w:rPr>
      </w:pPr>
      <w:r>
        <w:rPr>
          <w:rFonts w:hint="eastAsia" w:ascii="宋体" w:hAnsi="宋体" w:cs="宋体"/>
          <w:sz w:val="24"/>
        </w:rPr>
        <w:t>（2）主机内存硬件配置不低于DDR4-2400MHz；</w:t>
      </w:r>
    </w:p>
    <w:p w14:paraId="5FC77146">
      <w:pPr>
        <w:snapToGrid w:val="0"/>
        <w:spacing w:line="360" w:lineRule="auto"/>
        <w:ind w:firstLine="480"/>
        <w:rPr>
          <w:rFonts w:hint="eastAsia" w:ascii="宋体" w:hAnsi="宋体" w:cs="宋体"/>
          <w:sz w:val="24"/>
        </w:rPr>
      </w:pPr>
      <w:r>
        <w:rPr>
          <w:rFonts w:hint="eastAsia" w:ascii="宋体" w:hAnsi="宋体" w:cs="宋体"/>
          <w:sz w:val="24"/>
        </w:rPr>
        <w:t>（3）可用性不低于99.99%。</w:t>
      </w:r>
    </w:p>
    <w:p w14:paraId="74DE325F">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存储服务</w:t>
      </w:r>
    </w:p>
    <w:p w14:paraId="4C005BFB">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3B58E5E5">
      <w:pPr>
        <w:spacing w:line="360" w:lineRule="auto"/>
        <w:ind w:firstLine="480"/>
        <w:rPr>
          <w:rFonts w:hint="eastAsia" w:ascii="宋体" w:hAnsi="宋体" w:cs="宋体"/>
          <w:sz w:val="24"/>
        </w:rPr>
      </w:pPr>
      <w:r>
        <w:rPr>
          <w:rFonts w:hint="eastAsia" w:ascii="宋体" w:hAnsi="宋体" w:cs="宋体"/>
          <w:sz w:val="24"/>
        </w:rPr>
        <w:t>按照采购人的具体需求，提供存储服务，包括：普通性能存储、高性能存储和本地备份服务，实现合理的存储资源配置。在提供政务云存储的服务过程中需做好采购人和对应项目应用开发厂商的协调沟通工作。</w:t>
      </w:r>
    </w:p>
    <w:p w14:paraId="65B68FF9">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17B6C735">
      <w:pPr>
        <w:keepNext/>
        <w:keepLines/>
        <w:numPr>
          <w:ilvl w:val="3"/>
          <w:numId w:val="2"/>
        </w:numPr>
        <w:spacing w:before="280" w:after="290" w:line="360" w:lineRule="auto"/>
        <w:outlineLvl w:val="3"/>
        <w:rPr>
          <w:rFonts w:hint="eastAsia" w:cs="宋体"/>
          <w:sz w:val="24"/>
        </w:rPr>
      </w:pPr>
      <w:r>
        <w:rPr>
          <w:rFonts w:hint="eastAsia" w:cs="宋体"/>
          <w:sz w:val="24"/>
        </w:rPr>
        <w:t>支持结构化数据、半结构化数据和非结构化数据等多种数据类型存储；</w:t>
      </w:r>
    </w:p>
    <w:p w14:paraId="7C5BD0E5">
      <w:pPr>
        <w:keepNext/>
        <w:keepLines/>
        <w:numPr>
          <w:ilvl w:val="3"/>
          <w:numId w:val="2"/>
        </w:numPr>
        <w:spacing w:before="280" w:after="290" w:line="360" w:lineRule="auto"/>
        <w:outlineLvl w:val="3"/>
        <w:rPr>
          <w:rFonts w:hint="eastAsia" w:cs="宋体"/>
          <w:sz w:val="24"/>
        </w:rPr>
      </w:pPr>
      <w:r>
        <w:rPr>
          <w:rFonts w:hint="eastAsia" w:cs="宋体"/>
          <w:sz w:val="24"/>
        </w:rPr>
        <w:t>支持块存储、对象存储、文件存储等多种存储方法，满足数据备份、视频存储等不同应用场景使用要求；</w:t>
      </w:r>
    </w:p>
    <w:p w14:paraId="5C4309DC">
      <w:pPr>
        <w:keepNext/>
        <w:keepLines/>
        <w:numPr>
          <w:ilvl w:val="3"/>
          <w:numId w:val="2"/>
        </w:numPr>
        <w:spacing w:before="280" w:after="290" w:line="360" w:lineRule="auto"/>
        <w:outlineLvl w:val="3"/>
        <w:rPr>
          <w:rFonts w:hint="eastAsia" w:cs="宋体"/>
          <w:sz w:val="24"/>
        </w:rPr>
      </w:pPr>
      <w:r>
        <w:rPr>
          <w:rFonts w:hint="eastAsia" w:cs="宋体"/>
          <w:sz w:val="24"/>
        </w:rPr>
        <w:t>支持存储资源扩展能力，例如：PB级扩展；</w:t>
      </w:r>
    </w:p>
    <w:p w14:paraId="70B1DD9E">
      <w:pPr>
        <w:keepNext/>
        <w:keepLines/>
        <w:numPr>
          <w:ilvl w:val="3"/>
          <w:numId w:val="2"/>
        </w:numPr>
        <w:spacing w:before="280" w:after="290" w:line="360" w:lineRule="auto"/>
        <w:outlineLvl w:val="3"/>
        <w:rPr>
          <w:rFonts w:hint="eastAsia" w:cs="宋体"/>
          <w:sz w:val="24"/>
        </w:rPr>
      </w:pPr>
      <w:r>
        <w:rPr>
          <w:rFonts w:hint="eastAsia" w:cs="宋体"/>
          <w:sz w:val="24"/>
        </w:rPr>
        <w:t>支持磁盘容错技术，如磁盘故障后节点的自动平衡和重构、硬盘故障 检测和处理、集群节点出现单盘故障时不影响业务运行等；</w:t>
      </w:r>
    </w:p>
    <w:p w14:paraId="77CB0060">
      <w:pPr>
        <w:keepNext/>
        <w:keepLines/>
        <w:numPr>
          <w:ilvl w:val="3"/>
          <w:numId w:val="2"/>
        </w:numPr>
        <w:spacing w:before="280" w:after="290" w:line="360" w:lineRule="auto"/>
        <w:outlineLvl w:val="3"/>
        <w:rPr>
          <w:rFonts w:hint="eastAsia" w:cs="宋体"/>
          <w:sz w:val="24"/>
        </w:rPr>
      </w:pPr>
      <w:r>
        <w:rPr>
          <w:rFonts w:hint="eastAsia" w:cs="宋体"/>
          <w:sz w:val="24"/>
        </w:rPr>
        <w:t>存储资源性能要求包括但不限于如下：</w:t>
      </w:r>
    </w:p>
    <w:p w14:paraId="011CEFEC">
      <w:pPr>
        <w:snapToGrid w:val="0"/>
        <w:spacing w:line="360" w:lineRule="auto"/>
        <w:ind w:firstLine="480"/>
        <w:rPr>
          <w:rFonts w:hint="eastAsia" w:ascii="宋体" w:hAnsi="宋体" w:cs="宋体"/>
          <w:sz w:val="24"/>
        </w:rPr>
      </w:pPr>
      <w:r>
        <w:rPr>
          <w:rFonts w:hint="eastAsia" w:ascii="宋体" w:hAnsi="宋体" w:cs="宋体"/>
          <w:sz w:val="24"/>
        </w:rPr>
        <w:t>(1)吞吐量：高性能存储系统的读写带宽应不低于1000MB/s,IOPS不低于20000;普通性能存储系统的读写带宽应不低于200MB/s，IOPS不低于1000。</w:t>
      </w:r>
    </w:p>
    <w:p w14:paraId="1AC41E08">
      <w:pPr>
        <w:spacing w:line="360" w:lineRule="auto"/>
        <w:ind w:firstLine="480"/>
        <w:rPr>
          <w:rFonts w:hint="eastAsia" w:ascii="宋体" w:hAnsi="宋体" w:cs="宋体"/>
          <w:sz w:val="24"/>
        </w:rPr>
      </w:pPr>
      <w:r>
        <w:rPr>
          <w:rFonts w:hint="eastAsia" w:ascii="宋体" w:hAnsi="宋体" w:cs="宋体"/>
          <w:sz w:val="24"/>
        </w:rPr>
        <w:t>(2)支持高可靠性，可靠性不低于99.9999%%；</w:t>
      </w:r>
    </w:p>
    <w:p w14:paraId="447828C2">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备份服务</w:t>
      </w:r>
    </w:p>
    <w:p w14:paraId="31CEDD8F">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502EA3E6">
      <w:pPr>
        <w:spacing w:line="360" w:lineRule="auto"/>
        <w:ind w:firstLine="480"/>
        <w:rPr>
          <w:rFonts w:hint="eastAsia" w:ascii="宋体" w:hAnsi="宋体" w:cs="宋体"/>
          <w:sz w:val="24"/>
        </w:rPr>
      </w:pPr>
      <w:r>
        <w:rPr>
          <w:rFonts w:hint="eastAsia" w:ascii="宋体" w:hAnsi="宋体" w:cs="宋体"/>
          <w:sz w:val="24"/>
        </w:rPr>
        <w:t>投标人需具有本地和同城异地数据级备份能力，并配合采购人完成数据级容灾演练及恢复等工作。</w:t>
      </w:r>
    </w:p>
    <w:p w14:paraId="0974685E">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服务标准</w:t>
      </w:r>
    </w:p>
    <w:p w14:paraId="58890AFE">
      <w:pPr>
        <w:spacing w:line="360" w:lineRule="auto"/>
        <w:ind w:firstLine="480"/>
        <w:rPr>
          <w:rFonts w:hint="eastAsia" w:ascii="宋体" w:hAnsi="宋体" w:cs="宋体"/>
          <w:sz w:val="24"/>
        </w:rPr>
      </w:pPr>
      <w:r>
        <w:rPr>
          <w:rFonts w:hint="eastAsia" w:ascii="宋体" w:hAnsi="宋体" w:cs="宋体"/>
          <w:sz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50515ACB">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备份介质本身具备高可用性和冗余性。</w:t>
      </w:r>
    </w:p>
    <w:p w14:paraId="372C6138">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备份方式包括完整备份、差异备份和增量备份。</w:t>
      </w:r>
    </w:p>
    <w:p w14:paraId="624DFB41">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支持Windows系列操作系统、Linux主流系统操作系统、主流数据库软件、主流中间件软件、结构化数据以及非结构化数据等备份对象。</w:t>
      </w:r>
    </w:p>
    <w:p w14:paraId="634420CD">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投标人应提供对备份过程状态、备份结果提供运维监控保障服务，确保备份任务执行成功以及备份的数据完整性。</w:t>
      </w:r>
    </w:p>
    <w:p w14:paraId="0696942F">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网络服务</w:t>
      </w:r>
    </w:p>
    <w:p w14:paraId="18AE8CDD">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4D4B0A7C">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远程接入服务</w:t>
      </w:r>
    </w:p>
    <w:p w14:paraId="4DC2770C">
      <w:pPr>
        <w:spacing w:line="360" w:lineRule="auto"/>
        <w:ind w:firstLine="480"/>
        <w:rPr>
          <w:rFonts w:hint="eastAsia" w:ascii="宋体" w:hAnsi="宋体" w:cs="宋体"/>
          <w:sz w:val="24"/>
        </w:rPr>
      </w:pPr>
      <w:r>
        <w:rPr>
          <w:rFonts w:hint="eastAsia" w:ascii="宋体" w:hAnsi="宋体" w:cs="宋体"/>
          <w:sz w:val="24"/>
        </w:rPr>
        <w:t>提供远程接入服务，每个账号结合身份验证接入堡垒机维护应用系统。</w:t>
      </w:r>
    </w:p>
    <w:p w14:paraId="78B2034D">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w:t>
      </w:r>
      <w:r>
        <w:rPr>
          <w:rFonts w:hint="eastAsia" w:ascii="宋体" w:hAnsi="宋体" w:cs="宋体"/>
          <w:color w:val="000000"/>
          <w:sz w:val="24"/>
        </w:rPr>
        <w:t>VPN服务</w:t>
      </w:r>
    </w:p>
    <w:p w14:paraId="22171855">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提供VPN服务，</w:t>
      </w:r>
      <w:r>
        <w:rPr>
          <w:rFonts w:hint="eastAsia" w:ascii="宋体" w:hAnsi="宋体"/>
          <w:color w:val="000000"/>
          <w:sz w:val="24"/>
        </w:rPr>
        <w:t>SSL VPN接入，用户通过SSL VPN访问业务系统。每套10个并发用户。</w:t>
      </w:r>
    </w:p>
    <w:p w14:paraId="106D9A8D">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4645C89A">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云内骨干线路带宽不低于10Gb/s；</w:t>
      </w:r>
    </w:p>
    <w:p w14:paraId="49CC3B12">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服务器业务带宽不低于1Gb/s；</w:t>
      </w:r>
    </w:p>
    <w:p w14:paraId="7A66CB95">
      <w:pPr>
        <w:keepNext/>
        <w:keepLines/>
        <w:numPr>
          <w:ilvl w:val="3"/>
          <w:numId w:val="2"/>
        </w:numPr>
        <w:spacing w:before="280" w:after="290" w:line="360" w:lineRule="auto"/>
        <w:ind w:firstLine="480"/>
        <w:outlineLvl w:val="3"/>
        <w:rPr>
          <w:rFonts w:hint="eastAsia" w:ascii="宋体" w:hAnsi="宋体" w:cs="宋体"/>
          <w:sz w:val="24"/>
        </w:rPr>
      </w:pPr>
      <w:r>
        <w:rPr>
          <w:rFonts w:hint="eastAsia" w:ascii="宋体" w:hAnsi="宋体" w:cs="宋体"/>
          <w:sz w:val="24"/>
        </w:rPr>
        <w:t>平均可用性不低于99.9%。</w:t>
      </w:r>
    </w:p>
    <w:p w14:paraId="192D8775">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运维服务</w:t>
      </w:r>
    </w:p>
    <w:p w14:paraId="48671477">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3BAAF667">
      <w:pPr>
        <w:keepNext/>
        <w:keepLines/>
        <w:numPr>
          <w:ilvl w:val="3"/>
          <w:numId w:val="2"/>
        </w:numPr>
        <w:spacing w:before="280" w:after="290" w:line="360" w:lineRule="auto"/>
        <w:outlineLvl w:val="3"/>
        <w:rPr>
          <w:rFonts w:hint="eastAsia" w:cs="宋体"/>
          <w:sz w:val="24"/>
        </w:rPr>
      </w:pPr>
      <w:r>
        <w:rPr>
          <w:rFonts w:hint="eastAsia" w:cs="宋体"/>
          <w:sz w:val="24"/>
        </w:rPr>
        <w:t>负责机房环境资源、云平台硬件资产、虚拟化资产的管理工作；</w:t>
      </w:r>
    </w:p>
    <w:p w14:paraId="117607A0">
      <w:pPr>
        <w:keepNext/>
        <w:keepLines/>
        <w:numPr>
          <w:ilvl w:val="3"/>
          <w:numId w:val="2"/>
        </w:numPr>
        <w:spacing w:before="280" w:after="290" w:line="360" w:lineRule="auto"/>
        <w:outlineLvl w:val="3"/>
        <w:rPr>
          <w:rFonts w:hint="eastAsia" w:cs="宋体"/>
          <w:sz w:val="24"/>
        </w:rPr>
      </w:pPr>
      <w:r>
        <w:rPr>
          <w:rFonts w:hint="eastAsia" w:cs="宋体"/>
          <w:sz w:val="24"/>
        </w:rPr>
        <w:t>信息系统入云、上线、变更、退出等各阶段的备案与信息变更等工作；</w:t>
      </w:r>
    </w:p>
    <w:p w14:paraId="2735E45E">
      <w:pPr>
        <w:keepNext/>
        <w:keepLines/>
        <w:numPr>
          <w:ilvl w:val="3"/>
          <w:numId w:val="2"/>
        </w:numPr>
        <w:spacing w:before="280" w:after="290" w:line="360" w:lineRule="auto"/>
        <w:outlineLvl w:val="3"/>
        <w:rPr>
          <w:rFonts w:hint="eastAsia" w:cs="宋体"/>
          <w:sz w:val="24"/>
        </w:rPr>
      </w:pPr>
      <w:r>
        <w:rPr>
          <w:rFonts w:hint="eastAsia" w:cs="宋体"/>
          <w:sz w:val="24"/>
        </w:rPr>
        <w:t>执行云平台变更申请、审批流程；</w:t>
      </w:r>
    </w:p>
    <w:p w14:paraId="2B0B2CBA">
      <w:pPr>
        <w:keepNext/>
        <w:keepLines/>
        <w:numPr>
          <w:ilvl w:val="3"/>
          <w:numId w:val="2"/>
        </w:numPr>
        <w:spacing w:before="280" w:after="290" w:line="360" w:lineRule="auto"/>
        <w:outlineLvl w:val="3"/>
        <w:rPr>
          <w:rFonts w:hint="eastAsia" w:cs="宋体"/>
          <w:sz w:val="24"/>
        </w:rPr>
      </w:pPr>
      <w:r>
        <w:rPr>
          <w:rFonts w:hint="eastAsia" w:cs="宋体"/>
          <w:sz w:val="24"/>
        </w:rPr>
        <w:t>云平台网络资源管理，针对内部地址使用情况、云平台专线接入情况、政务外网资源使用情况等做好统计工作；</w:t>
      </w:r>
    </w:p>
    <w:p w14:paraId="644F1909">
      <w:pPr>
        <w:keepNext/>
        <w:keepLines/>
        <w:numPr>
          <w:ilvl w:val="3"/>
          <w:numId w:val="2"/>
        </w:numPr>
        <w:spacing w:before="280" w:after="290" w:line="360" w:lineRule="auto"/>
        <w:outlineLvl w:val="3"/>
        <w:rPr>
          <w:rFonts w:hint="eastAsia" w:cs="宋体"/>
          <w:sz w:val="24"/>
        </w:rPr>
      </w:pPr>
      <w:r>
        <w:rPr>
          <w:rFonts w:hint="eastAsia" w:cs="宋体"/>
          <w:sz w:val="24"/>
        </w:rPr>
        <w:t>服务期内，投标人须配备运维团队，提供可靠的售后服务保障。投标人针对采购人要求的云平台运维服务相关内容，需指定专业技术能力较强的工程师，根据采购人要求配合开展相关维护服务。</w:t>
      </w:r>
    </w:p>
    <w:p w14:paraId="73243604">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服务标准</w:t>
      </w:r>
    </w:p>
    <w:p w14:paraId="17341ACA">
      <w:pPr>
        <w:spacing w:line="360" w:lineRule="auto"/>
        <w:ind w:firstLine="480"/>
        <w:rPr>
          <w:rFonts w:hint="eastAsia" w:ascii="宋体" w:hAnsi="宋体" w:cs="宋体"/>
          <w:sz w:val="24"/>
        </w:rPr>
      </w:pPr>
      <w:r>
        <w:rPr>
          <w:rFonts w:hint="eastAsia" w:ascii="宋体" w:hAnsi="宋体" w:cs="宋体"/>
          <w:sz w:val="24"/>
        </w:rPr>
        <w:t>依据《北京市市级政务云管理办法》，投标人应当提供高效的系统维护服务，有效防范系统风险，系统对应负责人7*24 小时电话畅通，能够在系统发生除宕机外的其他故障问题时，能够协调人力资源在1小时内到达政务云机房现场提供服务。系统发生宕机问题时，投标人应在30分钟内响应，能够协调人力资源在1小时内到达运维现场定位、排除故障，在1个小时之内使系统恢复正常，故障处理完毕后提供相关系统宕机报告。</w:t>
      </w:r>
    </w:p>
    <w:p w14:paraId="32DB424B">
      <w:pPr>
        <w:spacing w:line="360" w:lineRule="auto"/>
        <w:ind w:firstLine="480"/>
        <w:rPr>
          <w:rFonts w:hint="eastAsia" w:ascii="宋体" w:hAnsi="宋体" w:cs="宋体"/>
          <w:sz w:val="24"/>
        </w:rPr>
      </w:pPr>
      <w:r>
        <w:rPr>
          <w:rFonts w:hint="eastAsia" w:ascii="宋体" w:hAnsi="宋体" w:cs="宋体"/>
          <w:sz w:val="24"/>
        </w:rPr>
        <w:t>为保障业务高峰期内系统平稳运行，缓解系统高峰期内因业务发生量增大而带来系统压力风险，要求投标人根据业务周期性特点，加大运维保障力度，保证在业务高峰期内系统平稳运行。</w:t>
      </w:r>
    </w:p>
    <w:p w14:paraId="2C4731F1">
      <w:pPr>
        <w:spacing w:line="360" w:lineRule="auto"/>
        <w:ind w:firstLine="480"/>
        <w:rPr>
          <w:rFonts w:hint="eastAsia" w:ascii="宋体" w:hAnsi="宋体" w:cs="宋体"/>
          <w:sz w:val="24"/>
        </w:rPr>
      </w:pPr>
      <w:r>
        <w:rPr>
          <w:rFonts w:hint="eastAsia" w:ascii="宋体" w:hAnsi="宋体" w:cs="宋体"/>
          <w:sz w:val="24"/>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5820DD22">
      <w:pPr>
        <w:spacing w:line="360" w:lineRule="auto"/>
        <w:ind w:firstLine="480"/>
        <w:rPr>
          <w:rFonts w:hint="eastAsia" w:ascii="宋体" w:hAnsi="宋体" w:cs="宋体"/>
          <w:sz w:val="24"/>
        </w:rPr>
      </w:pPr>
      <w:r>
        <w:rPr>
          <w:rFonts w:hint="eastAsia" w:ascii="宋体" w:hAnsi="宋体" w:cs="宋体"/>
          <w:sz w:val="24"/>
        </w:rPr>
        <w:t>按照国家、北京市相关规定和信息安全技术标准及规范要求,落实安全保障措施,通过信息安全测评机构的测评和政务云安全审查。</w:t>
      </w:r>
    </w:p>
    <w:p w14:paraId="5C368DC0">
      <w:pPr>
        <w:spacing w:line="360" w:lineRule="auto"/>
        <w:ind w:firstLine="480"/>
        <w:rPr>
          <w:rFonts w:hint="eastAsia" w:ascii="宋体" w:hAnsi="宋体" w:cs="宋体"/>
          <w:sz w:val="24"/>
        </w:rPr>
      </w:pPr>
      <w:r>
        <w:rPr>
          <w:rFonts w:hint="eastAsia" w:ascii="宋体" w:hAnsi="宋体" w:cs="宋体"/>
          <w:sz w:val="24"/>
        </w:rPr>
        <w:t>除不可抗力或计划内维护作业造成的政务云服务中断外,政务云实行24小时不间断运行。</w:t>
      </w:r>
    </w:p>
    <w:p w14:paraId="2E5D1036">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迁移服务</w:t>
      </w:r>
    </w:p>
    <w:p w14:paraId="6CC8BC50">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2E50227F">
      <w:pPr>
        <w:spacing w:line="360" w:lineRule="auto"/>
        <w:ind w:firstLine="480"/>
        <w:rPr>
          <w:rFonts w:hint="eastAsia" w:ascii="宋体" w:hAnsi="宋体" w:cs="宋体"/>
          <w:sz w:val="24"/>
        </w:rPr>
      </w:pPr>
      <w:r>
        <w:rPr>
          <w:rFonts w:hint="eastAsia" w:ascii="宋体" w:hAnsi="宋体" w:cs="宋体"/>
          <w:sz w:val="24"/>
        </w:rPr>
        <w:t>投标人需提供整体的业务上云迁移服务，应支持X86云主机迁移、X86物理主机迁移、单机数据库迁移、高可用数据库迁移等迁移场景。负责需求调研、架构规划设计、应用迁移部署等工作。</w:t>
      </w:r>
    </w:p>
    <w:p w14:paraId="3F5ACF9C">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057BA90C">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本项目涉及的业务系统为采购人在用的生产系统，目前在北京市政务云上平稳运行，因此业务连续性是首要的保障需求。迁移服务具体要求如下：</w:t>
      </w:r>
    </w:p>
    <w:p w14:paraId="0C4B4DA2">
      <w:pPr>
        <w:snapToGrid w:val="0"/>
        <w:spacing w:line="360" w:lineRule="auto"/>
        <w:ind w:firstLine="420"/>
        <w:rPr>
          <w:rFonts w:hint="eastAsia" w:ascii="宋体" w:hAnsi="宋体" w:cs="宋体"/>
          <w:sz w:val="24"/>
        </w:rPr>
      </w:pPr>
      <w:r>
        <w:rPr>
          <w:rFonts w:hint="eastAsia" w:ascii="宋体" w:hAnsi="宋体" w:cs="宋体"/>
          <w:sz w:val="24"/>
        </w:rPr>
        <w:t>投标人需编制业务连续性服务方案。</w:t>
      </w:r>
    </w:p>
    <w:p w14:paraId="59AF3C03">
      <w:pPr>
        <w:snapToGrid w:val="0"/>
        <w:spacing w:line="360" w:lineRule="auto"/>
        <w:ind w:firstLine="480"/>
        <w:rPr>
          <w:rFonts w:hint="eastAsia" w:ascii="宋体" w:hAnsi="宋体" w:cs="宋体"/>
          <w:sz w:val="24"/>
        </w:rPr>
      </w:pPr>
      <w:r>
        <w:rPr>
          <w:rFonts w:hint="eastAsia" w:ascii="宋体" w:hAnsi="宋体" w:cs="宋体"/>
          <w:sz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10E7B89F">
      <w:pPr>
        <w:snapToGrid w:val="0"/>
        <w:spacing w:line="360" w:lineRule="auto"/>
        <w:ind w:firstLine="480"/>
        <w:rPr>
          <w:rFonts w:hint="eastAsia" w:ascii="宋体" w:hAnsi="宋体" w:cs="宋体"/>
          <w:sz w:val="24"/>
        </w:rPr>
      </w:pPr>
      <w:r>
        <w:rPr>
          <w:rFonts w:hint="eastAsia" w:ascii="宋体" w:hAnsi="宋体" w:cs="宋体"/>
          <w:sz w:val="24"/>
        </w:rPr>
        <w:t>本项目如涉及系统迁移，为保障业务系统的连续性，投标人应承诺自中标之日起，积极与原服务商对接，在5个工作日内，完成系统迁移平滑过渡，且因此产生的各项费用（包括但不限于测试阶段的云资源费用，系统开发商对业务系统的部署、调试费用等），应包含在投标人的报价中，提供“承诺函”并加盖投标人公章。</w:t>
      </w:r>
    </w:p>
    <w:p w14:paraId="44B0E798">
      <w:pPr>
        <w:keepNext/>
        <w:keepLines/>
        <w:numPr>
          <w:ilvl w:val="0"/>
          <w:numId w:val="2"/>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运维团队要求</w:t>
      </w:r>
    </w:p>
    <w:p w14:paraId="4DAD6C9E">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服务期内，投标人须设有7×24小时电话响应服务、具备运维团队，提供售后服务保障。团队成员应明确职责，架构清晰，岗位设置合理，且具备与本项目相关的项目经验。</w:t>
      </w:r>
    </w:p>
    <w:p w14:paraId="0629910A">
      <w:pPr>
        <w:adjustRightInd w:val="0"/>
        <w:spacing w:line="360" w:lineRule="auto"/>
        <w:ind w:firstLine="424" w:firstLineChars="177"/>
        <w:contextualSpacing/>
        <w:jc w:val="left"/>
        <w:rPr>
          <w:rFonts w:hint="eastAsia"/>
          <w:sz w:val="24"/>
        </w:rPr>
      </w:pPr>
      <w:r>
        <w:rPr>
          <w:rFonts w:hint="eastAsia"/>
          <w:sz w:val="24"/>
        </w:rPr>
        <w:t>投标人应结合服务需求提供项目团队（1名项目经理、1名技术负责人和若干名项目团队专职人员）为本项目提供实施服务工作。团队成员应明确职责，架构清晰，岗位设置合理，具备与本项目相关的项目经验，以及与本项目服务开展密切相关的专业证书。如：项目经理应具有高级信息系统项目管理师证书（计算机技术与软件专业技术资格）、信息安全保障人员认证证书（安全运维专业级或以上）、信息安全保障人员认证证书（应急服务专业级或</w:t>
      </w:r>
      <w:r>
        <w:rPr>
          <w:rFonts w:hint="eastAsia"/>
          <w:sz w:val="24"/>
          <w:highlight w:val="none"/>
        </w:rPr>
        <w:t>以上）、重要信息系统安全等级保护培训证书（CIIP）及具备5年以上类似项目工作经验；</w:t>
      </w:r>
      <w:r>
        <w:rPr>
          <w:rFonts w:hint="eastAsia" w:ascii="宋体" w:hAnsi="宋体" w:cs="宋体"/>
          <w:color w:val="000000"/>
          <w:kern w:val="0"/>
          <w:sz w:val="24"/>
          <w:highlight w:val="none"/>
          <w:lang w:bidi="ar"/>
        </w:rPr>
        <w:t>安全（技术）负责人</w:t>
      </w:r>
      <w:r>
        <w:rPr>
          <w:rFonts w:hint="eastAsia"/>
          <w:sz w:val="24"/>
          <w:highlight w:val="none"/>
        </w:rPr>
        <w:t>应具有具</w:t>
      </w:r>
      <w:r>
        <w:rPr>
          <w:rFonts w:hint="eastAsia"/>
          <w:sz w:val="24"/>
        </w:rPr>
        <w:t>有信息安全保障人员认证证书（安全集成专业级或以上）、信息安全保障人员认证证书（应急服务专业级或以上）、注册信息安全工程师（CISE）认证证书及具备5年以上类似项目工作经验；除项目经理和技术负责人之外其他人员有系统架构设计师证书、系统分析师证书、信息系统项目管理师证书、系统规划与管理师证书、网络规划设计师证书、数据库系统工程师证书。项目团队专职人员在项目实施过程中未经采购人同意不得随意更换。</w:t>
      </w:r>
    </w:p>
    <w:p w14:paraId="35354B20">
      <w:pPr>
        <w:pStyle w:val="2"/>
        <w:rPr>
          <w:rFonts w:hint="eastAsia"/>
        </w:rPr>
      </w:pPr>
    </w:p>
    <w:p w14:paraId="3B9C762C">
      <w:pPr>
        <w:keepNext/>
        <w:keepLines/>
        <w:numPr>
          <w:ilvl w:val="0"/>
          <w:numId w:val="2"/>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商务要求</w:t>
      </w:r>
    </w:p>
    <w:p w14:paraId="575D666A">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服务地点</w:t>
      </w:r>
    </w:p>
    <w:p w14:paraId="49D59EC3">
      <w:pPr>
        <w:spacing w:line="360" w:lineRule="auto"/>
        <w:ind w:firstLine="480"/>
        <w:rPr>
          <w:rFonts w:hint="eastAsia" w:ascii="宋体" w:hAnsi="宋体" w:cs="宋体"/>
          <w:sz w:val="24"/>
        </w:rPr>
      </w:pPr>
      <w:r>
        <w:rPr>
          <w:rFonts w:hint="eastAsia" w:ascii="宋体" w:hAnsi="宋体" w:cs="宋体"/>
          <w:sz w:val="24"/>
        </w:rPr>
        <w:t>北京市政务云机房。</w:t>
      </w:r>
    </w:p>
    <w:p w14:paraId="7F980A7B">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服务期限</w:t>
      </w:r>
    </w:p>
    <w:p w14:paraId="62C98C88">
      <w:pPr>
        <w:spacing w:line="360" w:lineRule="auto"/>
        <w:ind w:firstLine="480"/>
        <w:rPr>
          <w:rFonts w:hint="eastAsia" w:ascii="宋体" w:hAnsi="宋体" w:cs="宋体"/>
          <w:sz w:val="24"/>
        </w:rPr>
      </w:pPr>
      <w:r>
        <w:rPr>
          <w:rFonts w:hint="eastAsia" w:ascii="宋体" w:hAnsi="宋体" w:cs="宋体"/>
          <w:sz w:val="24"/>
        </w:rPr>
        <w:t>自合同签订之日起12个月。</w:t>
      </w:r>
    </w:p>
    <w:p w14:paraId="6F353950">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验收服务标准</w:t>
      </w:r>
    </w:p>
    <w:p w14:paraId="2CE1AE66">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服务绩效指标</w:t>
      </w:r>
    </w:p>
    <w:p w14:paraId="7E23378D">
      <w:pPr>
        <w:spacing w:line="360" w:lineRule="auto"/>
        <w:ind w:firstLine="480"/>
        <w:rPr>
          <w:rFonts w:hint="eastAsia" w:ascii="宋体" w:hAnsi="宋体" w:cs="宋体"/>
          <w:sz w:val="24"/>
        </w:rPr>
      </w:pPr>
      <w:r>
        <w:rPr>
          <w:rFonts w:hint="eastAsia" w:ascii="宋体" w:hAnsi="宋体" w:cs="宋体"/>
          <w:sz w:val="24"/>
        </w:rPr>
        <w:t>（1）云服务全年整体可用性≥99.9%；</w:t>
      </w:r>
    </w:p>
    <w:p w14:paraId="3A9E28D3">
      <w:pPr>
        <w:spacing w:line="360" w:lineRule="auto"/>
        <w:ind w:firstLine="480"/>
        <w:rPr>
          <w:rFonts w:hint="eastAsia" w:ascii="宋体" w:hAnsi="宋体" w:cs="宋体"/>
          <w:sz w:val="24"/>
        </w:rPr>
      </w:pPr>
      <w:r>
        <w:rPr>
          <w:rFonts w:hint="eastAsia" w:ascii="宋体" w:hAnsi="宋体" w:cs="宋体"/>
          <w:sz w:val="24"/>
        </w:rPr>
        <w:t>（2）故障响应率100%；</w:t>
      </w:r>
    </w:p>
    <w:p w14:paraId="46A78174">
      <w:pPr>
        <w:spacing w:line="360" w:lineRule="auto"/>
        <w:ind w:firstLine="480"/>
        <w:rPr>
          <w:rFonts w:hint="eastAsia" w:ascii="宋体" w:hAnsi="宋体" w:cs="宋体"/>
          <w:sz w:val="24"/>
        </w:rPr>
      </w:pPr>
      <w:r>
        <w:rPr>
          <w:rFonts w:hint="eastAsia" w:ascii="宋体" w:hAnsi="宋体" w:cs="宋体"/>
          <w:sz w:val="24"/>
        </w:rPr>
        <w:t>（3）应急响应时间≤5分钟（重大事件1分钟内响应）。</w:t>
      </w:r>
    </w:p>
    <w:p w14:paraId="6A0E758F">
      <w:pPr>
        <w:keepNext/>
        <w:keepLines/>
        <w:numPr>
          <w:ilvl w:val="2"/>
          <w:numId w:val="2"/>
        </w:numPr>
        <w:spacing w:before="260" w:after="260" w:line="360" w:lineRule="auto"/>
        <w:ind w:firstLine="482"/>
        <w:outlineLvl w:val="2"/>
        <w:rPr>
          <w:rFonts w:hint="eastAsia" w:ascii="宋体" w:hAnsi="宋体" w:cs="宋体"/>
          <w:b/>
          <w:sz w:val="24"/>
        </w:rPr>
      </w:pPr>
      <w:r>
        <w:rPr>
          <w:rFonts w:hint="eastAsia" w:ascii="宋体" w:hAnsi="宋体" w:cs="宋体"/>
          <w:b/>
          <w:sz w:val="24"/>
        </w:rPr>
        <w:t>项目验收要求</w:t>
      </w:r>
    </w:p>
    <w:p w14:paraId="58F669EF">
      <w:pPr>
        <w:spacing w:line="360" w:lineRule="auto"/>
        <w:ind w:firstLine="480"/>
        <w:rPr>
          <w:rFonts w:hint="eastAsia" w:ascii="宋体" w:hAnsi="宋体" w:cs="宋体"/>
          <w:sz w:val="24"/>
        </w:rPr>
      </w:pPr>
      <w:r>
        <w:rPr>
          <w:rFonts w:hint="eastAsia" w:ascii="宋体" w:hAnsi="宋体" w:cs="宋体"/>
          <w:sz w:val="24"/>
        </w:rPr>
        <w:t>投标人所提供的北京市市级政务云基础资源服务应遵循客观、科学、合理的原则，符合《北京市市级政务云管理办法》的相关标准及要求。</w:t>
      </w:r>
    </w:p>
    <w:p w14:paraId="22F39DFD">
      <w:pPr>
        <w:spacing w:line="360" w:lineRule="auto"/>
        <w:ind w:firstLine="480"/>
        <w:rPr>
          <w:rFonts w:hint="eastAsia" w:ascii="宋体" w:hAnsi="宋体" w:cs="宋体"/>
          <w:sz w:val="24"/>
        </w:rPr>
      </w:pPr>
      <w:r>
        <w:rPr>
          <w:rFonts w:hint="eastAsia" w:ascii="宋体" w:hAnsi="宋体" w:cs="宋体"/>
          <w:sz w:val="24"/>
        </w:rPr>
        <w:t>投标人所提供资源应满足采购文件规定的要求。保证合同期内系统安全稳定运行，不因硬件故障导致服务中断4小时及以上。</w:t>
      </w:r>
    </w:p>
    <w:p w14:paraId="0AF366A4">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1.投标人应于合同履约期满后10日内向采购人提出终验申请，采购人应于收到投标人验收申请后7个工作日内对投标人服务进行终验。</w:t>
      </w:r>
    </w:p>
    <w:p w14:paraId="1585AC3F">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2.投标人应在验收前向采购人提供详细验收申请、验收计划、验收方案、总结报告等材料后，应当接受采购人或采购人聘请的专家对其工作成果进行的质量评审。</w:t>
      </w:r>
    </w:p>
    <w:p w14:paraId="73FE54E4">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3.投标人项目负责人应当对工作情况做出必要说明，并可以对质量评审结论申述意见。</w:t>
      </w:r>
    </w:p>
    <w:p w14:paraId="470CA169">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4.如投标人提交的工作成果未通过质量评审的，投标人应当在采购人规定的期限内进行修改并承担修改费用，并重新申请评审验收；如投标人未在采购人规定的期限内完成修改工作或者经修改后仍未能通过质量评审的，投标人应当承担违约责任并赔偿由此给采购人造成的全部损失。</w:t>
      </w:r>
    </w:p>
    <w:p w14:paraId="506BDF3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5.投标人提交的委托项目工作成果通过质量评审的，经采购人或采购人聘请的专家签字确认后，作为委托项目工作成果验收合格的依据。</w:t>
      </w:r>
    </w:p>
    <w:p w14:paraId="23F837F4">
      <w:pPr>
        <w:keepNext/>
        <w:keepLines/>
        <w:numPr>
          <w:ilvl w:val="1"/>
          <w:numId w:val="2"/>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支付方式及条件</w:t>
      </w:r>
    </w:p>
    <w:p w14:paraId="503354C1">
      <w:pPr>
        <w:adjustRightInd w:val="0"/>
        <w:snapToGrid w:val="0"/>
        <w:spacing w:line="360" w:lineRule="auto"/>
        <w:ind w:firstLine="480"/>
        <w:textAlignment w:val="baseline"/>
        <w:rPr>
          <w:rFonts w:hint="eastAsia"/>
        </w:rPr>
      </w:pPr>
      <w:r>
        <w:rPr>
          <w:rFonts w:hint="eastAsia" w:ascii="宋体" w:hAnsi="宋体" w:eastAsia="宋体" w:cs="宋体"/>
          <w:kern w:val="0"/>
          <w:sz w:val="24"/>
        </w:rPr>
        <w:t>本项目服务期为12个月，每月服务费单价为合同总价款除以服务月数。2025年度累计支付10个月的服务费，具体支付方式为：本合同生效后7个工作日内，</w:t>
      </w:r>
      <w:r>
        <w:rPr>
          <w:rFonts w:hint="eastAsia" w:ascii="宋体" w:hAnsi="宋体" w:eastAsia="宋体" w:cs="宋体"/>
          <w:kern w:val="0"/>
          <w:sz w:val="24"/>
          <w:lang w:val="en-US" w:eastAsia="zh-CN"/>
        </w:rPr>
        <w:t>采购人</w:t>
      </w:r>
      <w:r>
        <w:rPr>
          <w:rFonts w:hint="eastAsia" w:ascii="宋体" w:hAnsi="宋体" w:eastAsia="宋体" w:cs="宋体"/>
          <w:kern w:val="0"/>
          <w:sz w:val="24"/>
        </w:rPr>
        <w:t>支付</w:t>
      </w:r>
      <w:r>
        <w:rPr>
          <w:rFonts w:hint="eastAsia" w:ascii="宋体" w:hAnsi="宋体" w:eastAsia="宋体" w:cs="宋体"/>
          <w:kern w:val="0"/>
          <w:sz w:val="24"/>
          <w:lang w:val="en-US" w:eastAsia="zh-CN"/>
        </w:rPr>
        <w:t>中标人</w:t>
      </w:r>
      <w:r>
        <w:rPr>
          <w:rFonts w:hint="eastAsia" w:ascii="宋体" w:hAnsi="宋体" w:eastAsia="宋体" w:cs="宋体"/>
          <w:kern w:val="0"/>
          <w:sz w:val="24"/>
        </w:rPr>
        <w:t>首笔10个服务月数的合同价款</w:t>
      </w:r>
      <w:r>
        <w:rPr>
          <w:rFonts w:hint="eastAsia" w:ascii="宋体" w:hAnsi="宋体" w:eastAsia="宋体" w:cs="宋体"/>
          <w:kern w:val="0"/>
          <w:sz w:val="24"/>
          <w:lang w:eastAsia="zh-CN"/>
        </w:rPr>
        <w:t>。</w:t>
      </w:r>
      <w:r>
        <w:rPr>
          <w:rFonts w:hint="eastAsia" w:ascii="宋体" w:hAnsi="宋体" w:eastAsia="宋体" w:cs="宋体"/>
          <w:kern w:val="0"/>
          <w:sz w:val="24"/>
        </w:rPr>
        <w:t>项目执行期满，经</w:t>
      </w:r>
      <w:r>
        <w:rPr>
          <w:rFonts w:hint="eastAsia" w:ascii="宋体" w:hAnsi="宋体" w:eastAsia="宋体" w:cs="宋体"/>
          <w:kern w:val="0"/>
          <w:sz w:val="24"/>
          <w:lang w:val="en-US" w:eastAsia="zh-CN"/>
        </w:rPr>
        <w:t>采购人</w:t>
      </w:r>
      <w:r>
        <w:rPr>
          <w:rFonts w:hint="eastAsia" w:ascii="宋体" w:hAnsi="宋体" w:eastAsia="宋体" w:cs="宋体"/>
          <w:kern w:val="0"/>
          <w:sz w:val="24"/>
        </w:rPr>
        <w:t>验收合格且</w:t>
      </w:r>
      <w:r>
        <w:rPr>
          <w:rFonts w:hint="eastAsia" w:ascii="宋体" w:hAnsi="宋体" w:eastAsia="宋体" w:cs="宋体"/>
          <w:kern w:val="0"/>
          <w:sz w:val="24"/>
          <w:lang w:val="en-US" w:eastAsia="zh-CN"/>
        </w:rPr>
        <w:t>中标人</w:t>
      </w:r>
      <w:r>
        <w:rPr>
          <w:rFonts w:hint="eastAsia" w:ascii="宋体" w:hAnsi="宋体" w:eastAsia="宋体" w:cs="宋体"/>
          <w:kern w:val="0"/>
          <w:sz w:val="24"/>
        </w:rPr>
        <w:t>不存在违约情形的，</w:t>
      </w:r>
      <w:r>
        <w:rPr>
          <w:rFonts w:hint="eastAsia" w:ascii="宋体" w:hAnsi="宋体" w:eastAsia="宋体" w:cs="宋体"/>
          <w:kern w:val="0"/>
          <w:sz w:val="24"/>
          <w:lang w:val="en-US" w:eastAsia="zh-CN"/>
        </w:rPr>
        <w:t>采购人</w:t>
      </w:r>
      <w:r>
        <w:rPr>
          <w:rFonts w:hint="eastAsia" w:ascii="宋体" w:hAnsi="宋体" w:eastAsia="宋体" w:cs="宋体"/>
          <w:kern w:val="0"/>
          <w:sz w:val="24"/>
        </w:rPr>
        <w:t>支付</w:t>
      </w:r>
      <w:r>
        <w:rPr>
          <w:rFonts w:hint="eastAsia" w:ascii="宋体" w:hAnsi="宋体" w:eastAsia="宋体" w:cs="宋体"/>
          <w:kern w:val="0"/>
          <w:sz w:val="24"/>
          <w:lang w:val="en-US" w:eastAsia="zh-CN"/>
        </w:rPr>
        <w:t>中标人</w:t>
      </w:r>
      <w:r>
        <w:rPr>
          <w:rFonts w:hint="eastAsia" w:ascii="宋体" w:hAnsi="宋体" w:eastAsia="宋体" w:cs="宋体"/>
          <w:kern w:val="0"/>
          <w:sz w:val="24"/>
        </w:rPr>
        <w:t>剩余2个服务月数的合同价款</w:t>
      </w:r>
      <w:r>
        <w:rPr>
          <w:rFonts w:hint="eastAsia" w:ascii="宋体" w:hAnsi="宋体" w:eastAsia="宋体" w:cs="宋体"/>
          <w:kern w:val="0"/>
          <w:sz w:val="24"/>
          <w:lang w:eastAsia="zh-CN"/>
        </w:rPr>
        <w:t>。</w:t>
      </w:r>
    </w:p>
    <w:p w14:paraId="55C1307A">
      <w:pPr>
        <w:keepNext/>
        <w:keepLines/>
        <w:numPr>
          <w:ilvl w:val="0"/>
          <w:numId w:val="2"/>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知识产权和保密要求</w:t>
      </w:r>
    </w:p>
    <w:p w14:paraId="04EC05C2">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投标人应确保本项目所提交成果无知识产权纠纷，项目成果的知识产权属于</w:t>
      </w:r>
      <w:r>
        <w:rPr>
          <w:rFonts w:hint="eastAsia" w:ascii="宋体" w:hAnsi="宋体" w:cs="宋体"/>
          <w:kern w:val="0"/>
          <w:sz w:val="24"/>
          <w:lang w:eastAsia="zh-CN"/>
        </w:rPr>
        <w:t>采购人</w:t>
      </w:r>
      <w:r>
        <w:rPr>
          <w:rFonts w:hint="eastAsia" w:ascii="宋体" w:hAnsi="宋体" w:cs="宋体"/>
          <w:kern w:val="0"/>
          <w:sz w:val="24"/>
        </w:rPr>
        <w:t>。</w:t>
      </w:r>
    </w:p>
    <w:p w14:paraId="1A196FF9">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在签订和履行合同过程中从采购人处获知的技术和商业秘密，无论在合同期限内还是合同终止后，均应遵守国家有关版权、专利、商标等知识产权方面的法律规定，尊重</w:t>
      </w:r>
      <w:r>
        <w:rPr>
          <w:rFonts w:hint="eastAsia" w:ascii="宋体" w:hAnsi="宋体" w:cs="宋体"/>
          <w:kern w:val="0"/>
          <w:sz w:val="24"/>
          <w:lang w:eastAsia="zh-CN"/>
        </w:rPr>
        <w:t>采购人</w:t>
      </w:r>
      <w:r>
        <w:rPr>
          <w:rFonts w:hint="eastAsia" w:ascii="宋体" w:hAnsi="宋体" w:cs="宋体"/>
          <w:kern w:val="0"/>
          <w:sz w:val="24"/>
        </w:rPr>
        <w:t>的知识产权，对所知悉的采购人的技术秘密和商业秘密负有保密责任。未经采购人事先书面授权，不得以任何方式向任何其他组织或个人泄露、转让、许可使用、交换、赠与或与任何其他组织或个人共同使用或不正当使用（依据国家或上级部门指示所做的赠送除外）。违反本条规定给对方造成损失的，违约方应负相关的法律责任。</w:t>
      </w:r>
    </w:p>
    <w:p w14:paraId="019DA236">
      <w:pPr>
        <w:spacing w:line="360" w:lineRule="auto"/>
        <w:contextualSpacing/>
        <w:rPr>
          <w:rFonts w:hint="eastAsia" w:ascii="宋体" w:hAnsi="宋体" w:cs="宋体"/>
          <w:sz w:val="24"/>
        </w:rPr>
      </w:pPr>
    </w:p>
    <w:p w14:paraId="44D8988A">
      <w:pPr>
        <w:pStyle w:val="5"/>
        <w:ind w:firstLine="480"/>
        <w:rPr>
          <w:rFonts w:hint="eastAsia" w:ascii="宋体" w:hAnsi="宋体" w:cs="宋体"/>
          <w:szCs w:val="24"/>
        </w:rPr>
      </w:pPr>
    </w:p>
    <w:p w14:paraId="2014ADD3">
      <w:pPr>
        <w:pStyle w:val="5"/>
        <w:ind w:firstLine="480"/>
        <w:rPr>
          <w:rFonts w:hint="eastAsia" w:ascii="宋体" w:hAnsi="宋体" w:cs="宋体"/>
          <w:szCs w:val="24"/>
        </w:rPr>
      </w:pPr>
    </w:p>
    <w:p w14:paraId="42132770">
      <w:pPr>
        <w:pStyle w:val="5"/>
        <w:ind w:firstLine="480"/>
        <w:rPr>
          <w:rFonts w:hint="eastAsia" w:ascii="宋体" w:hAnsi="宋体" w:cs="宋体"/>
          <w:szCs w:val="24"/>
        </w:rPr>
      </w:pPr>
    </w:p>
    <w:p w14:paraId="1186D453">
      <w:pPr>
        <w:pStyle w:val="5"/>
        <w:ind w:firstLine="480"/>
        <w:rPr>
          <w:rFonts w:hint="eastAsia" w:ascii="宋体" w:hAnsi="宋体" w:cs="宋体"/>
          <w:szCs w:val="24"/>
        </w:rPr>
      </w:pPr>
    </w:p>
    <w:p w14:paraId="49C6B6A4">
      <w:pPr>
        <w:pStyle w:val="5"/>
        <w:ind w:firstLine="480"/>
        <w:rPr>
          <w:rFonts w:hint="eastAsia" w:ascii="宋体" w:hAnsi="宋体" w:cs="宋体"/>
          <w:szCs w:val="24"/>
        </w:rPr>
      </w:pPr>
    </w:p>
    <w:p w14:paraId="2010A653">
      <w:pPr>
        <w:pStyle w:val="5"/>
        <w:ind w:firstLine="480"/>
        <w:rPr>
          <w:rFonts w:hint="eastAsia" w:ascii="宋体" w:hAnsi="宋体" w:cs="宋体"/>
          <w:szCs w:val="24"/>
        </w:rPr>
      </w:pPr>
    </w:p>
    <w:p w14:paraId="27937585">
      <w:pPr>
        <w:pStyle w:val="5"/>
        <w:ind w:firstLine="480"/>
        <w:rPr>
          <w:rFonts w:hint="eastAsia" w:ascii="宋体" w:hAnsi="宋体" w:cs="宋体"/>
          <w:szCs w:val="24"/>
        </w:rPr>
      </w:pPr>
    </w:p>
    <w:p w14:paraId="09D1C30D">
      <w:pPr>
        <w:pStyle w:val="5"/>
        <w:ind w:firstLine="480"/>
        <w:rPr>
          <w:rFonts w:hint="eastAsia" w:ascii="宋体" w:hAnsi="宋体" w:cs="宋体"/>
          <w:szCs w:val="24"/>
        </w:rPr>
      </w:pPr>
    </w:p>
    <w:p w14:paraId="35EA8C61">
      <w:pPr>
        <w:pStyle w:val="5"/>
        <w:ind w:firstLine="480"/>
        <w:rPr>
          <w:rFonts w:hint="eastAsia" w:ascii="宋体" w:hAnsi="宋体" w:cs="宋体"/>
          <w:szCs w:val="24"/>
        </w:rPr>
      </w:pPr>
    </w:p>
    <w:p w14:paraId="76F39C4D">
      <w:pPr>
        <w:pStyle w:val="5"/>
        <w:ind w:firstLine="480"/>
        <w:rPr>
          <w:rFonts w:hint="eastAsia" w:ascii="宋体" w:hAnsi="宋体" w:cs="宋体"/>
          <w:szCs w:val="24"/>
        </w:rPr>
      </w:pPr>
    </w:p>
    <w:p w14:paraId="5E5CDDC4">
      <w:pPr>
        <w:pStyle w:val="5"/>
        <w:ind w:firstLine="480"/>
        <w:rPr>
          <w:rFonts w:hint="eastAsia" w:ascii="宋体" w:hAnsi="宋体" w:cs="宋体"/>
          <w:szCs w:val="24"/>
        </w:rPr>
      </w:pPr>
    </w:p>
    <w:p w14:paraId="44D89348">
      <w:pPr>
        <w:pStyle w:val="5"/>
        <w:ind w:firstLine="480"/>
        <w:rPr>
          <w:rFonts w:hint="eastAsia" w:ascii="宋体" w:hAnsi="宋体" w:cs="宋体"/>
          <w:szCs w:val="24"/>
        </w:rPr>
      </w:pPr>
    </w:p>
    <w:p w14:paraId="0A88BDE8">
      <w:pPr>
        <w:pStyle w:val="5"/>
        <w:ind w:firstLine="480"/>
        <w:rPr>
          <w:rFonts w:hint="eastAsia" w:ascii="宋体" w:hAnsi="宋体" w:cs="宋体"/>
          <w:szCs w:val="24"/>
        </w:rPr>
      </w:pPr>
    </w:p>
    <w:p w14:paraId="5B5678D4">
      <w:pPr>
        <w:pStyle w:val="5"/>
        <w:ind w:firstLine="480"/>
        <w:rPr>
          <w:rFonts w:hint="eastAsia" w:ascii="宋体" w:hAnsi="宋体" w:cs="宋体"/>
          <w:szCs w:val="24"/>
        </w:rPr>
      </w:pPr>
    </w:p>
    <w:p w14:paraId="67026688">
      <w:pPr>
        <w:pStyle w:val="5"/>
        <w:ind w:firstLine="480"/>
        <w:rPr>
          <w:rFonts w:hint="eastAsia" w:ascii="宋体" w:hAnsi="宋体" w:cs="宋体"/>
          <w:szCs w:val="24"/>
        </w:rPr>
      </w:pPr>
    </w:p>
    <w:p w14:paraId="20E2E1FE">
      <w:pPr>
        <w:spacing w:line="360" w:lineRule="auto"/>
        <w:jc w:val="center"/>
        <w:outlineLvl w:val="0"/>
        <w:rPr>
          <w:rFonts w:hint="eastAsia" w:ascii="宋体" w:hAnsi="宋体" w:cs="宋体"/>
          <w:b/>
          <w:sz w:val="24"/>
        </w:rPr>
      </w:pPr>
    </w:p>
    <w:p w14:paraId="331369D2">
      <w:pPr>
        <w:spacing w:line="360" w:lineRule="auto"/>
        <w:contextualSpacing/>
        <w:jc w:val="center"/>
        <w:outlineLvl w:val="0"/>
        <w:rPr>
          <w:rFonts w:hint="eastAsia" w:ascii="宋体" w:hAnsi="宋体" w:cs="宋体"/>
          <w:b/>
          <w:sz w:val="24"/>
        </w:rPr>
        <w:sectPr>
          <w:pgSz w:w="11907" w:h="16840"/>
          <w:pgMar w:top="1418" w:right="1134" w:bottom="1418" w:left="1701" w:header="851" w:footer="851" w:gutter="0"/>
          <w:cols w:space="720" w:num="1"/>
          <w:docGrid w:linePitch="462" w:charSpace="0"/>
        </w:sectPr>
      </w:pPr>
    </w:p>
    <w:p w14:paraId="1C4D0C76">
      <w:pPr>
        <w:spacing w:line="360" w:lineRule="auto"/>
        <w:contextualSpacing/>
        <w:jc w:val="center"/>
        <w:outlineLvl w:val="0"/>
        <w:rPr>
          <w:sz w:val="24"/>
        </w:rPr>
      </w:pPr>
      <w:r>
        <w:rPr>
          <w:rFonts w:hint="eastAsia" w:ascii="宋体" w:hAnsi="宋体" w:cs="宋体"/>
          <w:bCs/>
          <w:sz w:val="24"/>
        </w:rPr>
        <w:t>北京市司法局2025年政务云租赁服务项目（第三包：法治工作业务系统）</w:t>
      </w:r>
    </w:p>
    <w:p w14:paraId="5FF09B22">
      <w:pPr>
        <w:spacing w:line="360" w:lineRule="auto"/>
        <w:contextualSpacing/>
        <w:rPr>
          <w:rFonts w:hint="eastAsia" w:ascii="宋体" w:hAnsi="宋体" w:cs="宋体"/>
          <w:sz w:val="24"/>
        </w:rPr>
      </w:pPr>
    </w:p>
    <w:p w14:paraId="3DAD4963">
      <w:pPr>
        <w:keepNext/>
        <w:keepLines/>
        <w:numPr>
          <w:ilvl w:val="0"/>
          <w:numId w:val="3"/>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项目背景</w:t>
      </w:r>
    </w:p>
    <w:p w14:paraId="67EBB4C3">
      <w:pPr>
        <w:spacing w:after="120" w:line="360" w:lineRule="auto"/>
        <w:ind w:firstLine="480" w:firstLineChars="200"/>
        <w:rPr>
          <w:rFonts w:hint="eastAsia" w:ascii="宋体" w:hAnsi="宋体" w:cs="宋体"/>
          <w:sz w:val="24"/>
        </w:rPr>
      </w:pPr>
      <w:r>
        <w:rPr>
          <w:rFonts w:hint="eastAsia" w:ascii="宋体" w:hAnsi="宋体" w:cs="宋体"/>
          <w:sz w:val="24"/>
        </w:rPr>
        <w:t>北京市司法局拟持续租赁北京市级政务云服务，为北京市规范性文件审查工作信息平台、北京市行政执法信息服务平台租赁政务云基础和扩展服务，服务项包含计算服务（X86平台云主机服务、X86物理服务器租赁服务）、存储服务（普通性能存储、高性能存储、静态存储、本地备份服务）、网络服务（互联网链路服务、远程接入服务）、特定云主机深度监控及运维保障服务（7×24小时值守）、负载均衡服务、安全服务（云端抗DDOS、主机杀毒服务）、其他服务（商用操作系统套餐、商用数据库套餐、集中式存储租用）。</w:t>
      </w:r>
    </w:p>
    <w:p w14:paraId="05973768">
      <w:pPr>
        <w:keepNext/>
        <w:keepLines/>
        <w:numPr>
          <w:ilvl w:val="0"/>
          <w:numId w:val="3"/>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技术参数要求</w:t>
      </w:r>
    </w:p>
    <w:p w14:paraId="30A56603">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政务云基础服务</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56"/>
        <w:gridCol w:w="1056"/>
        <w:gridCol w:w="1056"/>
        <w:gridCol w:w="1656"/>
        <w:gridCol w:w="576"/>
        <w:gridCol w:w="1004"/>
        <w:gridCol w:w="1296"/>
        <w:gridCol w:w="1422"/>
      </w:tblGrid>
      <w:tr w14:paraId="2C04A8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0" w:hRule="atLeast"/>
        </w:trPr>
        <w:tc>
          <w:tcPr>
            <w:tcW w:w="266" w:type="pct"/>
            <w:tcBorders>
              <w:bottom w:val="single" w:color="000000" w:sz="4" w:space="0"/>
              <w:right w:val="single" w:color="000000" w:sz="4" w:space="0"/>
            </w:tcBorders>
            <w:noWrap w:val="0"/>
            <w:vAlign w:val="center"/>
          </w:tcPr>
          <w:p w14:paraId="1EB7B9D9">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序号</w:t>
            </w:r>
          </w:p>
        </w:tc>
        <w:tc>
          <w:tcPr>
            <w:tcW w:w="617" w:type="pct"/>
            <w:tcBorders>
              <w:left w:val="single" w:color="000000" w:sz="4" w:space="0"/>
              <w:bottom w:val="single" w:color="000000" w:sz="4" w:space="0"/>
              <w:right w:val="single" w:color="000000" w:sz="4" w:space="0"/>
            </w:tcBorders>
            <w:noWrap w:val="0"/>
            <w:vAlign w:val="center"/>
          </w:tcPr>
          <w:p w14:paraId="06D8EA51">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服务类别</w:t>
            </w:r>
          </w:p>
        </w:tc>
        <w:tc>
          <w:tcPr>
            <w:tcW w:w="617" w:type="pct"/>
            <w:tcBorders>
              <w:left w:val="single" w:color="000000" w:sz="4" w:space="0"/>
              <w:bottom w:val="single" w:color="000000" w:sz="4" w:space="0"/>
              <w:right w:val="single" w:color="000000" w:sz="4" w:space="0"/>
            </w:tcBorders>
            <w:noWrap w:val="0"/>
            <w:vAlign w:val="center"/>
          </w:tcPr>
          <w:p w14:paraId="0D3FD51C">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服务子类</w:t>
            </w:r>
          </w:p>
        </w:tc>
        <w:tc>
          <w:tcPr>
            <w:tcW w:w="968" w:type="pct"/>
            <w:tcBorders>
              <w:left w:val="single" w:color="000000" w:sz="4" w:space="0"/>
              <w:bottom w:val="single" w:color="000000" w:sz="4" w:space="0"/>
              <w:right w:val="single" w:color="000000" w:sz="4" w:space="0"/>
            </w:tcBorders>
            <w:noWrap w:val="0"/>
            <w:vAlign w:val="center"/>
          </w:tcPr>
          <w:p w14:paraId="0F9D510C">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服务项</w:t>
            </w:r>
          </w:p>
        </w:tc>
        <w:tc>
          <w:tcPr>
            <w:tcW w:w="336" w:type="pct"/>
            <w:tcBorders>
              <w:left w:val="single" w:color="000000" w:sz="4" w:space="0"/>
              <w:bottom w:val="single" w:color="000000" w:sz="4" w:space="0"/>
              <w:right w:val="single" w:color="000000" w:sz="4" w:space="0"/>
            </w:tcBorders>
            <w:noWrap w:val="0"/>
            <w:vAlign w:val="center"/>
          </w:tcPr>
          <w:p w14:paraId="7973FD96">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计价单位</w:t>
            </w:r>
          </w:p>
        </w:tc>
        <w:tc>
          <w:tcPr>
            <w:tcW w:w="604" w:type="pct"/>
            <w:tcBorders>
              <w:left w:val="single" w:color="000000" w:sz="4" w:space="0"/>
              <w:bottom w:val="single" w:color="000000" w:sz="4" w:space="0"/>
              <w:right w:val="single" w:color="000000" w:sz="4" w:space="0"/>
            </w:tcBorders>
            <w:noWrap w:val="0"/>
            <w:vAlign w:val="center"/>
          </w:tcPr>
          <w:p w14:paraId="3588EB89">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报价单位</w:t>
            </w:r>
          </w:p>
        </w:tc>
        <w:tc>
          <w:tcPr>
            <w:tcW w:w="757" w:type="pct"/>
            <w:tcBorders>
              <w:left w:val="single" w:color="000000" w:sz="4" w:space="0"/>
              <w:bottom w:val="single" w:color="000000" w:sz="4" w:space="0"/>
              <w:right w:val="single" w:color="000000" w:sz="4" w:space="0"/>
            </w:tcBorders>
            <w:noWrap/>
            <w:vAlign w:val="center"/>
          </w:tcPr>
          <w:p w14:paraId="1B3FC431">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831" w:type="pct"/>
            <w:tcBorders>
              <w:left w:val="single" w:color="000000" w:sz="4" w:space="0"/>
              <w:bottom w:val="single" w:color="000000" w:sz="4" w:space="0"/>
            </w:tcBorders>
            <w:noWrap/>
            <w:vAlign w:val="center"/>
          </w:tcPr>
          <w:p w14:paraId="05A04D0D">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期限（月）</w:t>
            </w:r>
          </w:p>
        </w:tc>
      </w:tr>
      <w:tr w14:paraId="3096AE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266" w:type="pct"/>
            <w:vMerge w:val="restart"/>
            <w:tcBorders>
              <w:top w:val="nil"/>
              <w:right w:val="single" w:color="000000" w:sz="4" w:space="0"/>
            </w:tcBorders>
            <w:noWrap w:val="0"/>
            <w:vAlign w:val="center"/>
          </w:tcPr>
          <w:p w14:paraId="262E729A">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w:t>
            </w:r>
          </w:p>
        </w:tc>
        <w:tc>
          <w:tcPr>
            <w:tcW w:w="617" w:type="pct"/>
            <w:vMerge w:val="restart"/>
            <w:tcBorders>
              <w:top w:val="nil"/>
              <w:left w:val="single" w:color="000000" w:sz="4" w:space="0"/>
              <w:right w:val="single" w:color="000000" w:sz="4" w:space="0"/>
            </w:tcBorders>
            <w:noWrap w:val="0"/>
            <w:vAlign w:val="center"/>
          </w:tcPr>
          <w:p w14:paraId="253944BC">
            <w:pPr>
              <w:widowControl/>
              <w:tabs>
                <w:tab w:val="left" w:pos="410"/>
              </w:tabs>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计算服务</w:t>
            </w:r>
          </w:p>
        </w:tc>
        <w:tc>
          <w:tcPr>
            <w:tcW w:w="617" w:type="pct"/>
            <w:vMerge w:val="restart"/>
            <w:tcBorders>
              <w:top w:val="nil"/>
              <w:left w:val="single" w:color="000000" w:sz="4" w:space="0"/>
              <w:bottom w:val="single" w:color="000000" w:sz="4" w:space="0"/>
              <w:right w:val="single" w:color="000000" w:sz="4" w:space="0"/>
            </w:tcBorders>
            <w:noWrap w:val="0"/>
            <w:vAlign w:val="center"/>
          </w:tcPr>
          <w:p w14:paraId="035AE13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X86      云计算服务</w:t>
            </w:r>
          </w:p>
        </w:tc>
        <w:tc>
          <w:tcPr>
            <w:tcW w:w="968" w:type="pct"/>
            <w:tcBorders>
              <w:top w:val="nil"/>
              <w:left w:val="single" w:color="000000" w:sz="4" w:space="0"/>
              <w:bottom w:val="single" w:color="000000" w:sz="4" w:space="0"/>
              <w:right w:val="single" w:color="000000" w:sz="4" w:space="0"/>
            </w:tcBorders>
            <w:noWrap w:val="0"/>
            <w:vAlign w:val="center"/>
          </w:tcPr>
          <w:p w14:paraId="7942113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vCPU（主频不低于2.4GHz）</w:t>
            </w:r>
          </w:p>
        </w:tc>
        <w:tc>
          <w:tcPr>
            <w:tcW w:w="336" w:type="pct"/>
            <w:tcBorders>
              <w:top w:val="nil"/>
              <w:left w:val="single" w:color="000000" w:sz="4" w:space="0"/>
              <w:bottom w:val="single" w:color="000000" w:sz="4" w:space="0"/>
              <w:right w:val="single" w:color="000000" w:sz="4" w:space="0"/>
            </w:tcBorders>
            <w:noWrap w:val="0"/>
            <w:vAlign w:val="center"/>
          </w:tcPr>
          <w:p w14:paraId="3835047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CPU</w:t>
            </w:r>
          </w:p>
        </w:tc>
        <w:tc>
          <w:tcPr>
            <w:tcW w:w="604" w:type="pct"/>
            <w:tcBorders>
              <w:top w:val="nil"/>
              <w:left w:val="single" w:color="000000" w:sz="4" w:space="0"/>
              <w:bottom w:val="single" w:color="000000" w:sz="4" w:space="0"/>
              <w:right w:val="single" w:color="000000" w:sz="4" w:space="0"/>
            </w:tcBorders>
            <w:noWrap w:val="0"/>
            <w:vAlign w:val="center"/>
          </w:tcPr>
          <w:p w14:paraId="2CE7F12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nil"/>
              <w:left w:val="single" w:color="000000" w:sz="4" w:space="0"/>
              <w:bottom w:val="single" w:color="000000" w:sz="4" w:space="0"/>
              <w:right w:val="single" w:color="000000" w:sz="4" w:space="0"/>
            </w:tcBorders>
            <w:noWrap w:val="0"/>
            <w:vAlign w:val="center"/>
          </w:tcPr>
          <w:p w14:paraId="31E0231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496</w:t>
            </w:r>
          </w:p>
        </w:tc>
        <w:tc>
          <w:tcPr>
            <w:tcW w:w="831" w:type="pct"/>
            <w:tcBorders>
              <w:top w:val="nil"/>
              <w:left w:val="single" w:color="000000" w:sz="4" w:space="0"/>
              <w:bottom w:val="single" w:color="000000" w:sz="4" w:space="0"/>
            </w:tcBorders>
            <w:noWrap w:val="0"/>
            <w:vAlign w:val="center"/>
          </w:tcPr>
          <w:p w14:paraId="32BF475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64D97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266" w:type="pct"/>
            <w:vMerge w:val="continue"/>
            <w:tcBorders>
              <w:right w:val="single" w:color="000000" w:sz="4" w:space="0"/>
            </w:tcBorders>
            <w:noWrap w:val="0"/>
            <w:vAlign w:val="center"/>
          </w:tcPr>
          <w:p w14:paraId="69013BF7">
            <w:pPr>
              <w:spacing w:line="360" w:lineRule="auto"/>
              <w:jc w:val="center"/>
              <w:rPr>
                <w:rFonts w:hint="eastAsia" w:ascii="宋体" w:hAnsi="宋体" w:cs="宋体"/>
                <w:color w:val="000000"/>
                <w:sz w:val="24"/>
              </w:rPr>
            </w:pPr>
          </w:p>
        </w:tc>
        <w:tc>
          <w:tcPr>
            <w:tcW w:w="617" w:type="pct"/>
            <w:vMerge w:val="continue"/>
            <w:tcBorders>
              <w:left w:val="single" w:color="000000" w:sz="4" w:space="0"/>
              <w:right w:val="single" w:color="000000" w:sz="4" w:space="0"/>
            </w:tcBorders>
            <w:noWrap w:val="0"/>
            <w:vAlign w:val="center"/>
          </w:tcPr>
          <w:p w14:paraId="734431A2">
            <w:pPr>
              <w:spacing w:line="360" w:lineRule="auto"/>
              <w:jc w:val="center"/>
              <w:rPr>
                <w:rFonts w:hint="eastAsia" w:ascii="宋体" w:hAnsi="宋体" w:cs="宋体"/>
                <w:color w:val="000000"/>
                <w:sz w:val="24"/>
              </w:rPr>
            </w:pPr>
          </w:p>
        </w:tc>
        <w:tc>
          <w:tcPr>
            <w:tcW w:w="617" w:type="pct"/>
            <w:vMerge w:val="continue"/>
            <w:tcBorders>
              <w:top w:val="nil"/>
              <w:left w:val="single" w:color="000000" w:sz="4" w:space="0"/>
              <w:bottom w:val="single" w:color="000000" w:sz="4" w:space="0"/>
              <w:right w:val="single" w:color="000000" w:sz="4" w:space="0"/>
            </w:tcBorders>
            <w:noWrap w:val="0"/>
            <w:vAlign w:val="center"/>
          </w:tcPr>
          <w:p w14:paraId="7326AB5E">
            <w:pPr>
              <w:spacing w:line="360" w:lineRule="auto"/>
              <w:jc w:val="center"/>
              <w:rPr>
                <w:rFonts w:hint="eastAsia" w:ascii="宋体" w:hAnsi="宋体" w:cs="宋体"/>
                <w:color w:val="000000"/>
                <w:sz w:val="24"/>
              </w:rPr>
            </w:pP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6BBD4D0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内存</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6F3627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GB</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099045F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19F9327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
              </w:rPr>
              <w:t>,</w:t>
            </w:r>
            <w:r>
              <w:rPr>
                <w:rFonts w:hint="eastAsia" w:ascii="宋体" w:hAnsi="宋体" w:cs="宋体"/>
                <w:color w:val="000000"/>
                <w:sz w:val="24"/>
              </w:rPr>
              <w:t>097</w:t>
            </w:r>
          </w:p>
        </w:tc>
        <w:tc>
          <w:tcPr>
            <w:tcW w:w="831" w:type="pct"/>
            <w:tcBorders>
              <w:top w:val="nil"/>
              <w:left w:val="single" w:color="000000" w:sz="4" w:space="0"/>
              <w:bottom w:val="single" w:color="000000" w:sz="4" w:space="0"/>
            </w:tcBorders>
            <w:noWrap w:val="0"/>
            <w:vAlign w:val="center"/>
          </w:tcPr>
          <w:p w14:paraId="6642B26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1B0180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0" w:hRule="atLeast"/>
        </w:trPr>
        <w:tc>
          <w:tcPr>
            <w:tcW w:w="266" w:type="pct"/>
            <w:vMerge w:val="continue"/>
            <w:tcBorders>
              <w:right w:val="single" w:color="000000" w:sz="4" w:space="0"/>
            </w:tcBorders>
            <w:noWrap w:val="0"/>
            <w:vAlign w:val="center"/>
          </w:tcPr>
          <w:p w14:paraId="7800BC80">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right w:val="single" w:color="000000" w:sz="4" w:space="0"/>
            </w:tcBorders>
            <w:noWrap w:val="0"/>
            <w:vAlign w:val="center"/>
          </w:tcPr>
          <w:p w14:paraId="73C3ACAD">
            <w:pPr>
              <w:widowControl/>
              <w:spacing w:line="360" w:lineRule="auto"/>
              <w:jc w:val="center"/>
              <w:textAlignment w:val="center"/>
              <w:rPr>
                <w:rFonts w:hint="eastAsia" w:ascii="宋体" w:hAnsi="宋体" w:cs="宋体"/>
                <w:color w:val="000000"/>
                <w:kern w:val="0"/>
                <w:sz w:val="24"/>
                <w:lang w:bidi="ar"/>
              </w:rPr>
            </w:pPr>
          </w:p>
        </w:tc>
        <w:tc>
          <w:tcPr>
            <w:tcW w:w="617" w:type="pct"/>
            <w:vMerge w:val="restart"/>
            <w:tcBorders>
              <w:top w:val="single" w:color="000000" w:sz="4" w:space="0"/>
              <w:left w:val="single" w:color="000000" w:sz="4" w:space="0"/>
              <w:right w:val="single" w:color="000000" w:sz="4" w:space="0"/>
            </w:tcBorders>
            <w:noWrap w:val="0"/>
            <w:vAlign w:val="center"/>
          </w:tcPr>
          <w:p w14:paraId="5553423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x86      物理服务器租用服务</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7A34EE5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x86物理服务器配置：2路10核2.0Ghz，128G内存，2块600G SAS硬盘,2个HBA卡，2个万兆端口</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295C06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台</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D4DBAF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1B14E97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831" w:type="pct"/>
            <w:tcBorders>
              <w:top w:val="nil"/>
              <w:left w:val="single" w:color="000000" w:sz="4" w:space="0"/>
              <w:bottom w:val="single" w:color="000000" w:sz="4" w:space="0"/>
            </w:tcBorders>
            <w:noWrap w:val="0"/>
            <w:vAlign w:val="center"/>
          </w:tcPr>
          <w:p w14:paraId="122EE4B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3EE16A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0" w:hRule="atLeast"/>
        </w:trPr>
        <w:tc>
          <w:tcPr>
            <w:tcW w:w="266" w:type="pct"/>
            <w:vMerge w:val="continue"/>
            <w:tcBorders>
              <w:right w:val="single" w:color="000000" w:sz="4" w:space="0"/>
            </w:tcBorders>
            <w:noWrap w:val="0"/>
            <w:vAlign w:val="center"/>
          </w:tcPr>
          <w:p w14:paraId="7C17B19F">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right w:val="single" w:color="000000" w:sz="4" w:space="0"/>
            </w:tcBorders>
            <w:noWrap w:val="0"/>
            <w:vAlign w:val="center"/>
          </w:tcPr>
          <w:p w14:paraId="13D4F44B">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right w:val="single" w:color="000000" w:sz="4" w:space="0"/>
            </w:tcBorders>
            <w:noWrap w:val="0"/>
            <w:vAlign w:val="center"/>
          </w:tcPr>
          <w:p w14:paraId="4ED9FD1B">
            <w:pPr>
              <w:widowControl/>
              <w:spacing w:line="360" w:lineRule="auto"/>
              <w:jc w:val="center"/>
              <w:textAlignment w:val="center"/>
              <w:rPr>
                <w:rFonts w:hint="eastAsia" w:ascii="宋体" w:hAnsi="宋体" w:cs="宋体"/>
                <w:color w:val="000000"/>
                <w:kern w:val="0"/>
                <w:sz w:val="24"/>
                <w:lang w:bidi="ar"/>
              </w:rPr>
            </w:pP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5CED287A">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内存-32GB</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BD0D2B8">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1条</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3F020670">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条/月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4191162D">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w:t>
            </w:r>
          </w:p>
        </w:tc>
        <w:tc>
          <w:tcPr>
            <w:tcW w:w="831" w:type="pct"/>
            <w:tcBorders>
              <w:top w:val="nil"/>
              <w:left w:val="single" w:color="000000" w:sz="4" w:space="0"/>
              <w:bottom w:val="single" w:color="000000" w:sz="4" w:space="0"/>
            </w:tcBorders>
            <w:noWrap w:val="0"/>
            <w:vAlign w:val="center"/>
          </w:tcPr>
          <w:p w14:paraId="02637BC2">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w:t>
            </w:r>
          </w:p>
        </w:tc>
      </w:tr>
      <w:tr w14:paraId="625BD3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0" w:hRule="atLeast"/>
        </w:trPr>
        <w:tc>
          <w:tcPr>
            <w:tcW w:w="266" w:type="pct"/>
            <w:vMerge w:val="continue"/>
            <w:tcBorders>
              <w:bottom w:val="single" w:color="000000" w:sz="4" w:space="0"/>
              <w:right w:val="single" w:color="000000" w:sz="4" w:space="0"/>
            </w:tcBorders>
            <w:noWrap w:val="0"/>
            <w:vAlign w:val="center"/>
          </w:tcPr>
          <w:p w14:paraId="56916EFD">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bottom w:val="single" w:color="000000" w:sz="4" w:space="0"/>
              <w:right w:val="single" w:color="000000" w:sz="4" w:space="0"/>
            </w:tcBorders>
            <w:noWrap w:val="0"/>
            <w:vAlign w:val="center"/>
          </w:tcPr>
          <w:p w14:paraId="53B1E7F7">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bottom w:val="single" w:color="000000" w:sz="4" w:space="0"/>
              <w:right w:val="single" w:color="000000" w:sz="4" w:space="0"/>
            </w:tcBorders>
            <w:noWrap w:val="0"/>
            <w:vAlign w:val="center"/>
          </w:tcPr>
          <w:p w14:paraId="5D7011DA">
            <w:pPr>
              <w:widowControl/>
              <w:spacing w:line="360" w:lineRule="auto"/>
              <w:jc w:val="center"/>
              <w:textAlignment w:val="center"/>
              <w:rPr>
                <w:rFonts w:hint="eastAsia" w:ascii="宋体" w:hAnsi="宋体" w:cs="宋体"/>
                <w:color w:val="000000"/>
                <w:kern w:val="0"/>
                <w:sz w:val="24"/>
                <w:lang w:bidi="ar"/>
              </w:rPr>
            </w:pP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07B20FB3">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硬盘配置3-4TB</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230FE7">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1快</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4E5FD40F">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块/月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098D68FC">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w:t>
            </w:r>
          </w:p>
        </w:tc>
        <w:tc>
          <w:tcPr>
            <w:tcW w:w="831" w:type="pct"/>
            <w:tcBorders>
              <w:top w:val="nil"/>
              <w:left w:val="single" w:color="000000" w:sz="4" w:space="0"/>
              <w:bottom w:val="single" w:color="000000" w:sz="4" w:space="0"/>
            </w:tcBorders>
            <w:noWrap w:val="0"/>
            <w:vAlign w:val="center"/>
          </w:tcPr>
          <w:p w14:paraId="58E233E3">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w:t>
            </w:r>
          </w:p>
        </w:tc>
      </w:tr>
      <w:tr w14:paraId="7DDA09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trPr>
        <w:tc>
          <w:tcPr>
            <w:tcW w:w="266" w:type="pct"/>
            <w:vMerge w:val="restart"/>
            <w:tcBorders>
              <w:top w:val="single" w:color="000000" w:sz="4" w:space="0"/>
              <w:right w:val="single" w:color="000000" w:sz="4" w:space="0"/>
            </w:tcBorders>
            <w:noWrap w:val="0"/>
            <w:vAlign w:val="center"/>
          </w:tcPr>
          <w:p w14:paraId="02577C91">
            <w:pPr>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2</w:t>
            </w:r>
          </w:p>
        </w:tc>
        <w:tc>
          <w:tcPr>
            <w:tcW w:w="617" w:type="pct"/>
            <w:vMerge w:val="restart"/>
            <w:tcBorders>
              <w:top w:val="single" w:color="000000" w:sz="4" w:space="0"/>
              <w:left w:val="single" w:color="000000" w:sz="4" w:space="0"/>
              <w:right w:val="single" w:color="000000" w:sz="4" w:space="0"/>
            </w:tcBorders>
            <w:noWrap w:val="0"/>
            <w:vAlign w:val="center"/>
          </w:tcPr>
          <w:p w14:paraId="60138FBA">
            <w:pPr>
              <w:spacing w:line="360" w:lineRule="auto"/>
              <w:jc w:val="center"/>
              <w:rPr>
                <w:rFonts w:hint="eastAsia" w:ascii="宋体" w:hAnsi="宋体" w:cs="宋体"/>
                <w:sz w:val="24"/>
              </w:rPr>
            </w:pPr>
            <w:r>
              <w:rPr>
                <w:rFonts w:hint="eastAsia" w:ascii="宋体" w:hAnsi="宋体" w:cs="宋体"/>
                <w:color w:val="000000"/>
                <w:kern w:val="0"/>
                <w:sz w:val="24"/>
                <w:lang w:bidi="ar"/>
              </w:rPr>
              <w:t>存储服务</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412A20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普通存储</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5FEF1941">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普通存储（单盘技术指标:</w:t>
            </w:r>
          </w:p>
          <w:p w14:paraId="7A1B10B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单盘IOPS 1000-3000）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AD246C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GB</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6836468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ign w:val="center"/>
          </w:tcPr>
          <w:p w14:paraId="7D706E9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53</w:t>
            </w:r>
            <w:r>
              <w:rPr>
                <w:rFonts w:hint="eastAsia" w:ascii="宋体" w:hAnsi="宋体" w:cs="宋体"/>
                <w:color w:val="000000"/>
                <w:sz w:val="24"/>
                <w:lang w:eastAsia="zh"/>
              </w:rPr>
              <w:t>,</w:t>
            </w:r>
            <w:r>
              <w:rPr>
                <w:rFonts w:hint="eastAsia" w:ascii="宋体" w:hAnsi="宋体" w:cs="宋体"/>
                <w:color w:val="000000"/>
                <w:sz w:val="24"/>
              </w:rPr>
              <w:t>760</w:t>
            </w:r>
          </w:p>
        </w:tc>
        <w:tc>
          <w:tcPr>
            <w:tcW w:w="831" w:type="pct"/>
            <w:tcBorders>
              <w:top w:val="nil"/>
              <w:left w:val="single" w:color="000000" w:sz="4" w:space="0"/>
              <w:bottom w:val="single" w:color="000000" w:sz="4" w:space="0"/>
            </w:tcBorders>
            <w:noWrap w:val="0"/>
            <w:vAlign w:val="center"/>
          </w:tcPr>
          <w:p w14:paraId="46AFC0D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0DA23E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trPr>
        <w:tc>
          <w:tcPr>
            <w:tcW w:w="266" w:type="pct"/>
            <w:vMerge w:val="continue"/>
            <w:tcBorders>
              <w:right w:val="single" w:color="000000" w:sz="4" w:space="0"/>
            </w:tcBorders>
            <w:noWrap w:val="0"/>
            <w:vAlign w:val="center"/>
          </w:tcPr>
          <w:p w14:paraId="106D1B05">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right w:val="single" w:color="000000" w:sz="4" w:space="0"/>
            </w:tcBorders>
            <w:noWrap w:val="0"/>
            <w:vAlign w:val="center"/>
          </w:tcPr>
          <w:p w14:paraId="1227A924">
            <w:pPr>
              <w:widowControl/>
              <w:spacing w:line="360" w:lineRule="auto"/>
              <w:jc w:val="center"/>
              <w:textAlignment w:val="center"/>
              <w:rPr>
                <w:rFonts w:hint="eastAsia" w:ascii="宋体" w:hAnsi="宋体" w:cs="宋体"/>
                <w:color w:val="000000"/>
                <w:kern w:val="0"/>
                <w:sz w:val="24"/>
                <w:lang w:bidi="ar"/>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DF7D5B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高性能存储</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1DE5CAC9">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高性能存储（单盘技术指标：</w:t>
            </w:r>
          </w:p>
          <w:p w14:paraId="7AE153C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单盘IOPS 3000-20000）</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8D098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GB</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20A566B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264C230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15</w:t>
            </w:r>
            <w:r>
              <w:rPr>
                <w:rFonts w:hint="eastAsia" w:ascii="宋体" w:hAnsi="宋体" w:cs="宋体"/>
                <w:color w:val="000000"/>
                <w:kern w:val="0"/>
                <w:sz w:val="24"/>
                <w:lang w:eastAsia="zh" w:bidi="ar"/>
              </w:rPr>
              <w:t>,</w:t>
            </w:r>
            <w:r>
              <w:rPr>
                <w:rFonts w:hint="eastAsia" w:ascii="宋体" w:hAnsi="宋体" w:cs="宋体"/>
                <w:color w:val="000000"/>
                <w:kern w:val="0"/>
                <w:sz w:val="24"/>
                <w:lang w:bidi="ar"/>
              </w:rPr>
              <w:t>878.8</w:t>
            </w:r>
          </w:p>
        </w:tc>
        <w:tc>
          <w:tcPr>
            <w:tcW w:w="831" w:type="pct"/>
            <w:tcBorders>
              <w:top w:val="nil"/>
              <w:left w:val="single" w:color="000000" w:sz="4" w:space="0"/>
              <w:bottom w:val="single" w:color="000000" w:sz="4" w:space="0"/>
            </w:tcBorders>
            <w:noWrap w:val="0"/>
            <w:vAlign w:val="center"/>
          </w:tcPr>
          <w:p w14:paraId="03BCDC6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655069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0" w:hRule="atLeast"/>
        </w:trPr>
        <w:tc>
          <w:tcPr>
            <w:tcW w:w="266" w:type="pct"/>
            <w:vMerge w:val="continue"/>
            <w:tcBorders>
              <w:right w:val="single" w:color="000000" w:sz="4" w:space="0"/>
            </w:tcBorders>
            <w:noWrap w:val="0"/>
            <w:vAlign w:val="center"/>
          </w:tcPr>
          <w:p w14:paraId="3D8BD85F">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right w:val="single" w:color="000000" w:sz="4" w:space="0"/>
            </w:tcBorders>
            <w:noWrap w:val="0"/>
            <w:vAlign w:val="center"/>
          </w:tcPr>
          <w:p w14:paraId="19FC5D2E">
            <w:pPr>
              <w:widowControl/>
              <w:spacing w:line="360" w:lineRule="auto"/>
              <w:jc w:val="center"/>
              <w:textAlignment w:val="center"/>
              <w:rPr>
                <w:rFonts w:hint="eastAsia" w:ascii="宋体" w:hAnsi="宋体" w:cs="宋体"/>
                <w:color w:val="000000"/>
                <w:kern w:val="0"/>
                <w:sz w:val="24"/>
                <w:lang w:bidi="ar"/>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A0FFBB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静态存储</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5BD40CA8">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大容量、高可靠的数据存储服务</w:t>
            </w:r>
          </w:p>
          <w:p w14:paraId="2097F013">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具备PB级线性扩展能力</w:t>
            </w:r>
          </w:p>
          <w:p w14:paraId="49A7B12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提供静态数据存储</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4A8B7F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1TB</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C6E47C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5B648B2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52.53</w:t>
            </w:r>
          </w:p>
        </w:tc>
        <w:tc>
          <w:tcPr>
            <w:tcW w:w="831" w:type="pct"/>
            <w:tcBorders>
              <w:top w:val="nil"/>
              <w:left w:val="single" w:color="000000" w:sz="4" w:space="0"/>
              <w:bottom w:val="single" w:color="000000" w:sz="4" w:space="0"/>
            </w:tcBorders>
            <w:noWrap w:val="0"/>
            <w:vAlign w:val="center"/>
          </w:tcPr>
          <w:p w14:paraId="6C16BFE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39D53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0" w:hRule="atLeast"/>
        </w:trPr>
        <w:tc>
          <w:tcPr>
            <w:tcW w:w="266" w:type="pct"/>
            <w:tcBorders>
              <w:right w:val="single" w:color="000000" w:sz="4" w:space="0"/>
            </w:tcBorders>
            <w:noWrap w:val="0"/>
            <w:vAlign w:val="center"/>
          </w:tcPr>
          <w:p w14:paraId="7AC82BB8">
            <w:pPr>
              <w:widowControl/>
              <w:spacing w:line="360" w:lineRule="auto"/>
              <w:jc w:val="center"/>
              <w:textAlignment w:val="center"/>
              <w:rPr>
                <w:rFonts w:hint="eastAsia" w:ascii="宋体" w:hAnsi="宋体" w:cs="宋体"/>
                <w:color w:val="000000"/>
                <w:kern w:val="0"/>
                <w:sz w:val="24"/>
                <w:lang w:bidi="ar"/>
              </w:rPr>
            </w:pPr>
          </w:p>
        </w:tc>
        <w:tc>
          <w:tcPr>
            <w:tcW w:w="617" w:type="pct"/>
            <w:tcBorders>
              <w:left w:val="single" w:color="000000" w:sz="4" w:space="0"/>
              <w:right w:val="single" w:color="000000" w:sz="4" w:space="0"/>
            </w:tcBorders>
            <w:noWrap w:val="0"/>
            <w:vAlign w:val="center"/>
          </w:tcPr>
          <w:p w14:paraId="26D234AE">
            <w:pPr>
              <w:widowControl/>
              <w:spacing w:line="360" w:lineRule="auto"/>
              <w:jc w:val="center"/>
              <w:textAlignment w:val="center"/>
              <w:rPr>
                <w:rFonts w:hint="eastAsia" w:ascii="宋体" w:hAnsi="宋体" w:cs="宋体"/>
                <w:color w:val="000000"/>
                <w:kern w:val="0"/>
                <w:sz w:val="24"/>
                <w:lang w:bidi="ar"/>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3CBCDB4">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本地</w:t>
            </w:r>
          </w:p>
          <w:p w14:paraId="73E80119">
            <w:pPr>
              <w:widowControl/>
              <w:spacing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备份服务</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2FDEC8D7">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通过备份策略实现文件、</w:t>
            </w:r>
          </w:p>
          <w:p w14:paraId="05ABF2A8">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操作系统、数据库的本地备份</w:t>
            </w:r>
          </w:p>
          <w:p w14:paraId="684FCFD6">
            <w:pPr>
              <w:widowControl/>
              <w:spacing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（不包含备份存储空间费用）</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62A0B2D6">
            <w:pPr>
              <w:widowControl/>
              <w:spacing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1GB</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6392CB5">
            <w:pPr>
              <w:widowControl/>
              <w:spacing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5646CDF6">
            <w:pPr>
              <w:widowControl/>
              <w:spacing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44</w:t>
            </w:r>
            <w:r>
              <w:rPr>
                <w:rFonts w:hint="eastAsia" w:ascii="宋体" w:hAnsi="宋体" w:cs="宋体"/>
                <w:color w:val="000000"/>
                <w:kern w:val="0"/>
                <w:sz w:val="24"/>
                <w:lang w:eastAsia="zh" w:bidi="ar"/>
              </w:rPr>
              <w:t>,</w:t>
            </w:r>
            <w:r>
              <w:rPr>
                <w:rFonts w:hint="eastAsia" w:ascii="宋体" w:hAnsi="宋体" w:cs="宋体"/>
                <w:color w:val="000000"/>
                <w:kern w:val="0"/>
                <w:sz w:val="24"/>
                <w:lang w:bidi="ar"/>
              </w:rPr>
              <w:t>681.83</w:t>
            </w:r>
          </w:p>
        </w:tc>
        <w:tc>
          <w:tcPr>
            <w:tcW w:w="831" w:type="pct"/>
            <w:tcBorders>
              <w:top w:val="nil"/>
              <w:left w:val="single" w:color="000000" w:sz="4" w:space="0"/>
              <w:bottom w:val="single" w:color="000000" w:sz="4" w:space="0"/>
            </w:tcBorders>
            <w:noWrap w:val="0"/>
            <w:vAlign w:val="center"/>
          </w:tcPr>
          <w:p w14:paraId="4820A100">
            <w:pPr>
              <w:widowControl/>
              <w:spacing w:line="360" w:lineRule="auto"/>
              <w:jc w:val="center"/>
              <w:textAlignment w:val="center"/>
              <w:rPr>
                <w:rFonts w:hint="eastAsia" w:ascii="宋体" w:hAnsi="宋体" w:cs="宋体"/>
                <w:color w:val="000000"/>
                <w:kern w:val="2"/>
                <w:sz w:val="24"/>
                <w:szCs w:val="24"/>
                <w:lang w:val="en-US" w:eastAsia="zh-CN" w:bidi="ar-SA"/>
              </w:rPr>
            </w:pPr>
            <w:r>
              <w:rPr>
                <w:rFonts w:hint="eastAsia" w:ascii="宋体" w:hAnsi="宋体" w:cs="宋体"/>
                <w:color w:val="000000"/>
                <w:kern w:val="0"/>
                <w:sz w:val="24"/>
                <w:lang w:bidi="ar"/>
              </w:rPr>
              <w:t>12</w:t>
            </w:r>
          </w:p>
        </w:tc>
      </w:tr>
      <w:tr w14:paraId="380A7B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5" w:hRule="atLeast"/>
        </w:trPr>
        <w:tc>
          <w:tcPr>
            <w:tcW w:w="266" w:type="pct"/>
            <w:vMerge w:val="restart"/>
            <w:tcBorders>
              <w:top w:val="single" w:color="000000" w:sz="4" w:space="0"/>
              <w:right w:val="single" w:color="000000" w:sz="4" w:space="0"/>
            </w:tcBorders>
            <w:noWrap w:val="0"/>
            <w:vAlign w:val="center"/>
          </w:tcPr>
          <w:p w14:paraId="6E2B8CE1">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w:t>
            </w:r>
          </w:p>
        </w:tc>
        <w:tc>
          <w:tcPr>
            <w:tcW w:w="617" w:type="pct"/>
            <w:vMerge w:val="restart"/>
            <w:tcBorders>
              <w:top w:val="single" w:color="000000" w:sz="4" w:space="0"/>
              <w:left w:val="single" w:color="000000" w:sz="4" w:space="0"/>
              <w:right w:val="single" w:color="000000" w:sz="4" w:space="0"/>
            </w:tcBorders>
            <w:noWrap w:val="0"/>
            <w:vAlign w:val="center"/>
          </w:tcPr>
          <w:p w14:paraId="7A7A769F">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网络服务</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358102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互联网</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4E30035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互联网链路带宽</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7E321BB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Mb</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0064B9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3DC8E60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50</w:t>
            </w:r>
          </w:p>
        </w:tc>
        <w:tc>
          <w:tcPr>
            <w:tcW w:w="831" w:type="pct"/>
            <w:tcBorders>
              <w:top w:val="nil"/>
              <w:left w:val="single" w:color="000000" w:sz="4" w:space="0"/>
              <w:bottom w:val="single" w:color="000000" w:sz="4" w:space="0"/>
            </w:tcBorders>
            <w:noWrap w:val="0"/>
            <w:vAlign w:val="center"/>
          </w:tcPr>
          <w:p w14:paraId="07586CA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048811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trPr>
        <w:tc>
          <w:tcPr>
            <w:tcW w:w="266" w:type="pct"/>
            <w:vMerge w:val="continue"/>
            <w:tcBorders>
              <w:right w:val="single" w:color="000000" w:sz="4" w:space="0"/>
            </w:tcBorders>
            <w:noWrap w:val="0"/>
            <w:vAlign w:val="center"/>
          </w:tcPr>
          <w:p w14:paraId="6FE2D06B">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right w:val="single" w:color="000000" w:sz="4" w:space="0"/>
            </w:tcBorders>
            <w:noWrap w:val="0"/>
            <w:vAlign w:val="center"/>
          </w:tcPr>
          <w:p w14:paraId="37A8AE0B">
            <w:pPr>
              <w:widowControl/>
              <w:spacing w:line="360" w:lineRule="auto"/>
              <w:jc w:val="center"/>
              <w:textAlignment w:val="center"/>
              <w:rPr>
                <w:rFonts w:hint="eastAsia" w:ascii="宋体" w:hAnsi="宋体" w:cs="宋体"/>
                <w:color w:val="000000"/>
                <w:kern w:val="0"/>
                <w:sz w:val="24"/>
                <w:lang w:bidi="ar"/>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69A298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链路服务</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3B98E049">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互联网IP地址租用服务</w:t>
            </w:r>
          </w:p>
          <w:p w14:paraId="18BEED3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并提供备案服务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7BEF79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 IP</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54BD974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2BE9F44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831" w:type="pct"/>
            <w:tcBorders>
              <w:top w:val="nil"/>
              <w:left w:val="single" w:color="000000" w:sz="4" w:space="0"/>
              <w:bottom w:val="single" w:color="000000" w:sz="4" w:space="0"/>
            </w:tcBorders>
            <w:noWrap w:val="0"/>
            <w:vAlign w:val="center"/>
          </w:tcPr>
          <w:p w14:paraId="5B0C4E9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53FAFE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trPr>
        <w:tc>
          <w:tcPr>
            <w:tcW w:w="266" w:type="pct"/>
            <w:vMerge w:val="continue"/>
            <w:tcBorders>
              <w:right w:val="single" w:color="000000" w:sz="4" w:space="0"/>
            </w:tcBorders>
            <w:noWrap w:val="0"/>
            <w:vAlign w:val="center"/>
          </w:tcPr>
          <w:p w14:paraId="20947113">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right w:val="single" w:color="000000" w:sz="4" w:space="0"/>
            </w:tcBorders>
            <w:noWrap w:val="0"/>
            <w:vAlign w:val="center"/>
          </w:tcPr>
          <w:p w14:paraId="47FDE14C">
            <w:pPr>
              <w:widowControl/>
              <w:spacing w:line="360" w:lineRule="auto"/>
              <w:jc w:val="center"/>
              <w:textAlignment w:val="center"/>
              <w:rPr>
                <w:rFonts w:hint="eastAsia" w:ascii="宋体" w:hAnsi="宋体" w:cs="宋体"/>
                <w:color w:val="000000"/>
                <w:kern w:val="0"/>
                <w:sz w:val="24"/>
                <w:lang w:bidi="ar"/>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C282E85">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远程</w:t>
            </w:r>
          </w:p>
          <w:p w14:paraId="67F15FD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接入服务</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51C221DA">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远程接入运维，每个账号结合</w:t>
            </w:r>
          </w:p>
          <w:p w14:paraId="25858ADF">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身份验证通过VPN远程接入</w:t>
            </w:r>
          </w:p>
          <w:p w14:paraId="567C6DA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堡垒机进行维护</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51E1D2E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1账号</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71FB9EF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409F2CA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831" w:type="pct"/>
            <w:tcBorders>
              <w:top w:val="nil"/>
              <w:left w:val="single" w:color="000000" w:sz="4" w:space="0"/>
              <w:bottom w:val="single" w:color="000000" w:sz="4" w:space="0"/>
            </w:tcBorders>
            <w:noWrap w:val="0"/>
            <w:vAlign w:val="center"/>
          </w:tcPr>
          <w:p w14:paraId="491B862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0FA474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trPr>
        <w:tc>
          <w:tcPr>
            <w:tcW w:w="266" w:type="pct"/>
            <w:vMerge w:val="continue"/>
            <w:tcBorders>
              <w:bottom w:val="single" w:color="000000" w:sz="4" w:space="0"/>
              <w:right w:val="single" w:color="000000" w:sz="4" w:space="0"/>
            </w:tcBorders>
            <w:noWrap w:val="0"/>
            <w:vAlign w:val="center"/>
          </w:tcPr>
          <w:p w14:paraId="04FECD16">
            <w:pPr>
              <w:widowControl/>
              <w:spacing w:line="360" w:lineRule="auto"/>
              <w:jc w:val="center"/>
              <w:textAlignment w:val="center"/>
              <w:rPr>
                <w:rFonts w:hint="eastAsia" w:ascii="宋体" w:hAnsi="宋体" w:cs="宋体"/>
                <w:color w:val="000000"/>
                <w:kern w:val="0"/>
                <w:sz w:val="24"/>
                <w:lang w:bidi="ar"/>
              </w:rPr>
            </w:pPr>
          </w:p>
        </w:tc>
        <w:tc>
          <w:tcPr>
            <w:tcW w:w="617" w:type="pct"/>
            <w:vMerge w:val="continue"/>
            <w:tcBorders>
              <w:left w:val="single" w:color="000000" w:sz="4" w:space="0"/>
              <w:bottom w:val="single" w:color="000000" w:sz="4" w:space="0"/>
              <w:right w:val="single" w:color="000000" w:sz="4" w:space="0"/>
            </w:tcBorders>
            <w:noWrap w:val="0"/>
            <w:vAlign w:val="center"/>
          </w:tcPr>
          <w:p w14:paraId="39803356">
            <w:pPr>
              <w:widowControl/>
              <w:spacing w:line="360" w:lineRule="auto"/>
              <w:jc w:val="center"/>
              <w:textAlignment w:val="center"/>
              <w:rPr>
                <w:rFonts w:hint="eastAsia" w:ascii="宋体" w:hAnsi="宋体" w:cs="宋体"/>
                <w:color w:val="000000"/>
                <w:kern w:val="0"/>
                <w:sz w:val="24"/>
                <w:lang w:bidi="ar"/>
              </w:rPr>
            </w:pP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97B0633">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负载</w:t>
            </w:r>
          </w:p>
          <w:p w14:paraId="3FF0B9EF">
            <w:pPr>
              <w:widowControl/>
              <w:spacing w:line="360" w:lineRule="auto"/>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lang w:bidi="ar"/>
              </w:rPr>
              <w:t>均衡服务</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64BB3FE0">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提供主机应用集群</w:t>
            </w:r>
          </w:p>
          <w:p w14:paraId="5943C9F8">
            <w:pPr>
              <w:widowControl/>
              <w:spacing w:line="360" w:lineRule="auto"/>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lang w:bidi="ar"/>
              </w:rPr>
              <w:t>负载均衡服务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21B2C3B9">
            <w:pPr>
              <w:widowControl/>
              <w:spacing w:line="360" w:lineRule="auto"/>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lang w:bidi="ar"/>
              </w:rPr>
              <w:t>1主机</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47B2A400">
            <w:pPr>
              <w:widowControl/>
              <w:spacing w:line="360" w:lineRule="auto"/>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lang w:bidi="ar"/>
              </w:rPr>
              <w:t>IP/元/月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0D569451">
            <w:pPr>
              <w:widowControl/>
              <w:spacing w:line="360" w:lineRule="auto"/>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lang w:bidi="ar"/>
              </w:rPr>
              <w:t>9</w:t>
            </w:r>
          </w:p>
        </w:tc>
        <w:tc>
          <w:tcPr>
            <w:tcW w:w="831" w:type="pct"/>
            <w:tcBorders>
              <w:top w:val="nil"/>
              <w:left w:val="single" w:color="000000" w:sz="4" w:space="0"/>
              <w:bottom w:val="single" w:color="000000" w:sz="4" w:space="0"/>
            </w:tcBorders>
            <w:noWrap w:val="0"/>
            <w:vAlign w:val="center"/>
          </w:tcPr>
          <w:p w14:paraId="36FA68AC">
            <w:pPr>
              <w:widowControl/>
              <w:spacing w:line="360" w:lineRule="auto"/>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lang w:bidi="ar"/>
              </w:rPr>
              <w:t>12</w:t>
            </w:r>
          </w:p>
        </w:tc>
      </w:tr>
      <w:tr w14:paraId="5FFF9C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0" w:hRule="atLeast"/>
        </w:trPr>
        <w:tc>
          <w:tcPr>
            <w:tcW w:w="266" w:type="pct"/>
            <w:tcBorders>
              <w:top w:val="single" w:color="000000" w:sz="4" w:space="0"/>
              <w:bottom w:val="single" w:color="000000" w:sz="4" w:space="0"/>
              <w:right w:val="single" w:color="000000" w:sz="4" w:space="0"/>
            </w:tcBorders>
            <w:noWrap w:val="0"/>
            <w:vAlign w:val="center"/>
          </w:tcPr>
          <w:p w14:paraId="28C52F0A">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A4AA70A">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特定云主机深度监控及运维保障服务（7×24小时值守）</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C7C5D4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特定云主机深度监控及运维保障服务（7×24小时值守）</w:t>
            </w:r>
          </w:p>
        </w:tc>
        <w:tc>
          <w:tcPr>
            <w:tcW w:w="968" w:type="pct"/>
            <w:tcBorders>
              <w:top w:val="single" w:color="000000" w:sz="4" w:space="0"/>
              <w:left w:val="single" w:color="000000" w:sz="4" w:space="0"/>
              <w:bottom w:val="single" w:color="000000" w:sz="4" w:space="0"/>
              <w:right w:val="single" w:color="000000" w:sz="4" w:space="0"/>
            </w:tcBorders>
            <w:noWrap w:val="0"/>
            <w:vAlign w:val="center"/>
          </w:tcPr>
          <w:p w14:paraId="17ED774A">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7×24小时深度监测云主机资源、硬件设备监控、云平台层</w:t>
            </w:r>
          </w:p>
          <w:p w14:paraId="48A1E50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应急处置等内容</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4CE4858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1主机</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7ECC1BB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000000" w:sz="4" w:space="0"/>
            </w:tcBorders>
            <w:noWrap w:val="0"/>
            <w:vAlign w:val="center"/>
          </w:tcPr>
          <w:p w14:paraId="09CEBC2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52</w:t>
            </w:r>
          </w:p>
        </w:tc>
        <w:tc>
          <w:tcPr>
            <w:tcW w:w="831" w:type="pct"/>
            <w:tcBorders>
              <w:top w:val="nil"/>
              <w:left w:val="single" w:color="000000" w:sz="4" w:space="0"/>
              <w:bottom w:val="single" w:color="auto" w:sz="4" w:space="0"/>
            </w:tcBorders>
            <w:noWrap w:val="0"/>
            <w:vAlign w:val="center"/>
          </w:tcPr>
          <w:p w14:paraId="1B60378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bl>
    <w:p w14:paraId="363E9BC8">
      <w:pPr>
        <w:rPr>
          <w:rFonts w:hint="eastAsia"/>
          <w:sz w:val="24"/>
        </w:rPr>
      </w:pPr>
    </w:p>
    <w:p w14:paraId="6DD3247C">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政务云扩展服务</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56"/>
        <w:gridCol w:w="1006"/>
        <w:gridCol w:w="1008"/>
        <w:gridCol w:w="1595"/>
        <w:gridCol w:w="576"/>
        <w:gridCol w:w="1170"/>
        <w:gridCol w:w="1289"/>
        <w:gridCol w:w="1422"/>
      </w:tblGrid>
      <w:tr w14:paraId="4D518D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0" w:hRule="atLeast"/>
        </w:trPr>
        <w:tc>
          <w:tcPr>
            <w:tcW w:w="266" w:type="pct"/>
            <w:tcBorders>
              <w:bottom w:val="single" w:color="000000" w:sz="4" w:space="0"/>
              <w:right w:val="single" w:color="000000" w:sz="4" w:space="0"/>
            </w:tcBorders>
            <w:noWrap w:val="0"/>
            <w:vAlign w:val="center"/>
          </w:tcPr>
          <w:p w14:paraId="5264B2AB">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序号</w:t>
            </w:r>
          </w:p>
        </w:tc>
        <w:tc>
          <w:tcPr>
            <w:tcW w:w="591" w:type="pct"/>
            <w:tcBorders>
              <w:left w:val="single" w:color="000000" w:sz="4" w:space="0"/>
              <w:bottom w:val="single" w:color="000000" w:sz="4" w:space="0"/>
              <w:right w:val="single" w:color="000000" w:sz="4" w:space="0"/>
            </w:tcBorders>
            <w:noWrap w:val="0"/>
            <w:vAlign w:val="center"/>
          </w:tcPr>
          <w:p w14:paraId="4DB01998">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服务类别</w:t>
            </w:r>
          </w:p>
        </w:tc>
        <w:tc>
          <w:tcPr>
            <w:tcW w:w="592" w:type="pct"/>
            <w:tcBorders>
              <w:left w:val="single" w:color="000000" w:sz="4" w:space="0"/>
              <w:bottom w:val="single" w:color="000000" w:sz="4" w:space="0"/>
              <w:right w:val="single" w:color="000000" w:sz="4" w:space="0"/>
            </w:tcBorders>
            <w:noWrap w:val="0"/>
            <w:vAlign w:val="center"/>
          </w:tcPr>
          <w:p w14:paraId="6C100092">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服务子类</w:t>
            </w:r>
          </w:p>
        </w:tc>
        <w:tc>
          <w:tcPr>
            <w:tcW w:w="936" w:type="pct"/>
            <w:tcBorders>
              <w:left w:val="single" w:color="000000" w:sz="4" w:space="0"/>
              <w:bottom w:val="single" w:color="000000" w:sz="4" w:space="0"/>
              <w:right w:val="single" w:color="000000" w:sz="4" w:space="0"/>
            </w:tcBorders>
            <w:noWrap w:val="0"/>
            <w:vAlign w:val="center"/>
          </w:tcPr>
          <w:p w14:paraId="4DAA67CF">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服务项</w:t>
            </w:r>
          </w:p>
        </w:tc>
        <w:tc>
          <w:tcPr>
            <w:tcW w:w="336" w:type="pct"/>
            <w:tcBorders>
              <w:left w:val="single" w:color="000000" w:sz="4" w:space="0"/>
              <w:bottom w:val="single" w:color="000000" w:sz="4" w:space="0"/>
              <w:right w:val="single" w:color="000000" w:sz="4" w:space="0"/>
            </w:tcBorders>
            <w:noWrap w:val="0"/>
            <w:vAlign w:val="center"/>
          </w:tcPr>
          <w:p w14:paraId="6EDF8C05">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计价单位</w:t>
            </w:r>
          </w:p>
        </w:tc>
        <w:tc>
          <w:tcPr>
            <w:tcW w:w="687" w:type="pct"/>
            <w:tcBorders>
              <w:left w:val="single" w:color="000000" w:sz="4" w:space="0"/>
              <w:bottom w:val="single" w:color="000000" w:sz="4" w:space="0"/>
              <w:right w:val="single" w:color="000000" w:sz="4" w:space="0"/>
            </w:tcBorders>
            <w:noWrap w:val="0"/>
            <w:vAlign w:val="center"/>
          </w:tcPr>
          <w:p w14:paraId="6F1F5986">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报价单位</w:t>
            </w:r>
          </w:p>
        </w:tc>
        <w:tc>
          <w:tcPr>
            <w:tcW w:w="757" w:type="pct"/>
            <w:tcBorders>
              <w:left w:val="single" w:color="000000" w:sz="4" w:space="0"/>
              <w:bottom w:val="single" w:color="000000" w:sz="4" w:space="0"/>
              <w:right w:val="single" w:color="000000" w:sz="4" w:space="0"/>
            </w:tcBorders>
            <w:noWrap/>
            <w:vAlign w:val="center"/>
          </w:tcPr>
          <w:p w14:paraId="22B704C3">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831" w:type="pct"/>
            <w:tcBorders>
              <w:left w:val="single" w:color="000000" w:sz="4" w:space="0"/>
              <w:bottom w:val="single" w:color="000000" w:sz="4" w:space="0"/>
            </w:tcBorders>
            <w:noWrap/>
            <w:vAlign w:val="center"/>
          </w:tcPr>
          <w:p w14:paraId="7C9013A7">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期限（月）</w:t>
            </w:r>
          </w:p>
        </w:tc>
      </w:tr>
      <w:tr w14:paraId="50CA24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atLeast"/>
        </w:trPr>
        <w:tc>
          <w:tcPr>
            <w:tcW w:w="266" w:type="pct"/>
            <w:vMerge w:val="restart"/>
            <w:tcBorders>
              <w:right w:val="single" w:color="000000" w:sz="4" w:space="0"/>
            </w:tcBorders>
            <w:noWrap w:val="0"/>
            <w:vAlign w:val="center"/>
          </w:tcPr>
          <w:p w14:paraId="30BD8FA0">
            <w:pPr>
              <w:widowControl/>
              <w:spacing w:line="36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w:t>
            </w:r>
          </w:p>
        </w:tc>
        <w:tc>
          <w:tcPr>
            <w:tcW w:w="591" w:type="pct"/>
            <w:vMerge w:val="restart"/>
            <w:tcBorders>
              <w:left w:val="single" w:color="000000" w:sz="4" w:space="0"/>
              <w:right w:val="single" w:color="000000" w:sz="4" w:space="0"/>
            </w:tcBorders>
            <w:noWrap w:val="0"/>
            <w:vAlign w:val="center"/>
          </w:tcPr>
          <w:p w14:paraId="7AC4CC35">
            <w:pPr>
              <w:widowControl/>
              <w:spacing w:line="36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其它服务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B8EC980">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集中式</w:t>
            </w:r>
          </w:p>
          <w:p w14:paraId="79E183E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存储租用</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1E3BE34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提供集中式存储用于支持Oracle RAC</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058F017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1GB</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4C5FC5A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auto" w:sz="4" w:space="0"/>
            </w:tcBorders>
            <w:noWrap w:val="0"/>
            <w:vAlign w:val="center"/>
          </w:tcPr>
          <w:p w14:paraId="2302DAC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r>
              <w:rPr>
                <w:rFonts w:hint="eastAsia" w:ascii="宋体" w:hAnsi="宋体" w:cs="宋体"/>
                <w:color w:val="000000"/>
                <w:kern w:val="0"/>
                <w:sz w:val="24"/>
                <w:lang w:eastAsia="zh" w:bidi="ar"/>
              </w:rPr>
              <w:t>,</w:t>
            </w:r>
            <w:r>
              <w:rPr>
                <w:rFonts w:hint="eastAsia" w:ascii="宋体" w:hAnsi="宋体" w:cs="宋体"/>
                <w:color w:val="000000"/>
                <w:kern w:val="0"/>
                <w:sz w:val="24"/>
                <w:lang w:bidi="ar"/>
              </w:rPr>
              <w:t>000</w:t>
            </w:r>
          </w:p>
        </w:tc>
        <w:tc>
          <w:tcPr>
            <w:tcW w:w="831" w:type="pct"/>
            <w:tcBorders>
              <w:top w:val="single" w:color="auto" w:sz="4" w:space="0"/>
              <w:left w:val="single" w:color="auto" w:sz="4" w:space="0"/>
              <w:bottom w:val="single" w:color="auto" w:sz="4" w:space="0"/>
            </w:tcBorders>
            <w:noWrap w:val="0"/>
            <w:vAlign w:val="center"/>
          </w:tcPr>
          <w:p w14:paraId="2042CA7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66C26F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atLeast"/>
        </w:trPr>
        <w:tc>
          <w:tcPr>
            <w:tcW w:w="266" w:type="pct"/>
            <w:vMerge w:val="continue"/>
            <w:tcBorders>
              <w:right w:val="single" w:color="000000" w:sz="4" w:space="0"/>
            </w:tcBorders>
            <w:noWrap w:val="0"/>
            <w:vAlign w:val="center"/>
          </w:tcPr>
          <w:p w14:paraId="0A97261F">
            <w:pPr>
              <w:widowControl/>
              <w:spacing w:line="360" w:lineRule="auto"/>
              <w:jc w:val="center"/>
              <w:textAlignment w:val="center"/>
              <w:rPr>
                <w:rFonts w:hint="eastAsia" w:ascii="宋体" w:hAnsi="宋体" w:cs="宋体"/>
                <w:color w:val="000000"/>
                <w:kern w:val="0"/>
                <w:sz w:val="24"/>
                <w:lang w:bidi="ar"/>
              </w:rPr>
            </w:pPr>
          </w:p>
        </w:tc>
        <w:tc>
          <w:tcPr>
            <w:tcW w:w="591" w:type="pct"/>
            <w:vMerge w:val="continue"/>
            <w:tcBorders>
              <w:left w:val="single" w:color="000000" w:sz="4" w:space="0"/>
              <w:right w:val="single" w:color="000000" w:sz="4" w:space="0"/>
            </w:tcBorders>
            <w:noWrap w:val="0"/>
            <w:vAlign w:val="center"/>
          </w:tcPr>
          <w:p w14:paraId="769B5961">
            <w:pPr>
              <w:widowControl/>
              <w:spacing w:line="360" w:lineRule="auto"/>
              <w:jc w:val="center"/>
              <w:textAlignment w:val="center"/>
              <w:rPr>
                <w:rFonts w:hint="eastAsia" w:ascii="宋体" w:hAnsi="宋体" w:cs="宋体"/>
                <w:color w:val="000000"/>
                <w:kern w:val="0"/>
                <w:sz w:val="24"/>
                <w:lang w:bidi="ar"/>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A75805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商用操作系统套餐</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53B93711">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国产Linux套餐：国产Linux</w:t>
            </w:r>
          </w:p>
          <w:p w14:paraId="431BC0B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操作系统服务租用、安装及维护</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09187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1个云主机</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3CE565F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auto" w:sz="4" w:space="0"/>
            </w:tcBorders>
            <w:noWrap w:val="0"/>
            <w:vAlign w:val="center"/>
          </w:tcPr>
          <w:p w14:paraId="2AAA26E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25</w:t>
            </w:r>
          </w:p>
        </w:tc>
        <w:tc>
          <w:tcPr>
            <w:tcW w:w="831" w:type="pct"/>
            <w:tcBorders>
              <w:top w:val="single" w:color="auto" w:sz="4" w:space="0"/>
              <w:left w:val="single" w:color="auto" w:sz="4" w:space="0"/>
              <w:bottom w:val="single" w:color="auto" w:sz="4" w:space="0"/>
            </w:tcBorders>
            <w:noWrap w:val="0"/>
            <w:vAlign w:val="center"/>
          </w:tcPr>
          <w:p w14:paraId="1963307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2A7A81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0" w:hRule="atLeast"/>
        </w:trPr>
        <w:tc>
          <w:tcPr>
            <w:tcW w:w="266" w:type="pct"/>
            <w:vMerge w:val="continue"/>
            <w:tcBorders>
              <w:right w:val="single" w:color="000000" w:sz="4" w:space="0"/>
            </w:tcBorders>
            <w:noWrap w:val="0"/>
            <w:vAlign w:val="center"/>
          </w:tcPr>
          <w:p w14:paraId="58802203">
            <w:pPr>
              <w:widowControl/>
              <w:spacing w:line="360" w:lineRule="auto"/>
              <w:jc w:val="center"/>
              <w:textAlignment w:val="center"/>
              <w:rPr>
                <w:rFonts w:hint="eastAsia" w:ascii="宋体" w:hAnsi="宋体" w:cs="宋体"/>
                <w:color w:val="000000"/>
                <w:kern w:val="0"/>
                <w:sz w:val="24"/>
                <w:lang w:bidi="ar"/>
              </w:rPr>
            </w:pPr>
          </w:p>
        </w:tc>
        <w:tc>
          <w:tcPr>
            <w:tcW w:w="591" w:type="pct"/>
            <w:vMerge w:val="continue"/>
            <w:tcBorders>
              <w:left w:val="single" w:color="000000" w:sz="4" w:space="0"/>
              <w:right w:val="single" w:color="000000" w:sz="4" w:space="0"/>
            </w:tcBorders>
            <w:noWrap w:val="0"/>
            <w:vAlign w:val="center"/>
          </w:tcPr>
          <w:p w14:paraId="2EA3ABD4">
            <w:pPr>
              <w:widowControl/>
              <w:spacing w:line="360" w:lineRule="auto"/>
              <w:jc w:val="center"/>
              <w:textAlignment w:val="center"/>
              <w:rPr>
                <w:rFonts w:hint="eastAsia" w:ascii="宋体" w:hAnsi="宋体" w:cs="宋体"/>
                <w:color w:val="000000"/>
                <w:kern w:val="0"/>
                <w:sz w:val="24"/>
                <w:lang w:bidi="ar"/>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4533538">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商用</w:t>
            </w:r>
          </w:p>
          <w:p w14:paraId="0BADF870">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数据库</w:t>
            </w:r>
          </w:p>
          <w:p w14:paraId="1EF18A2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套餐</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67ABB41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国产商用数据库租用</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1973807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1主机</w:t>
            </w:r>
          </w:p>
        </w:tc>
        <w:tc>
          <w:tcPr>
            <w:tcW w:w="687" w:type="pct"/>
            <w:tcBorders>
              <w:top w:val="single" w:color="000000" w:sz="4" w:space="0"/>
              <w:left w:val="single" w:color="000000" w:sz="4" w:space="0"/>
              <w:bottom w:val="single" w:color="000000" w:sz="4" w:space="0"/>
              <w:right w:val="single" w:color="000000" w:sz="4" w:space="0"/>
            </w:tcBorders>
            <w:noWrap w:val="0"/>
            <w:vAlign w:val="center"/>
          </w:tcPr>
          <w:p w14:paraId="062AE89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auto" w:sz="4" w:space="0"/>
            </w:tcBorders>
            <w:noWrap w:val="0"/>
            <w:vAlign w:val="center"/>
          </w:tcPr>
          <w:p w14:paraId="056E94C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831" w:type="pct"/>
            <w:tcBorders>
              <w:top w:val="single" w:color="auto" w:sz="4" w:space="0"/>
              <w:left w:val="single" w:color="auto" w:sz="4" w:space="0"/>
              <w:bottom w:val="single" w:color="auto" w:sz="4" w:space="0"/>
            </w:tcBorders>
            <w:noWrap w:val="0"/>
            <w:vAlign w:val="center"/>
          </w:tcPr>
          <w:p w14:paraId="2762211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7394A2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atLeast"/>
        </w:trPr>
        <w:tc>
          <w:tcPr>
            <w:tcW w:w="266" w:type="pct"/>
            <w:vMerge w:val="restart"/>
            <w:tcBorders>
              <w:top w:val="single" w:color="000000" w:sz="4" w:space="0"/>
              <w:right w:val="single" w:color="000000" w:sz="4" w:space="0"/>
            </w:tcBorders>
            <w:noWrap w:val="0"/>
            <w:vAlign w:val="center"/>
          </w:tcPr>
          <w:p w14:paraId="7FE81701">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w:t>
            </w:r>
          </w:p>
        </w:tc>
        <w:tc>
          <w:tcPr>
            <w:tcW w:w="591" w:type="pct"/>
            <w:vMerge w:val="restart"/>
            <w:tcBorders>
              <w:top w:val="single" w:color="000000" w:sz="4" w:space="0"/>
              <w:left w:val="single" w:color="000000" w:sz="4" w:space="0"/>
              <w:right w:val="single" w:color="000000" w:sz="4" w:space="0"/>
            </w:tcBorders>
            <w:noWrap w:val="0"/>
            <w:vAlign w:val="center"/>
          </w:tcPr>
          <w:p w14:paraId="7C951231">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安全服务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B5F277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云端抗DDOS服务</w:t>
            </w:r>
          </w:p>
        </w:tc>
        <w:tc>
          <w:tcPr>
            <w:tcW w:w="936" w:type="pct"/>
            <w:tcBorders>
              <w:top w:val="single" w:color="000000" w:sz="4" w:space="0"/>
              <w:left w:val="single" w:color="000000" w:sz="4" w:space="0"/>
              <w:bottom w:val="single" w:color="000000" w:sz="4" w:space="0"/>
              <w:right w:val="single" w:color="000000" w:sz="4" w:space="0"/>
            </w:tcBorders>
            <w:noWrap w:val="0"/>
            <w:vAlign w:val="center"/>
          </w:tcPr>
          <w:p w14:paraId="7BBFEED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云端抗DDOS服务</w:t>
            </w:r>
          </w:p>
        </w:tc>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34EF2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1站点</w:t>
            </w:r>
          </w:p>
        </w:tc>
        <w:tc>
          <w:tcPr>
            <w:tcW w:w="687" w:type="pct"/>
            <w:tcBorders>
              <w:top w:val="single" w:color="000000" w:sz="4" w:space="0"/>
              <w:left w:val="single" w:color="000000" w:sz="4" w:space="0"/>
              <w:bottom w:val="single" w:color="000000" w:sz="4" w:space="0"/>
              <w:right w:val="single" w:color="000000" w:sz="4" w:space="0"/>
            </w:tcBorders>
            <w:noWrap/>
            <w:vAlign w:val="center"/>
          </w:tcPr>
          <w:p w14:paraId="4D50AB6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000000" w:sz="4" w:space="0"/>
              <w:right w:val="single" w:color="auto" w:sz="4" w:space="0"/>
            </w:tcBorders>
            <w:noWrap w:val="0"/>
            <w:vAlign w:val="center"/>
          </w:tcPr>
          <w:p w14:paraId="3E7C432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831" w:type="pct"/>
            <w:tcBorders>
              <w:top w:val="single" w:color="auto" w:sz="4" w:space="0"/>
              <w:left w:val="single" w:color="auto" w:sz="4" w:space="0"/>
              <w:bottom w:val="single" w:color="auto" w:sz="4" w:space="0"/>
            </w:tcBorders>
            <w:noWrap w:val="0"/>
            <w:vAlign w:val="center"/>
          </w:tcPr>
          <w:p w14:paraId="76931A0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r w14:paraId="14C6FB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atLeast"/>
        </w:trPr>
        <w:tc>
          <w:tcPr>
            <w:tcW w:w="266" w:type="pct"/>
            <w:vMerge w:val="continue"/>
            <w:tcBorders>
              <w:bottom w:val="single" w:color="auto" w:sz="4" w:space="0"/>
              <w:right w:val="single" w:color="000000" w:sz="4" w:space="0"/>
            </w:tcBorders>
            <w:noWrap w:val="0"/>
            <w:vAlign w:val="center"/>
          </w:tcPr>
          <w:p w14:paraId="2AE64772">
            <w:pPr>
              <w:widowControl/>
              <w:spacing w:line="360" w:lineRule="auto"/>
              <w:jc w:val="left"/>
              <w:textAlignment w:val="center"/>
              <w:rPr>
                <w:rFonts w:hint="eastAsia" w:ascii="宋体" w:hAnsi="宋体" w:cs="宋体"/>
                <w:color w:val="000000"/>
                <w:kern w:val="0"/>
                <w:sz w:val="24"/>
                <w:lang w:bidi="ar"/>
              </w:rPr>
            </w:pPr>
          </w:p>
        </w:tc>
        <w:tc>
          <w:tcPr>
            <w:tcW w:w="591" w:type="pct"/>
            <w:vMerge w:val="continue"/>
            <w:tcBorders>
              <w:left w:val="single" w:color="000000" w:sz="4" w:space="0"/>
              <w:bottom w:val="single" w:color="auto" w:sz="4" w:space="0"/>
              <w:right w:val="single" w:color="000000" w:sz="4" w:space="0"/>
            </w:tcBorders>
            <w:noWrap w:val="0"/>
            <w:vAlign w:val="center"/>
          </w:tcPr>
          <w:p w14:paraId="678BE12D">
            <w:pPr>
              <w:widowControl/>
              <w:spacing w:line="360" w:lineRule="auto"/>
              <w:jc w:val="left"/>
              <w:textAlignment w:val="center"/>
              <w:rPr>
                <w:rFonts w:hint="eastAsia" w:ascii="宋体" w:hAnsi="宋体" w:cs="宋体"/>
                <w:color w:val="000000"/>
                <w:kern w:val="0"/>
                <w:sz w:val="24"/>
                <w:lang w:bidi="ar"/>
              </w:rPr>
            </w:pPr>
          </w:p>
        </w:tc>
        <w:tc>
          <w:tcPr>
            <w:tcW w:w="592" w:type="pct"/>
            <w:tcBorders>
              <w:top w:val="single" w:color="000000" w:sz="4" w:space="0"/>
              <w:left w:val="single" w:color="000000" w:sz="4" w:space="0"/>
              <w:bottom w:val="single" w:color="auto" w:sz="4" w:space="0"/>
              <w:right w:val="single" w:color="000000" w:sz="4" w:space="0"/>
            </w:tcBorders>
            <w:noWrap w:val="0"/>
            <w:vAlign w:val="center"/>
          </w:tcPr>
          <w:p w14:paraId="77D5DC3A">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主机</w:t>
            </w:r>
          </w:p>
          <w:p w14:paraId="3071D06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杀毒服务</w:t>
            </w:r>
          </w:p>
        </w:tc>
        <w:tc>
          <w:tcPr>
            <w:tcW w:w="936" w:type="pct"/>
            <w:tcBorders>
              <w:top w:val="single" w:color="000000" w:sz="4" w:space="0"/>
              <w:left w:val="single" w:color="000000" w:sz="4" w:space="0"/>
              <w:bottom w:val="single" w:color="auto" w:sz="4" w:space="0"/>
              <w:right w:val="single" w:color="000000" w:sz="4" w:space="0"/>
            </w:tcBorders>
            <w:noWrap w:val="0"/>
            <w:vAlign w:val="center"/>
          </w:tcPr>
          <w:p w14:paraId="6A5825B3">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对云主机进行定期的病毒查杀杀毒软件集中控制</w:t>
            </w:r>
          </w:p>
          <w:p w14:paraId="2DC9AB3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对网络性能无影响</w:t>
            </w:r>
          </w:p>
        </w:tc>
        <w:tc>
          <w:tcPr>
            <w:tcW w:w="336" w:type="pct"/>
            <w:tcBorders>
              <w:top w:val="single" w:color="000000" w:sz="4" w:space="0"/>
              <w:left w:val="single" w:color="000000" w:sz="4" w:space="0"/>
              <w:bottom w:val="single" w:color="auto" w:sz="4" w:space="0"/>
              <w:right w:val="single" w:color="000000" w:sz="4" w:space="0"/>
            </w:tcBorders>
            <w:noWrap w:val="0"/>
            <w:vAlign w:val="center"/>
          </w:tcPr>
          <w:p w14:paraId="5D8653C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1台</w:t>
            </w:r>
          </w:p>
        </w:tc>
        <w:tc>
          <w:tcPr>
            <w:tcW w:w="687" w:type="pct"/>
            <w:tcBorders>
              <w:top w:val="single" w:color="000000" w:sz="4" w:space="0"/>
              <w:left w:val="single" w:color="000000" w:sz="4" w:space="0"/>
              <w:bottom w:val="single" w:color="auto" w:sz="4" w:space="0"/>
              <w:right w:val="single" w:color="000000" w:sz="4" w:space="0"/>
            </w:tcBorders>
            <w:noWrap/>
            <w:vAlign w:val="center"/>
          </w:tcPr>
          <w:p w14:paraId="47C1B5B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元/月</w:t>
            </w:r>
          </w:p>
        </w:tc>
        <w:tc>
          <w:tcPr>
            <w:tcW w:w="757" w:type="pct"/>
            <w:tcBorders>
              <w:top w:val="single" w:color="000000" w:sz="4" w:space="0"/>
              <w:left w:val="single" w:color="000000" w:sz="4" w:space="0"/>
              <w:bottom w:val="single" w:color="auto" w:sz="4" w:space="0"/>
              <w:right w:val="single" w:color="auto" w:sz="4" w:space="0"/>
            </w:tcBorders>
            <w:noWrap w:val="0"/>
            <w:vAlign w:val="center"/>
          </w:tcPr>
          <w:p w14:paraId="470289C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52</w:t>
            </w:r>
          </w:p>
        </w:tc>
        <w:tc>
          <w:tcPr>
            <w:tcW w:w="831" w:type="pct"/>
            <w:tcBorders>
              <w:top w:val="single" w:color="auto" w:sz="4" w:space="0"/>
              <w:left w:val="single" w:color="auto" w:sz="4" w:space="0"/>
              <w:bottom w:val="single" w:color="auto" w:sz="4" w:space="0"/>
            </w:tcBorders>
            <w:noWrap w:val="0"/>
            <w:vAlign w:val="center"/>
          </w:tcPr>
          <w:p w14:paraId="0ED4E1E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r>
    </w:tbl>
    <w:p w14:paraId="59B16B5E">
      <w:pPr>
        <w:rPr>
          <w:rFonts w:hint="eastAsia"/>
          <w:sz w:val="24"/>
        </w:rPr>
      </w:pPr>
    </w:p>
    <w:p w14:paraId="4A1C6190">
      <w:pPr>
        <w:keepNext/>
        <w:keepLines/>
        <w:numPr>
          <w:ilvl w:val="0"/>
          <w:numId w:val="3"/>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采购目标</w:t>
      </w:r>
    </w:p>
    <w:p w14:paraId="5F2E84CC">
      <w:pPr>
        <w:spacing w:after="120" w:line="360" w:lineRule="auto"/>
        <w:ind w:firstLine="480" w:firstLineChars="200"/>
        <w:rPr>
          <w:rFonts w:hint="eastAsia" w:ascii="宋体" w:hAnsi="宋体" w:cs="宋体"/>
          <w:kern w:val="0"/>
          <w:sz w:val="24"/>
        </w:rPr>
      </w:pPr>
      <w:r>
        <w:rPr>
          <w:rFonts w:hint="eastAsia" w:ascii="宋体" w:hAnsi="宋体" w:cs="宋体"/>
          <w:bCs/>
          <w:sz w:val="24"/>
        </w:rPr>
        <w:t>本项目的总体目标是通过租用政务云平台</w:t>
      </w:r>
      <w:r>
        <w:rPr>
          <w:rFonts w:hint="eastAsia" w:ascii="宋体" w:hAnsi="宋体" w:cs="宋体"/>
          <w:kern w:val="0"/>
          <w:sz w:val="24"/>
        </w:rPr>
        <w:t>计算服务、存储服务、网络服务、基础软件支撑服务、安全服务等。提供全年7×24小时运维保障，做好应急值守保障服务，确保各信息系统在政务云环境中安全稳定运行。</w:t>
      </w:r>
    </w:p>
    <w:p w14:paraId="0CE85FE0">
      <w:pPr>
        <w:keepNext/>
        <w:keepLines/>
        <w:numPr>
          <w:ilvl w:val="0"/>
          <w:numId w:val="3"/>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服务内容与服务标准</w:t>
      </w:r>
    </w:p>
    <w:p w14:paraId="379BC5E5">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计算服务</w:t>
      </w:r>
    </w:p>
    <w:p w14:paraId="485AB76E">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2AD358F5">
      <w:pPr>
        <w:spacing w:line="360" w:lineRule="auto"/>
        <w:ind w:firstLine="480"/>
        <w:rPr>
          <w:rFonts w:hint="eastAsia" w:ascii="宋体" w:hAnsi="宋体" w:cs="宋体"/>
          <w:sz w:val="24"/>
        </w:rPr>
      </w:pPr>
      <w:r>
        <w:rPr>
          <w:rFonts w:hint="eastAsia" w:ascii="宋体" w:hAnsi="宋体" w:cs="宋体"/>
          <w:sz w:val="24"/>
        </w:rPr>
        <w:t>按照采购人的具体需求，提供云主机服务，包括：x86 平台云主机服务和x86 物理服务器租用服务，按需求对CPU及内存进行动态调整，实现合理的计算资源配置。在提供政务云主机的服务过程中做好与采购人和对应项目应用开发厂商的协调沟通工作。</w:t>
      </w:r>
    </w:p>
    <w:p w14:paraId="06DB2697">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7A2FACD1">
      <w:pPr>
        <w:keepNext/>
        <w:keepLines/>
        <w:numPr>
          <w:ilvl w:val="3"/>
          <w:numId w:val="3"/>
        </w:numPr>
        <w:spacing w:before="280" w:after="290" w:line="360" w:lineRule="auto"/>
        <w:outlineLvl w:val="3"/>
        <w:rPr>
          <w:rFonts w:hint="eastAsia" w:cs="宋体"/>
          <w:sz w:val="24"/>
        </w:rPr>
      </w:pPr>
      <w:r>
        <w:rPr>
          <w:rFonts w:hint="eastAsia" w:cs="宋体"/>
          <w:sz w:val="24"/>
        </w:rPr>
        <w:t>云主机应实现物理机的全部功能，如具有CPU、存储、内存、网卡等资源，可以指定单独的IP地址等；</w:t>
      </w:r>
    </w:p>
    <w:p w14:paraId="06809F30">
      <w:pPr>
        <w:keepNext/>
        <w:keepLines/>
        <w:numPr>
          <w:ilvl w:val="3"/>
          <w:numId w:val="3"/>
        </w:numPr>
        <w:spacing w:before="280" w:after="290" w:line="360" w:lineRule="auto"/>
        <w:outlineLvl w:val="3"/>
        <w:rPr>
          <w:rFonts w:hint="eastAsia" w:cs="宋体"/>
          <w:sz w:val="24"/>
        </w:rPr>
      </w:pPr>
      <w:r>
        <w:rPr>
          <w:rFonts w:hint="eastAsia" w:cs="宋体"/>
          <w:sz w:val="24"/>
        </w:rPr>
        <w:t>支持存储裸设备映射（RDM），可以将存储设备上的LUN直接映射给虚拟机使用，并且支持SCSI指令使用透传模式或者非透传模式；</w:t>
      </w:r>
    </w:p>
    <w:p w14:paraId="4324B691">
      <w:pPr>
        <w:keepNext/>
        <w:keepLines/>
        <w:numPr>
          <w:ilvl w:val="3"/>
          <w:numId w:val="3"/>
        </w:numPr>
        <w:spacing w:before="280" w:after="290" w:line="360" w:lineRule="auto"/>
        <w:outlineLvl w:val="3"/>
        <w:rPr>
          <w:rFonts w:hint="eastAsia" w:cs="宋体"/>
          <w:sz w:val="24"/>
        </w:rPr>
      </w:pPr>
      <w:r>
        <w:rPr>
          <w:rFonts w:hint="eastAsia" w:cs="宋体"/>
          <w:sz w:val="24"/>
        </w:rPr>
        <w:t>应满足云主机之间、CPU之间隔离保护要求；</w:t>
      </w:r>
    </w:p>
    <w:p w14:paraId="442C43BD">
      <w:pPr>
        <w:keepNext/>
        <w:keepLines/>
        <w:numPr>
          <w:ilvl w:val="3"/>
          <w:numId w:val="3"/>
        </w:numPr>
        <w:spacing w:before="280" w:after="290" w:line="360" w:lineRule="auto"/>
        <w:outlineLvl w:val="3"/>
        <w:rPr>
          <w:rFonts w:hint="eastAsia" w:cs="宋体"/>
          <w:sz w:val="24"/>
        </w:rPr>
      </w:pPr>
      <w:r>
        <w:rPr>
          <w:rFonts w:hint="eastAsia" w:cs="宋体"/>
          <w:sz w:val="24"/>
        </w:rPr>
        <w:t>支持资源的动态调整，根据业务的负载情况实现业务系统虚拟机的动态扩展和回收；</w:t>
      </w:r>
    </w:p>
    <w:p w14:paraId="233627E0">
      <w:pPr>
        <w:keepNext/>
        <w:keepLines/>
        <w:numPr>
          <w:ilvl w:val="3"/>
          <w:numId w:val="3"/>
        </w:numPr>
        <w:spacing w:before="280" w:after="290" w:line="360" w:lineRule="auto"/>
        <w:outlineLvl w:val="3"/>
        <w:rPr>
          <w:rFonts w:hint="eastAsia" w:cs="宋体"/>
          <w:sz w:val="24"/>
        </w:rPr>
      </w:pPr>
      <w:r>
        <w:rPr>
          <w:rFonts w:hint="eastAsia" w:cs="宋体"/>
          <w:sz w:val="24"/>
        </w:rPr>
        <w:t>支持在线进行虚拟化软件版本升级，不同版本之间可以相互兼容；</w:t>
      </w:r>
    </w:p>
    <w:p w14:paraId="7A453846">
      <w:pPr>
        <w:keepNext/>
        <w:keepLines/>
        <w:numPr>
          <w:ilvl w:val="3"/>
          <w:numId w:val="3"/>
        </w:numPr>
        <w:spacing w:before="280" w:after="290" w:line="360" w:lineRule="auto"/>
        <w:outlineLvl w:val="3"/>
        <w:rPr>
          <w:rFonts w:hint="eastAsia" w:cs="宋体"/>
          <w:sz w:val="24"/>
        </w:rPr>
      </w:pPr>
      <w:r>
        <w:rPr>
          <w:rFonts w:hint="eastAsia" w:cs="宋体"/>
          <w:sz w:val="24"/>
        </w:rPr>
        <w:t>支持异构虚拟化能力，如KVM等多种虚拟化技术；</w:t>
      </w:r>
    </w:p>
    <w:p w14:paraId="4EC838CC">
      <w:pPr>
        <w:keepNext/>
        <w:keepLines/>
        <w:numPr>
          <w:ilvl w:val="3"/>
          <w:numId w:val="3"/>
        </w:numPr>
        <w:spacing w:before="280" w:after="290" w:line="360" w:lineRule="auto"/>
        <w:outlineLvl w:val="3"/>
        <w:rPr>
          <w:rFonts w:hint="eastAsia" w:cs="宋体"/>
          <w:sz w:val="24"/>
        </w:rPr>
      </w:pPr>
      <w:r>
        <w:rPr>
          <w:rFonts w:hint="eastAsia" w:cs="宋体"/>
          <w:sz w:val="24"/>
        </w:rPr>
        <w:t>云主机出现故障时，支持自动重启或者迁移，保障业务连续性；</w:t>
      </w:r>
    </w:p>
    <w:p w14:paraId="2EC925D8">
      <w:pPr>
        <w:keepNext/>
        <w:keepLines/>
        <w:numPr>
          <w:ilvl w:val="3"/>
          <w:numId w:val="3"/>
        </w:numPr>
        <w:spacing w:before="280" w:after="290" w:line="360" w:lineRule="auto"/>
        <w:outlineLvl w:val="3"/>
        <w:rPr>
          <w:rFonts w:hint="eastAsia" w:cs="宋体"/>
          <w:sz w:val="24"/>
        </w:rPr>
      </w:pPr>
      <w:r>
        <w:rPr>
          <w:rFonts w:hint="eastAsia" w:cs="宋体"/>
          <w:sz w:val="24"/>
        </w:rPr>
        <w:t>支持虚拟机热迁移，可在不同代CPU资源池中进行虚拟机热迁移；</w:t>
      </w:r>
    </w:p>
    <w:p w14:paraId="37873992">
      <w:pPr>
        <w:keepNext/>
        <w:keepLines/>
        <w:numPr>
          <w:ilvl w:val="3"/>
          <w:numId w:val="3"/>
        </w:numPr>
        <w:spacing w:before="280" w:after="290" w:line="360" w:lineRule="auto"/>
        <w:outlineLvl w:val="3"/>
        <w:rPr>
          <w:rFonts w:hint="eastAsia" w:cs="宋体"/>
          <w:sz w:val="24"/>
        </w:rPr>
      </w:pPr>
      <w:r>
        <w:rPr>
          <w:rFonts w:hint="eastAsia" w:cs="宋体"/>
          <w:sz w:val="24"/>
        </w:rPr>
        <w:t>云计算资源性能要求包括但不限于如下：</w:t>
      </w:r>
    </w:p>
    <w:p w14:paraId="2D95BAC4">
      <w:pPr>
        <w:snapToGrid w:val="0"/>
        <w:spacing w:line="360" w:lineRule="auto"/>
        <w:ind w:firstLine="480"/>
        <w:rPr>
          <w:rFonts w:hint="eastAsia" w:ascii="宋体" w:hAnsi="宋体" w:cs="宋体"/>
          <w:sz w:val="24"/>
        </w:rPr>
      </w:pPr>
      <w:r>
        <w:rPr>
          <w:rFonts w:hint="eastAsia" w:ascii="宋体" w:hAnsi="宋体" w:cs="宋体"/>
          <w:sz w:val="24"/>
        </w:rPr>
        <w:t>（1）物理服务器CPU主频应不低于2.40GHz；</w:t>
      </w:r>
    </w:p>
    <w:p w14:paraId="5632A603">
      <w:pPr>
        <w:snapToGrid w:val="0"/>
        <w:spacing w:line="360" w:lineRule="auto"/>
        <w:ind w:firstLine="480"/>
        <w:rPr>
          <w:rFonts w:hint="eastAsia" w:ascii="宋体" w:hAnsi="宋体" w:cs="宋体"/>
          <w:sz w:val="24"/>
        </w:rPr>
      </w:pPr>
      <w:r>
        <w:rPr>
          <w:rFonts w:hint="eastAsia" w:ascii="宋体" w:hAnsi="宋体" w:cs="宋体"/>
          <w:sz w:val="24"/>
        </w:rPr>
        <w:t>（2）主机内存硬件配置不低于DDR4-2400MHz；</w:t>
      </w:r>
    </w:p>
    <w:p w14:paraId="0F1FE620">
      <w:pPr>
        <w:snapToGrid w:val="0"/>
        <w:spacing w:line="360" w:lineRule="auto"/>
        <w:ind w:firstLine="480"/>
        <w:rPr>
          <w:rFonts w:hint="eastAsia" w:ascii="宋体" w:hAnsi="宋体" w:cs="宋体"/>
          <w:sz w:val="24"/>
        </w:rPr>
      </w:pPr>
      <w:r>
        <w:rPr>
          <w:rFonts w:hint="eastAsia" w:ascii="宋体" w:hAnsi="宋体" w:cs="宋体"/>
          <w:sz w:val="24"/>
        </w:rPr>
        <w:t>（3）可用性不低于99.99%。</w:t>
      </w:r>
    </w:p>
    <w:p w14:paraId="5DAECEAC">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存储服务</w:t>
      </w:r>
    </w:p>
    <w:p w14:paraId="326A4D37">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0C4875E6">
      <w:pPr>
        <w:spacing w:line="360" w:lineRule="auto"/>
        <w:ind w:firstLine="480"/>
        <w:rPr>
          <w:rFonts w:hint="eastAsia" w:ascii="宋体" w:hAnsi="宋体" w:cs="宋体"/>
          <w:sz w:val="24"/>
        </w:rPr>
      </w:pPr>
      <w:r>
        <w:rPr>
          <w:rFonts w:hint="eastAsia" w:ascii="宋体" w:hAnsi="宋体" w:cs="宋体"/>
          <w:sz w:val="24"/>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14:paraId="290593A5">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7510EDC6">
      <w:pPr>
        <w:keepNext/>
        <w:keepLines/>
        <w:numPr>
          <w:ilvl w:val="3"/>
          <w:numId w:val="3"/>
        </w:numPr>
        <w:spacing w:before="280" w:after="290" w:line="360" w:lineRule="auto"/>
        <w:outlineLvl w:val="3"/>
        <w:rPr>
          <w:rFonts w:hint="eastAsia" w:cs="宋体"/>
          <w:sz w:val="24"/>
        </w:rPr>
      </w:pPr>
      <w:r>
        <w:rPr>
          <w:rFonts w:hint="eastAsia" w:cs="宋体"/>
          <w:sz w:val="24"/>
        </w:rPr>
        <w:t>支持结构化数据、半结构化数据和非结构化数据等多种数据类型存储；</w:t>
      </w:r>
    </w:p>
    <w:p w14:paraId="775F43E3">
      <w:pPr>
        <w:keepNext/>
        <w:keepLines/>
        <w:numPr>
          <w:ilvl w:val="3"/>
          <w:numId w:val="3"/>
        </w:numPr>
        <w:spacing w:before="280" w:after="290" w:line="360" w:lineRule="auto"/>
        <w:outlineLvl w:val="3"/>
        <w:rPr>
          <w:rFonts w:hint="eastAsia" w:cs="宋体"/>
          <w:sz w:val="24"/>
        </w:rPr>
      </w:pPr>
      <w:r>
        <w:rPr>
          <w:rFonts w:hint="eastAsia" w:cs="宋体"/>
          <w:sz w:val="24"/>
        </w:rPr>
        <w:t>支持块存储、对象存储、文件存储等多种存储方法，满足数据备份、视频存储等不同应用场景使用要求；</w:t>
      </w:r>
    </w:p>
    <w:p w14:paraId="3E929EED">
      <w:pPr>
        <w:keepNext/>
        <w:keepLines/>
        <w:numPr>
          <w:ilvl w:val="3"/>
          <w:numId w:val="3"/>
        </w:numPr>
        <w:spacing w:before="280" w:after="290" w:line="360" w:lineRule="auto"/>
        <w:outlineLvl w:val="3"/>
        <w:rPr>
          <w:rFonts w:hint="eastAsia" w:cs="宋体"/>
          <w:sz w:val="24"/>
        </w:rPr>
      </w:pPr>
      <w:r>
        <w:rPr>
          <w:rFonts w:hint="eastAsia" w:cs="宋体"/>
          <w:sz w:val="24"/>
        </w:rPr>
        <w:t>支持存储资源扩展能力，例如：PB级扩展；</w:t>
      </w:r>
    </w:p>
    <w:p w14:paraId="1F2AA745">
      <w:pPr>
        <w:keepNext/>
        <w:keepLines/>
        <w:numPr>
          <w:ilvl w:val="3"/>
          <w:numId w:val="3"/>
        </w:numPr>
        <w:spacing w:before="280" w:after="290" w:line="360" w:lineRule="auto"/>
        <w:outlineLvl w:val="3"/>
        <w:rPr>
          <w:rFonts w:hint="eastAsia" w:cs="宋体"/>
          <w:sz w:val="24"/>
        </w:rPr>
      </w:pPr>
      <w:r>
        <w:rPr>
          <w:rFonts w:hint="eastAsia" w:cs="宋体"/>
          <w:sz w:val="24"/>
        </w:rPr>
        <w:t>支持磁盘容错技术，如磁盘故障后节点的自动平衡和重构、硬盘故障 检测和处理、集群节点出现单盘故障时不影响业务运行等；</w:t>
      </w:r>
    </w:p>
    <w:p w14:paraId="533052AC">
      <w:pPr>
        <w:keepNext/>
        <w:keepLines/>
        <w:numPr>
          <w:ilvl w:val="3"/>
          <w:numId w:val="3"/>
        </w:numPr>
        <w:spacing w:before="280" w:after="290" w:line="360" w:lineRule="auto"/>
        <w:outlineLvl w:val="3"/>
        <w:rPr>
          <w:rFonts w:hint="eastAsia" w:cs="宋体"/>
          <w:sz w:val="24"/>
        </w:rPr>
      </w:pPr>
      <w:r>
        <w:rPr>
          <w:rFonts w:hint="eastAsia" w:cs="宋体"/>
          <w:sz w:val="24"/>
        </w:rPr>
        <w:t>存储资源性能要求包括但不限于如下：</w:t>
      </w:r>
    </w:p>
    <w:p w14:paraId="275CABEA">
      <w:pPr>
        <w:snapToGrid w:val="0"/>
        <w:spacing w:line="360" w:lineRule="auto"/>
        <w:ind w:firstLine="480"/>
        <w:rPr>
          <w:rFonts w:hint="eastAsia" w:ascii="宋体" w:hAnsi="宋体" w:cs="宋体"/>
          <w:sz w:val="24"/>
        </w:rPr>
      </w:pPr>
      <w:r>
        <w:rPr>
          <w:rFonts w:hint="eastAsia" w:ascii="宋体" w:hAnsi="宋体" w:cs="宋体"/>
          <w:sz w:val="24"/>
        </w:rPr>
        <w:t>(1)吞吐量：高性能存储系统的读写带宽应不低于1000MB/s,IOPS不低于20000;普通性能存储系统的读写带宽应不低于200MB/s，IOPS不低于1000。</w:t>
      </w:r>
    </w:p>
    <w:p w14:paraId="6978ECBC">
      <w:pPr>
        <w:spacing w:line="360" w:lineRule="auto"/>
        <w:ind w:firstLine="480"/>
        <w:rPr>
          <w:rFonts w:hint="eastAsia" w:ascii="宋体" w:hAnsi="宋体" w:cs="宋体"/>
          <w:sz w:val="24"/>
        </w:rPr>
      </w:pPr>
      <w:r>
        <w:rPr>
          <w:rFonts w:hint="eastAsia" w:ascii="宋体" w:hAnsi="宋体" w:cs="宋体"/>
          <w:sz w:val="24"/>
        </w:rPr>
        <w:t>(2)支持高可靠性，可靠性不低于99.9999%%；</w:t>
      </w:r>
    </w:p>
    <w:p w14:paraId="3B863D0A">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备份服务</w:t>
      </w:r>
    </w:p>
    <w:p w14:paraId="0FB32CE5">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5ACCA358">
      <w:pPr>
        <w:spacing w:line="360" w:lineRule="auto"/>
        <w:ind w:firstLine="480"/>
        <w:rPr>
          <w:rFonts w:hint="eastAsia" w:ascii="宋体" w:hAnsi="宋体" w:cs="宋体"/>
          <w:sz w:val="24"/>
        </w:rPr>
      </w:pPr>
      <w:r>
        <w:rPr>
          <w:rFonts w:hint="eastAsia" w:ascii="宋体" w:hAnsi="宋体" w:cs="宋体"/>
          <w:sz w:val="24"/>
        </w:rPr>
        <w:t>投标人需具有本地和同城异地数据级备份能力，并配合采购人完成数据级容灾演练及恢复等工作。</w:t>
      </w:r>
    </w:p>
    <w:p w14:paraId="2AC9E105">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服务标准</w:t>
      </w:r>
    </w:p>
    <w:p w14:paraId="4389DDAE">
      <w:pPr>
        <w:spacing w:line="360" w:lineRule="auto"/>
        <w:ind w:firstLine="480"/>
        <w:rPr>
          <w:rFonts w:hint="eastAsia" w:ascii="宋体" w:hAnsi="宋体" w:cs="宋体"/>
          <w:sz w:val="24"/>
        </w:rPr>
      </w:pPr>
      <w:r>
        <w:rPr>
          <w:rFonts w:hint="eastAsia" w:ascii="宋体" w:hAnsi="宋体" w:cs="宋体"/>
          <w:sz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5A8E0FD0">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备份介质本身具备高可用性和冗余性。</w:t>
      </w:r>
    </w:p>
    <w:p w14:paraId="23117F45">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备份方式包括完整备份、差异备份和增量备份。</w:t>
      </w:r>
    </w:p>
    <w:p w14:paraId="46A0B6D5">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支持Windows系列操作系统、Linux主流系统操作系统、主流数据库软件、主流中间件软件、结构化数据以及非结构化数据等备份对象。</w:t>
      </w:r>
    </w:p>
    <w:p w14:paraId="346F8E82">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投标人应提供对备份过程状态、备份结果提供运维监控保障服务，确保备份任务执行成功以及备份的数据完整性。</w:t>
      </w:r>
    </w:p>
    <w:p w14:paraId="521E80E4">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网络服务</w:t>
      </w:r>
    </w:p>
    <w:p w14:paraId="03BBA276">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731C74C6">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互联网链路服务</w:t>
      </w:r>
    </w:p>
    <w:p w14:paraId="7C8BE2D5">
      <w:pPr>
        <w:spacing w:line="360" w:lineRule="auto"/>
        <w:ind w:firstLine="480"/>
        <w:rPr>
          <w:rFonts w:hint="eastAsia" w:ascii="宋体" w:hAnsi="宋体" w:cs="宋体"/>
          <w:sz w:val="24"/>
        </w:rPr>
      </w:pPr>
      <w:r>
        <w:rPr>
          <w:rFonts w:hint="eastAsia" w:ascii="宋体" w:hAnsi="宋体" w:cs="宋体"/>
          <w:sz w:val="24"/>
        </w:rPr>
        <w:t>提供互联网链路带宽服务、互联网IP地址租用服务，并提供相应的网络域名备案服务，配合应用开发厂商提供网络策略配置服务。</w:t>
      </w:r>
    </w:p>
    <w:p w14:paraId="3DAF068C">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远程接入服务</w:t>
      </w:r>
    </w:p>
    <w:p w14:paraId="11AA0611">
      <w:pPr>
        <w:spacing w:line="360" w:lineRule="auto"/>
        <w:ind w:firstLine="480"/>
        <w:rPr>
          <w:rFonts w:hint="eastAsia" w:ascii="宋体" w:hAnsi="宋体" w:cs="宋体"/>
          <w:sz w:val="24"/>
        </w:rPr>
      </w:pPr>
      <w:r>
        <w:rPr>
          <w:rFonts w:hint="eastAsia" w:ascii="宋体" w:hAnsi="宋体" w:cs="宋体"/>
          <w:sz w:val="24"/>
        </w:rPr>
        <w:t>提供远程接入服务，每个账号结合身份验证接入堡垒机维护应用系统。</w:t>
      </w:r>
    </w:p>
    <w:p w14:paraId="0D05FC5F">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01B4C3FC">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云内骨干线路带宽不低于10Gb/s；</w:t>
      </w:r>
    </w:p>
    <w:p w14:paraId="70287D04">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服务器业务带宽不低于1Gb/s；</w:t>
      </w:r>
    </w:p>
    <w:p w14:paraId="18BFF0F9">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平均可用性不低于99.9%。</w:t>
      </w:r>
    </w:p>
    <w:p w14:paraId="2D8DF7BA">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特定云主机深度监控服务</w:t>
      </w:r>
    </w:p>
    <w:p w14:paraId="5236B1CC">
      <w:pPr>
        <w:spacing w:line="360" w:lineRule="auto"/>
        <w:ind w:firstLine="420"/>
        <w:rPr>
          <w:rFonts w:hint="eastAsia" w:ascii="宋体" w:hAnsi="宋体" w:cs="宋体"/>
          <w:sz w:val="24"/>
        </w:rPr>
      </w:pPr>
      <w:r>
        <w:rPr>
          <w:rFonts w:hint="eastAsia" w:ascii="宋体" w:hAnsi="宋体" w:cs="宋体"/>
          <w:sz w:val="24"/>
        </w:rPr>
        <w:t>按照采购人的具体需求，提供7×24小时深度监测云主机资源、硬件设备监控、云平台层应急处置等内容服务</w:t>
      </w:r>
    </w:p>
    <w:p w14:paraId="690CEA35">
      <w:pPr>
        <w:rPr>
          <w:rFonts w:hint="eastAsia"/>
          <w:sz w:val="24"/>
        </w:rPr>
      </w:pPr>
    </w:p>
    <w:p w14:paraId="7BEBB8C0">
      <w:pPr>
        <w:rPr>
          <w:rFonts w:hint="eastAsia"/>
          <w:sz w:val="24"/>
        </w:rPr>
      </w:pPr>
    </w:p>
    <w:p w14:paraId="05BD1F99">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其他服务</w:t>
      </w:r>
    </w:p>
    <w:p w14:paraId="3E95B9C9">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1F8FA480">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提供集中式存储、商用操作系统、商用数据库套餐等软件服务。</w:t>
      </w:r>
    </w:p>
    <w:p w14:paraId="22A298F2">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42D5FCDC">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集中式存储租用</w:t>
      </w:r>
    </w:p>
    <w:p w14:paraId="3B650E70">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按照采购人的具体需求，提供集中式存储用于支持Oracle RAC服务。</w:t>
      </w:r>
    </w:p>
    <w:p w14:paraId="4DA61756">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商用操作系统套餐</w:t>
      </w:r>
    </w:p>
    <w:p w14:paraId="30253D91">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按照采购人的具体需求，提供商用操作系统套餐服务包含国产Linux套餐租用服务和商用数据库套餐、集中式存储租用。</w:t>
      </w:r>
    </w:p>
    <w:p w14:paraId="78F322B3">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商用数据库套餐</w:t>
      </w:r>
    </w:p>
    <w:p w14:paraId="322B3552">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按照采购人的具体需求，提供商用数据库套餐服务。</w:t>
      </w:r>
    </w:p>
    <w:p w14:paraId="4A3A2D8C">
      <w:pPr>
        <w:spacing w:after="120" w:line="480" w:lineRule="exact"/>
        <w:ind w:left="420" w:leftChars="200" w:firstLine="480" w:firstLineChars="200"/>
        <w:rPr>
          <w:rFonts w:hint="eastAsia"/>
          <w:sz w:val="24"/>
        </w:rPr>
      </w:pPr>
    </w:p>
    <w:p w14:paraId="0EB91496">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安全服务</w:t>
      </w:r>
    </w:p>
    <w:p w14:paraId="76B605CD">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7B50439E">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安全是政务云的红线，应按照网络安全等级保护等要求建设安全技术防护体系和安全管理体系，建立应急处置体系，强化各领域平台安全管控，本项目安全服务主要内容包含：</w:t>
      </w:r>
    </w:p>
    <w:p w14:paraId="7B05A94D">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云端抗DDOS服务</w:t>
      </w:r>
    </w:p>
    <w:p w14:paraId="63B8E10A">
      <w:pPr>
        <w:adjustRightInd w:val="0"/>
        <w:snapToGrid w:val="0"/>
        <w:spacing w:line="360" w:lineRule="auto"/>
        <w:ind w:firstLine="480"/>
        <w:textAlignment w:val="baseline"/>
        <w:rPr>
          <w:rFonts w:hint="eastAsia" w:ascii="宋体" w:hAnsi="宋体" w:cs="宋体"/>
          <w:sz w:val="24"/>
        </w:rPr>
      </w:pPr>
      <w:r>
        <w:rPr>
          <w:rFonts w:hint="eastAsia" w:ascii="宋体" w:hAnsi="宋体" w:cs="宋体"/>
          <w:kern w:val="0"/>
          <w:sz w:val="24"/>
        </w:rPr>
        <w:t>提供云端抗DDOS服务，为云内应用系统抵御大流量分布式拒绝服务攻击，避免业务遭受拒绝服务攻击。</w:t>
      </w:r>
    </w:p>
    <w:p w14:paraId="247BFF03">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 xml:space="preserve"> 主机杀毒服务</w:t>
      </w:r>
    </w:p>
    <w:p w14:paraId="00F5D40F">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提供主机杀毒服务，对云主机进行定期的病毒查杀，杀毒软件集中控制，对网络性能无影响。</w:t>
      </w:r>
    </w:p>
    <w:p w14:paraId="29D3B05B">
      <w:pPr>
        <w:keepNext/>
        <w:keepLines/>
        <w:numPr>
          <w:ilvl w:val="3"/>
          <w:numId w:val="3"/>
        </w:numPr>
        <w:spacing w:before="280" w:after="290" w:line="360" w:lineRule="auto"/>
        <w:ind w:firstLine="480"/>
        <w:outlineLvl w:val="3"/>
        <w:rPr>
          <w:rFonts w:hint="eastAsia" w:ascii="宋体" w:hAnsi="宋体" w:cs="宋体"/>
          <w:sz w:val="24"/>
        </w:rPr>
      </w:pPr>
      <w:r>
        <w:rPr>
          <w:rFonts w:hint="eastAsia" w:ascii="宋体" w:hAnsi="宋体" w:cs="宋体"/>
          <w:sz w:val="24"/>
        </w:rPr>
        <w:t>负载均衡服务</w:t>
      </w:r>
    </w:p>
    <w:p w14:paraId="30CA19E8">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按照采购人的具体需求，提供主机应用集群负载均衡服务。</w:t>
      </w:r>
    </w:p>
    <w:p w14:paraId="0B410D73">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1A100B50">
      <w:pPr>
        <w:spacing w:line="360" w:lineRule="auto"/>
        <w:ind w:firstLine="480"/>
        <w:rPr>
          <w:rFonts w:hint="eastAsia" w:ascii="宋体" w:hAnsi="宋体" w:cs="宋体"/>
          <w:sz w:val="24"/>
        </w:rPr>
      </w:pPr>
      <w:r>
        <w:rPr>
          <w:rFonts w:hint="eastAsia" w:ascii="宋体" w:hAnsi="宋体" w:cs="宋体"/>
          <w:sz w:val="24"/>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3892B925">
      <w:pPr>
        <w:spacing w:line="360" w:lineRule="auto"/>
        <w:ind w:firstLine="480"/>
        <w:rPr>
          <w:rFonts w:hint="eastAsia" w:ascii="宋体" w:hAnsi="宋体" w:cs="宋体"/>
          <w:sz w:val="24"/>
        </w:rPr>
      </w:pPr>
      <w:r>
        <w:rPr>
          <w:rFonts w:hint="eastAsia" w:ascii="宋体" w:hAnsi="宋体" w:cs="宋体"/>
          <w:sz w:val="24"/>
        </w:rPr>
        <w:t>投标人需利用监控系统或人工对机房环境、硬件设备及应用系统的运行情况进行7*24小时的不间断巡检监控，及时发现安全隐患，通知相关人员及时处理，并形成监控报告。</w:t>
      </w:r>
    </w:p>
    <w:p w14:paraId="3EE5B74D">
      <w:pPr>
        <w:spacing w:line="360" w:lineRule="auto"/>
        <w:ind w:firstLine="480"/>
        <w:rPr>
          <w:rFonts w:hint="eastAsia" w:ascii="宋体" w:hAnsi="宋体" w:cs="宋体"/>
          <w:sz w:val="24"/>
        </w:rPr>
      </w:pPr>
      <w:r>
        <w:rPr>
          <w:rFonts w:hint="eastAsia" w:ascii="宋体" w:hAnsi="宋体" w:cs="宋体"/>
          <w:sz w:val="24"/>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1923F4A7">
      <w:pPr>
        <w:spacing w:line="360" w:lineRule="auto"/>
        <w:ind w:firstLine="480"/>
        <w:rPr>
          <w:rFonts w:hint="eastAsia" w:ascii="宋体" w:hAnsi="宋体" w:cs="宋体"/>
          <w:sz w:val="24"/>
        </w:rPr>
      </w:pPr>
      <w:r>
        <w:rPr>
          <w:rFonts w:hint="eastAsia" w:ascii="宋体" w:hAnsi="宋体" w:cs="宋体"/>
          <w:sz w:val="24"/>
        </w:rPr>
        <w:t>投标人需保证安全技术服务能力不低于所承载的信息系统的最高级别，并通过GB/T22239相应等级的测评；通过商用密码应用安全性评估，商用密码应用安全性评估参考GB/T39786-2021中相应等级规定。</w:t>
      </w:r>
    </w:p>
    <w:p w14:paraId="28BA1B67">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其他</w:t>
      </w:r>
    </w:p>
    <w:p w14:paraId="75412ED8">
      <w:pPr>
        <w:numPr>
          <w:ilvl w:val="0"/>
          <w:numId w:val="4"/>
        </w:numPr>
        <w:spacing w:line="360" w:lineRule="auto"/>
        <w:rPr>
          <w:rFonts w:hint="eastAsia"/>
          <w:sz w:val="24"/>
        </w:rPr>
      </w:pPr>
      <w:r>
        <w:rPr>
          <w:rFonts w:hint="eastAsia"/>
          <w:sz w:val="24"/>
        </w:rPr>
        <w:t>云平台技术需求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83"/>
      </w:tblGrid>
      <w:tr w14:paraId="5137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05" w:type="dxa"/>
            <w:shd w:val="clear" w:color="auto" w:fill="D9D9D9"/>
            <w:noWrap w:val="0"/>
            <w:vAlign w:val="center"/>
          </w:tcPr>
          <w:p w14:paraId="789ACA7F">
            <w:pPr>
              <w:widowControl/>
              <w:spacing w:line="360" w:lineRule="auto"/>
              <w:ind w:firstLine="482" w:firstLineChars="200"/>
              <w:jc w:val="center"/>
              <w:rPr>
                <w:rFonts w:hint="eastAsia" w:ascii="宋体" w:hAnsi="宋体" w:cs="宋体"/>
                <w:b/>
                <w:bCs/>
                <w:sz w:val="24"/>
              </w:rPr>
            </w:pPr>
            <w:r>
              <w:rPr>
                <w:rFonts w:hint="eastAsia" w:ascii="宋体" w:hAnsi="宋体" w:cs="宋体"/>
                <w:b/>
                <w:bCs/>
                <w:sz w:val="24"/>
              </w:rPr>
              <w:t>指标项</w:t>
            </w:r>
          </w:p>
        </w:tc>
        <w:tc>
          <w:tcPr>
            <w:tcW w:w="7783" w:type="dxa"/>
            <w:shd w:val="clear" w:color="auto" w:fill="D9D9D9"/>
            <w:noWrap w:val="0"/>
            <w:vAlign w:val="center"/>
          </w:tcPr>
          <w:p w14:paraId="526C0612">
            <w:pPr>
              <w:widowControl/>
              <w:spacing w:line="360" w:lineRule="auto"/>
              <w:ind w:firstLine="482" w:firstLineChars="200"/>
              <w:jc w:val="center"/>
              <w:rPr>
                <w:rFonts w:hint="eastAsia" w:ascii="宋体" w:hAnsi="宋体" w:cs="宋体"/>
                <w:b/>
                <w:bCs/>
                <w:sz w:val="24"/>
              </w:rPr>
            </w:pPr>
            <w:r>
              <w:rPr>
                <w:rFonts w:hint="eastAsia" w:ascii="宋体" w:hAnsi="宋体" w:cs="宋体"/>
                <w:b/>
                <w:bCs/>
                <w:sz w:val="24"/>
              </w:rPr>
              <w:t>招标要求</w:t>
            </w:r>
          </w:p>
        </w:tc>
      </w:tr>
      <w:tr w14:paraId="6E02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05" w:type="dxa"/>
            <w:vMerge w:val="restart"/>
            <w:noWrap w:val="0"/>
            <w:vAlign w:val="center"/>
          </w:tcPr>
          <w:p w14:paraId="3C941042">
            <w:pPr>
              <w:spacing w:line="360" w:lineRule="auto"/>
              <w:rPr>
                <w:rFonts w:hint="eastAsia" w:ascii="宋体" w:hAnsi="宋体" w:cs="宋体"/>
                <w:sz w:val="24"/>
              </w:rPr>
            </w:pPr>
            <w:r>
              <w:rPr>
                <w:rFonts w:hint="eastAsia" w:ascii="宋体" w:hAnsi="宋体" w:cs="宋体"/>
                <w:sz w:val="24"/>
              </w:rPr>
              <w:t>基本要求</w:t>
            </w:r>
          </w:p>
        </w:tc>
        <w:tc>
          <w:tcPr>
            <w:tcW w:w="7783" w:type="dxa"/>
            <w:noWrap w:val="0"/>
            <w:vAlign w:val="center"/>
          </w:tcPr>
          <w:p w14:paraId="4FB3FC4B">
            <w:pPr>
              <w:spacing w:line="360" w:lineRule="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云平台应具备不低于99.99%可用性标准，可支持用户自主配置主机、存储、网络、安全等资源，支持定制化开发</w:t>
            </w:r>
          </w:p>
        </w:tc>
      </w:tr>
      <w:tr w14:paraId="0FFF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05" w:type="dxa"/>
            <w:vMerge w:val="continue"/>
            <w:noWrap w:val="0"/>
            <w:vAlign w:val="center"/>
          </w:tcPr>
          <w:p w14:paraId="16E60097">
            <w:pPr>
              <w:widowControl/>
              <w:spacing w:line="360" w:lineRule="auto"/>
              <w:ind w:firstLine="480" w:firstLineChars="200"/>
              <w:rPr>
                <w:rFonts w:hint="eastAsia" w:ascii="宋体" w:hAnsi="宋体" w:cs="宋体"/>
                <w:sz w:val="24"/>
              </w:rPr>
            </w:pPr>
          </w:p>
        </w:tc>
        <w:tc>
          <w:tcPr>
            <w:tcW w:w="7783" w:type="dxa"/>
            <w:noWrap w:val="0"/>
            <w:vAlign w:val="center"/>
          </w:tcPr>
          <w:p w14:paraId="6BC7E4C6">
            <w:pPr>
              <w:spacing w:line="360" w:lineRule="auto"/>
              <w:rPr>
                <w:rFonts w:hint="eastAsia" w:ascii="宋体" w:hAnsi="宋体" w:cs="宋体"/>
                <w:sz w:val="24"/>
              </w:rPr>
            </w:pPr>
            <w:r>
              <w:rPr>
                <w:rFonts w:hint="eastAsia" w:ascii="宋体" w:hAnsi="宋体" w:cs="宋体"/>
                <w:sz w:val="24"/>
              </w:rPr>
              <w:t>支持数据中心资源动态调度，可根据业务压力随时调整虚拟机数量，停机时间可控制在秒级</w:t>
            </w:r>
          </w:p>
        </w:tc>
      </w:tr>
      <w:tr w14:paraId="3657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05" w:type="dxa"/>
            <w:vMerge w:val="continue"/>
            <w:noWrap w:val="0"/>
            <w:vAlign w:val="center"/>
          </w:tcPr>
          <w:p w14:paraId="76C65E47">
            <w:pPr>
              <w:widowControl/>
              <w:spacing w:line="360" w:lineRule="auto"/>
              <w:ind w:firstLine="480" w:firstLineChars="200"/>
              <w:rPr>
                <w:rFonts w:hint="eastAsia" w:ascii="宋体" w:hAnsi="宋体" w:cs="宋体"/>
                <w:sz w:val="24"/>
              </w:rPr>
            </w:pPr>
          </w:p>
        </w:tc>
        <w:tc>
          <w:tcPr>
            <w:tcW w:w="7783" w:type="dxa"/>
            <w:noWrap w:val="0"/>
            <w:vAlign w:val="center"/>
          </w:tcPr>
          <w:p w14:paraId="0373DE66">
            <w:pPr>
              <w:spacing w:line="360" w:lineRule="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支持对虚拟机CPU、内存、存储、带宽进行实时监控，并支持自定义告警规则</w:t>
            </w:r>
          </w:p>
        </w:tc>
      </w:tr>
      <w:tr w14:paraId="5E07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05" w:type="dxa"/>
            <w:vMerge w:val="continue"/>
            <w:noWrap w:val="0"/>
            <w:vAlign w:val="center"/>
          </w:tcPr>
          <w:p w14:paraId="26D73658">
            <w:pPr>
              <w:widowControl/>
              <w:spacing w:line="360" w:lineRule="auto"/>
              <w:ind w:firstLine="480" w:firstLineChars="200"/>
              <w:rPr>
                <w:rFonts w:hint="eastAsia" w:ascii="宋体" w:hAnsi="宋体" w:cs="宋体"/>
                <w:sz w:val="24"/>
              </w:rPr>
            </w:pPr>
          </w:p>
        </w:tc>
        <w:tc>
          <w:tcPr>
            <w:tcW w:w="7783" w:type="dxa"/>
            <w:noWrap w:val="0"/>
            <w:vAlign w:val="center"/>
          </w:tcPr>
          <w:p w14:paraId="6C11DFF5">
            <w:pPr>
              <w:spacing w:line="360" w:lineRule="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 xml:space="preserve">支持用户自定义虚拟主机专用网络或VLAN，并支持7层和4层的软件负载均衡 </w:t>
            </w:r>
          </w:p>
        </w:tc>
      </w:tr>
      <w:tr w14:paraId="7DDB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05" w:type="dxa"/>
            <w:vMerge w:val="continue"/>
            <w:noWrap w:val="0"/>
            <w:vAlign w:val="center"/>
          </w:tcPr>
          <w:p w14:paraId="68C4EF94">
            <w:pPr>
              <w:widowControl/>
              <w:spacing w:line="360" w:lineRule="auto"/>
              <w:ind w:firstLine="480" w:firstLineChars="200"/>
              <w:rPr>
                <w:rFonts w:hint="eastAsia" w:ascii="宋体" w:hAnsi="宋体" w:cs="宋体"/>
                <w:sz w:val="24"/>
              </w:rPr>
            </w:pPr>
          </w:p>
        </w:tc>
        <w:tc>
          <w:tcPr>
            <w:tcW w:w="7783" w:type="dxa"/>
            <w:noWrap w:val="0"/>
            <w:vAlign w:val="center"/>
          </w:tcPr>
          <w:p w14:paraId="516492CF">
            <w:pPr>
              <w:spacing w:line="360" w:lineRule="auto"/>
              <w:rPr>
                <w:rFonts w:hint="eastAsia" w:ascii="宋体" w:hAnsi="宋体" w:cs="宋体"/>
                <w:sz w:val="24"/>
              </w:rPr>
            </w:pPr>
            <w:r>
              <w:rPr>
                <w:rFonts w:hint="eastAsia" w:ascii="宋体" w:hAnsi="宋体" w:cs="宋体"/>
                <w:sz w:val="24"/>
              </w:rPr>
              <w:t>支持虚拟机的跨物理服务器的在线迁移</w:t>
            </w:r>
          </w:p>
        </w:tc>
      </w:tr>
      <w:tr w14:paraId="00B5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05" w:type="dxa"/>
            <w:vMerge w:val="continue"/>
            <w:noWrap w:val="0"/>
            <w:vAlign w:val="center"/>
          </w:tcPr>
          <w:p w14:paraId="7E4DDDA3">
            <w:pPr>
              <w:widowControl/>
              <w:spacing w:line="360" w:lineRule="auto"/>
              <w:ind w:firstLine="480" w:firstLineChars="200"/>
              <w:rPr>
                <w:rFonts w:hint="eastAsia" w:ascii="宋体" w:hAnsi="宋体" w:cs="宋体"/>
                <w:sz w:val="24"/>
              </w:rPr>
            </w:pPr>
          </w:p>
        </w:tc>
        <w:tc>
          <w:tcPr>
            <w:tcW w:w="7783" w:type="dxa"/>
            <w:noWrap w:val="0"/>
            <w:vAlign w:val="center"/>
          </w:tcPr>
          <w:p w14:paraId="44C3B70B">
            <w:pPr>
              <w:spacing w:line="360" w:lineRule="auto"/>
              <w:rPr>
                <w:rFonts w:hint="eastAsia" w:ascii="宋体" w:hAnsi="宋体" w:cs="宋体"/>
                <w:sz w:val="24"/>
              </w:rPr>
            </w:pPr>
            <w:r>
              <w:rPr>
                <w:rFonts w:hint="eastAsia" w:ascii="宋体" w:hAnsi="宋体" w:cs="宋体"/>
                <w:sz w:val="24"/>
              </w:rPr>
              <w:t>支持用户自主进行虚拟资源的新建、添加、删除、启动、停止、资源释放和回收</w:t>
            </w:r>
          </w:p>
        </w:tc>
      </w:tr>
      <w:tr w14:paraId="7754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05" w:type="dxa"/>
            <w:vMerge w:val="continue"/>
            <w:noWrap w:val="0"/>
            <w:vAlign w:val="center"/>
          </w:tcPr>
          <w:p w14:paraId="0C1C4ADE">
            <w:pPr>
              <w:widowControl/>
              <w:spacing w:line="360" w:lineRule="auto"/>
              <w:ind w:firstLine="480" w:firstLineChars="200"/>
              <w:rPr>
                <w:rFonts w:hint="eastAsia" w:ascii="宋体" w:hAnsi="宋体" w:cs="宋体"/>
                <w:sz w:val="24"/>
              </w:rPr>
            </w:pPr>
          </w:p>
        </w:tc>
        <w:tc>
          <w:tcPr>
            <w:tcW w:w="7783" w:type="dxa"/>
            <w:noWrap w:val="0"/>
            <w:vAlign w:val="top"/>
          </w:tcPr>
          <w:p w14:paraId="522DB25C">
            <w:pPr>
              <w:spacing w:line="360" w:lineRule="auto"/>
              <w:rPr>
                <w:rFonts w:hint="eastAsia" w:ascii="宋体" w:hAnsi="宋体" w:cs="宋体"/>
                <w:sz w:val="24"/>
              </w:rPr>
            </w:pPr>
            <w:r>
              <w:rPr>
                <w:rFonts w:hint="eastAsia" w:ascii="宋体" w:hAnsi="宋体" w:cs="宋体"/>
                <w:sz w:val="24"/>
              </w:rPr>
              <w:t>支持多种虚拟机调度模式，松散调度、紧凑调度、高可用调度等调度策略。其中高可用调度策略开放给云的租户</w:t>
            </w:r>
          </w:p>
        </w:tc>
      </w:tr>
      <w:tr w14:paraId="018C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05" w:type="dxa"/>
            <w:vMerge w:val="continue"/>
            <w:noWrap w:val="0"/>
            <w:vAlign w:val="center"/>
          </w:tcPr>
          <w:p w14:paraId="78523DFE">
            <w:pPr>
              <w:widowControl/>
              <w:spacing w:line="360" w:lineRule="auto"/>
              <w:ind w:firstLine="480" w:firstLineChars="200"/>
              <w:rPr>
                <w:rFonts w:hint="eastAsia" w:ascii="宋体" w:hAnsi="宋体" w:cs="宋体"/>
                <w:sz w:val="24"/>
              </w:rPr>
            </w:pPr>
          </w:p>
        </w:tc>
        <w:tc>
          <w:tcPr>
            <w:tcW w:w="7783" w:type="dxa"/>
            <w:noWrap w:val="0"/>
            <w:vAlign w:val="top"/>
          </w:tcPr>
          <w:p w14:paraId="3DAD2338">
            <w:pPr>
              <w:spacing w:line="360" w:lineRule="auto"/>
              <w:rPr>
                <w:rFonts w:hint="eastAsia" w:ascii="宋体" w:hAnsi="宋体" w:cs="宋体"/>
                <w:sz w:val="24"/>
              </w:rPr>
            </w:pPr>
            <w:r>
              <w:rPr>
                <w:rFonts w:hint="eastAsia" w:ascii="宋体" w:hAnsi="宋体" w:cs="宋体"/>
                <w:sz w:val="24"/>
              </w:rPr>
              <w:t>#支持云平台租户自行指定云主机的网卡IP</w:t>
            </w:r>
          </w:p>
        </w:tc>
      </w:tr>
      <w:tr w14:paraId="1408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05" w:type="dxa"/>
            <w:vMerge w:val="continue"/>
            <w:noWrap w:val="0"/>
            <w:vAlign w:val="center"/>
          </w:tcPr>
          <w:p w14:paraId="3CF4ED5A">
            <w:pPr>
              <w:widowControl/>
              <w:spacing w:line="360" w:lineRule="auto"/>
              <w:ind w:firstLine="480" w:firstLineChars="200"/>
              <w:rPr>
                <w:rFonts w:hint="eastAsia" w:ascii="宋体" w:hAnsi="宋体" w:cs="宋体"/>
                <w:sz w:val="24"/>
              </w:rPr>
            </w:pPr>
          </w:p>
        </w:tc>
        <w:tc>
          <w:tcPr>
            <w:tcW w:w="7783" w:type="dxa"/>
            <w:noWrap w:val="0"/>
            <w:vAlign w:val="top"/>
          </w:tcPr>
          <w:p w14:paraId="3AB5D844">
            <w:pPr>
              <w:widowControl/>
              <w:shd w:val="clear" w:color="auto" w:fill="FFFFFF"/>
              <w:spacing w:line="360" w:lineRule="auto"/>
              <w:jc w:val="left"/>
              <w:rPr>
                <w:rFonts w:hint="eastAsia" w:ascii="宋体" w:hAnsi="宋体" w:cs="宋体"/>
                <w:kern w:val="0"/>
                <w:sz w:val="24"/>
              </w:rPr>
            </w:pPr>
            <w:r>
              <w:rPr>
                <w:rFonts w:hint="eastAsia" w:ascii="宋体" w:hAnsi="宋体" w:cs="宋体"/>
                <w:color w:val="000000"/>
                <w:kern w:val="0"/>
                <w:sz w:val="24"/>
                <w:shd w:val="clear" w:color="auto" w:fill="FFFFFF"/>
              </w:rPr>
              <w:t>#通过《云平台网络能力评估方法·第 4部分:云组网》检验，在基本功能、网络互通权限、网络资源调配能力、网络隔离能力、网络安全保障、网络性能、运维管理功能、计量计费管理、可靠性等解决方案质量方面，以及产品周期、运维服务、权益保障等服务指标的完备性和规范性方面均满足。（提供通过相关检验的证明材料复印件，证明材料持有人与投标人必须完全一致。）</w:t>
            </w:r>
          </w:p>
        </w:tc>
      </w:tr>
    </w:tbl>
    <w:p w14:paraId="673FF6CA">
      <w:pPr>
        <w:numPr>
          <w:ilvl w:val="0"/>
          <w:numId w:val="4"/>
        </w:numPr>
        <w:spacing w:line="360" w:lineRule="auto"/>
        <w:rPr>
          <w:rFonts w:hint="eastAsia"/>
          <w:sz w:val="24"/>
        </w:rPr>
      </w:pPr>
      <w:r>
        <w:rPr>
          <w:rFonts w:hint="eastAsia"/>
          <w:sz w:val="24"/>
        </w:rPr>
        <w:t>其他技术需求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7873"/>
      </w:tblGrid>
      <w:tr w14:paraId="780D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15" w:type="dxa"/>
            <w:shd w:val="clear" w:color="auto" w:fill="D9D9D9"/>
            <w:noWrap w:val="0"/>
            <w:vAlign w:val="center"/>
          </w:tcPr>
          <w:p w14:paraId="4D994573">
            <w:pPr>
              <w:widowControl/>
              <w:spacing w:line="360" w:lineRule="auto"/>
              <w:rPr>
                <w:rFonts w:hint="eastAsia" w:ascii="宋体" w:hAnsi="宋体" w:cs="宋体"/>
                <w:b/>
                <w:bCs/>
                <w:sz w:val="24"/>
              </w:rPr>
            </w:pPr>
            <w:r>
              <w:rPr>
                <w:rFonts w:hint="eastAsia" w:ascii="宋体" w:hAnsi="宋体" w:cs="宋体"/>
                <w:b/>
                <w:bCs/>
                <w:sz w:val="24"/>
              </w:rPr>
              <w:t>指标项</w:t>
            </w:r>
          </w:p>
        </w:tc>
        <w:tc>
          <w:tcPr>
            <w:tcW w:w="7873" w:type="dxa"/>
            <w:shd w:val="clear" w:color="auto" w:fill="D9D9D9"/>
            <w:noWrap w:val="0"/>
            <w:vAlign w:val="center"/>
          </w:tcPr>
          <w:p w14:paraId="3AB487B6">
            <w:pPr>
              <w:widowControl/>
              <w:spacing w:line="360" w:lineRule="auto"/>
              <w:ind w:firstLine="482" w:firstLineChars="200"/>
              <w:jc w:val="center"/>
              <w:rPr>
                <w:rFonts w:hint="eastAsia" w:ascii="宋体" w:hAnsi="宋体" w:cs="宋体"/>
                <w:b/>
                <w:bCs/>
                <w:sz w:val="24"/>
              </w:rPr>
            </w:pPr>
            <w:r>
              <w:rPr>
                <w:rFonts w:hint="eastAsia" w:ascii="宋体" w:hAnsi="宋体" w:cs="宋体"/>
                <w:b/>
                <w:bCs/>
                <w:sz w:val="24"/>
              </w:rPr>
              <w:t>招标要求</w:t>
            </w:r>
          </w:p>
        </w:tc>
      </w:tr>
      <w:tr w14:paraId="4A4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15" w:type="dxa"/>
            <w:shd w:val="clear" w:color="auto" w:fill="FFFFFF"/>
            <w:noWrap w:val="0"/>
            <w:vAlign w:val="center"/>
          </w:tcPr>
          <w:p w14:paraId="1981602A">
            <w:pPr>
              <w:spacing w:line="360" w:lineRule="auto"/>
              <w:rPr>
                <w:rFonts w:hint="eastAsia" w:ascii="宋体" w:hAnsi="宋体" w:cs="宋体"/>
                <w:sz w:val="24"/>
              </w:rPr>
            </w:pPr>
            <w:r>
              <w:rPr>
                <w:rFonts w:hint="eastAsia" w:ascii="宋体" w:hAnsi="宋体" w:cs="宋体"/>
                <w:sz w:val="24"/>
              </w:rPr>
              <w:t>政务云技术架构要求</w:t>
            </w:r>
          </w:p>
        </w:tc>
        <w:tc>
          <w:tcPr>
            <w:tcW w:w="7873" w:type="dxa"/>
            <w:shd w:val="clear" w:color="auto" w:fill="FFFFFF"/>
            <w:noWrap w:val="0"/>
            <w:vAlign w:val="center"/>
          </w:tcPr>
          <w:p w14:paraId="64365D04">
            <w:pPr>
              <w:spacing w:line="360" w:lineRule="auto"/>
              <w:rPr>
                <w:rFonts w:hint="eastAsia" w:ascii="宋体" w:hAnsi="宋体" w:cs="宋体"/>
                <w:sz w:val="24"/>
              </w:rPr>
            </w:pPr>
            <w:r>
              <w:rPr>
                <w:rFonts w:hint="eastAsia" w:ascii="宋体" w:hAnsi="宋体" w:cs="宋体"/>
                <w:sz w:val="24"/>
              </w:rPr>
              <w:t>资源虚拟化通过KVM技术实现。(提供所投产品此项要求的系统截图或其他有效证明文件)</w:t>
            </w:r>
          </w:p>
        </w:tc>
      </w:tr>
      <w:tr w14:paraId="38C2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15" w:type="dxa"/>
            <w:shd w:val="clear" w:color="auto" w:fill="FFFFFF"/>
            <w:noWrap w:val="0"/>
            <w:vAlign w:val="center"/>
          </w:tcPr>
          <w:p w14:paraId="27E4AE59">
            <w:pPr>
              <w:spacing w:line="360" w:lineRule="auto"/>
              <w:rPr>
                <w:rFonts w:hint="eastAsia" w:ascii="宋体" w:hAnsi="宋体" w:cs="宋体"/>
                <w:sz w:val="24"/>
              </w:rPr>
            </w:pPr>
            <w:r>
              <w:rPr>
                <w:rFonts w:hint="eastAsia" w:ascii="宋体" w:hAnsi="宋体" w:cs="宋体"/>
                <w:sz w:val="24"/>
              </w:rPr>
              <w:t>政务云存储技术要求</w:t>
            </w:r>
          </w:p>
        </w:tc>
        <w:tc>
          <w:tcPr>
            <w:tcW w:w="7873" w:type="dxa"/>
            <w:shd w:val="clear" w:color="auto" w:fill="FFFFFF"/>
            <w:noWrap w:val="0"/>
            <w:vAlign w:val="center"/>
          </w:tcPr>
          <w:p w14:paraId="10BD8719">
            <w:pPr>
              <w:spacing w:line="360" w:lineRule="auto"/>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投标人所使用云平台支持基于通用X86服务器本地硬盘的计算存储融合架构部署分布式存储资源池，底层支持三副本数据冗余（提供所投产品此项要求的系统截图、三方证明或其他有效证明文件。）</w:t>
            </w:r>
          </w:p>
        </w:tc>
      </w:tr>
      <w:tr w14:paraId="22B3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15" w:type="dxa"/>
            <w:vMerge w:val="restart"/>
            <w:shd w:val="clear" w:color="auto" w:fill="FFFFFF"/>
            <w:noWrap w:val="0"/>
            <w:vAlign w:val="center"/>
          </w:tcPr>
          <w:p w14:paraId="3A3325D3">
            <w:pPr>
              <w:spacing w:line="360" w:lineRule="auto"/>
              <w:rPr>
                <w:rFonts w:hint="eastAsia" w:ascii="宋体" w:hAnsi="宋体" w:cs="宋体"/>
                <w:sz w:val="24"/>
              </w:rPr>
            </w:pPr>
            <w:r>
              <w:rPr>
                <w:rFonts w:hint="eastAsia" w:ascii="宋体" w:hAnsi="宋体" w:cs="宋体"/>
                <w:sz w:val="24"/>
              </w:rPr>
              <w:t>政务云资源及服务管理要求</w:t>
            </w:r>
          </w:p>
        </w:tc>
        <w:tc>
          <w:tcPr>
            <w:tcW w:w="7873" w:type="dxa"/>
            <w:shd w:val="clear" w:color="auto" w:fill="FFFFFF"/>
            <w:noWrap w:val="0"/>
            <w:vAlign w:val="center"/>
          </w:tcPr>
          <w:p w14:paraId="15963EDF">
            <w:pPr>
              <w:spacing w:line="360" w:lineRule="auto"/>
              <w:rPr>
                <w:rFonts w:hint="eastAsia" w:ascii="宋体" w:hAnsi="宋体" w:cs="宋体"/>
                <w:sz w:val="24"/>
              </w:rPr>
            </w:pPr>
            <w:r>
              <w:rPr>
                <w:rFonts w:hint="eastAsia" w:ascii="宋体" w:hAnsi="宋体" w:cs="宋体"/>
                <w:sz w:val="24"/>
              </w:rPr>
              <w:t>#云服务商提供采购人可自服务的云资源可视化管理能力，实现：云主机数量、vCPU数、内存数、磁盘数统计，云资源分配量趋势分析，云资源分布分析（互联网及政务外网分布情况、操作系统类型分布情况、云主机状态分布等），提供演示系统链接及管理工具截图证明文件。</w:t>
            </w:r>
          </w:p>
        </w:tc>
      </w:tr>
      <w:tr w14:paraId="3E14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15" w:type="dxa"/>
            <w:vMerge w:val="continue"/>
            <w:shd w:val="clear" w:color="auto" w:fill="FFFFFF"/>
            <w:noWrap w:val="0"/>
            <w:vAlign w:val="center"/>
          </w:tcPr>
          <w:p w14:paraId="5A0BC63E">
            <w:pPr>
              <w:spacing w:line="360" w:lineRule="auto"/>
              <w:ind w:firstLine="480" w:firstLineChars="200"/>
              <w:rPr>
                <w:rFonts w:hint="eastAsia" w:ascii="宋体" w:hAnsi="宋体" w:cs="宋体"/>
                <w:sz w:val="24"/>
              </w:rPr>
            </w:pPr>
          </w:p>
        </w:tc>
        <w:tc>
          <w:tcPr>
            <w:tcW w:w="7873" w:type="dxa"/>
            <w:shd w:val="clear" w:color="auto" w:fill="FFFFFF"/>
            <w:noWrap w:val="0"/>
            <w:vAlign w:val="center"/>
          </w:tcPr>
          <w:p w14:paraId="67EBE658">
            <w:pPr>
              <w:spacing w:line="360" w:lineRule="auto"/>
              <w:rPr>
                <w:rFonts w:hint="eastAsia" w:ascii="宋体" w:hAnsi="宋体" w:cs="宋体"/>
                <w:sz w:val="24"/>
              </w:rPr>
            </w:pPr>
            <w:r>
              <w:rPr>
                <w:rFonts w:hint="eastAsia" w:ascii="宋体" w:hAnsi="宋体" w:cs="宋体"/>
                <w:sz w:val="24"/>
              </w:rPr>
              <w:t>#云服务商提供采购人可自服务的云资源可视化管理能力，支持按资源分布进行业务资源用量分析并支持排序；支持按云主机数量进行业务系统分析并支持排序；提供演示系统链接及管理工具截图证明文件。</w:t>
            </w:r>
          </w:p>
        </w:tc>
      </w:tr>
      <w:tr w14:paraId="7B69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15" w:type="dxa"/>
            <w:vMerge w:val="continue"/>
            <w:shd w:val="clear" w:color="auto" w:fill="FFFFFF"/>
            <w:noWrap w:val="0"/>
            <w:vAlign w:val="center"/>
          </w:tcPr>
          <w:p w14:paraId="40E38910">
            <w:pPr>
              <w:spacing w:line="360" w:lineRule="auto"/>
              <w:ind w:firstLine="480" w:firstLineChars="200"/>
              <w:rPr>
                <w:rFonts w:hint="eastAsia" w:ascii="宋体" w:hAnsi="宋体" w:cs="宋体"/>
                <w:sz w:val="24"/>
              </w:rPr>
            </w:pPr>
          </w:p>
        </w:tc>
        <w:tc>
          <w:tcPr>
            <w:tcW w:w="7873" w:type="dxa"/>
            <w:shd w:val="clear" w:color="auto" w:fill="FFFFFF"/>
            <w:noWrap w:val="0"/>
            <w:vAlign w:val="center"/>
          </w:tcPr>
          <w:p w14:paraId="0F27C693">
            <w:pPr>
              <w:spacing w:line="360" w:lineRule="auto"/>
              <w:rPr>
                <w:rFonts w:hint="eastAsia" w:ascii="宋体" w:hAnsi="宋体" w:cs="宋体"/>
                <w:sz w:val="24"/>
              </w:rPr>
            </w:pPr>
            <w:r>
              <w:rPr>
                <w:rFonts w:hint="eastAsia" w:ascii="宋体" w:hAnsi="宋体" w:cs="宋体"/>
                <w:sz w:val="24"/>
              </w:rPr>
              <w:t>#云服务商提供采购人可自服务的云资源可视化管理能力，支持业务探活能力，能够根据业务系统服务IP地址、服务链接进行业务健康状态探测，展示系统运行状态，如正常、异常等，提供演示系统链接及管理工具截图证明。</w:t>
            </w:r>
          </w:p>
        </w:tc>
      </w:tr>
      <w:tr w14:paraId="36E5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415" w:type="dxa"/>
            <w:vMerge w:val="continue"/>
            <w:shd w:val="clear" w:color="auto" w:fill="FFFFFF"/>
            <w:noWrap w:val="0"/>
            <w:vAlign w:val="center"/>
          </w:tcPr>
          <w:p w14:paraId="65658900">
            <w:pPr>
              <w:spacing w:line="360" w:lineRule="auto"/>
              <w:ind w:firstLine="480" w:firstLineChars="200"/>
              <w:rPr>
                <w:rFonts w:hint="eastAsia" w:ascii="宋体" w:hAnsi="宋体" w:cs="宋体"/>
                <w:sz w:val="24"/>
              </w:rPr>
            </w:pPr>
          </w:p>
        </w:tc>
        <w:tc>
          <w:tcPr>
            <w:tcW w:w="7873" w:type="dxa"/>
            <w:shd w:val="clear" w:color="auto" w:fill="FFFFFF"/>
            <w:noWrap w:val="0"/>
            <w:vAlign w:val="center"/>
          </w:tcPr>
          <w:p w14:paraId="76E701E8">
            <w:pPr>
              <w:spacing w:line="360" w:lineRule="auto"/>
              <w:rPr>
                <w:rFonts w:hint="eastAsia" w:ascii="宋体" w:hAnsi="宋体" w:cs="宋体"/>
                <w:sz w:val="24"/>
              </w:rPr>
            </w:pPr>
            <w:r>
              <w:rPr>
                <w:rFonts w:hint="eastAsia" w:ascii="宋体" w:hAnsi="宋体" w:cs="宋体"/>
                <w:sz w:val="24"/>
              </w:rPr>
              <w:t>#云服务商提供采购人可自服务的云资源可视化管理能力，支持云效率分析展示能力，能够清晰展示云效率总值以及云效率变化轨迹图，时刻掌握系统云资源使用情况，并能够清晰展示不同系统云效率情况。提供演示系统链接及管理工具截图证明。</w:t>
            </w:r>
          </w:p>
        </w:tc>
      </w:tr>
    </w:tbl>
    <w:p w14:paraId="1223036E">
      <w:pPr>
        <w:rPr>
          <w:rFonts w:hint="eastAsia"/>
          <w:sz w:val="24"/>
        </w:rPr>
      </w:pPr>
    </w:p>
    <w:p w14:paraId="2C375637">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运维服务</w:t>
      </w:r>
    </w:p>
    <w:p w14:paraId="7CEB8787">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服务内容</w:t>
      </w:r>
    </w:p>
    <w:p w14:paraId="2EC349CB">
      <w:pPr>
        <w:keepNext/>
        <w:keepLines/>
        <w:numPr>
          <w:ilvl w:val="3"/>
          <w:numId w:val="3"/>
        </w:numPr>
        <w:spacing w:before="280" w:after="290" w:line="360" w:lineRule="auto"/>
        <w:outlineLvl w:val="3"/>
        <w:rPr>
          <w:rFonts w:hint="eastAsia" w:cs="宋体"/>
          <w:sz w:val="24"/>
        </w:rPr>
      </w:pPr>
      <w:r>
        <w:rPr>
          <w:rFonts w:hint="eastAsia" w:cs="宋体"/>
          <w:sz w:val="24"/>
        </w:rPr>
        <w:t>负责机房环境资源、云平台硬件资产、虚拟化资产的管理工作；</w:t>
      </w:r>
    </w:p>
    <w:p w14:paraId="44200977">
      <w:pPr>
        <w:keepNext/>
        <w:keepLines/>
        <w:numPr>
          <w:ilvl w:val="3"/>
          <w:numId w:val="3"/>
        </w:numPr>
        <w:spacing w:before="280" w:after="290" w:line="360" w:lineRule="auto"/>
        <w:outlineLvl w:val="3"/>
        <w:rPr>
          <w:rFonts w:hint="eastAsia" w:cs="宋体"/>
          <w:sz w:val="24"/>
        </w:rPr>
      </w:pPr>
      <w:r>
        <w:rPr>
          <w:rFonts w:hint="eastAsia" w:cs="宋体"/>
          <w:sz w:val="24"/>
        </w:rPr>
        <w:t>信息系统入云、上线、变更、退出等各阶段的备案与信息变更等工作；</w:t>
      </w:r>
    </w:p>
    <w:p w14:paraId="404D540A">
      <w:pPr>
        <w:keepNext/>
        <w:keepLines/>
        <w:numPr>
          <w:ilvl w:val="3"/>
          <w:numId w:val="3"/>
        </w:numPr>
        <w:spacing w:before="280" w:after="290" w:line="360" w:lineRule="auto"/>
        <w:outlineLvl w:val="3"/>
        <w:rPr>
          <w:rFonts w:hint="eastAsia" w:cs="宋体"/>
          <w:sz w:val="24"/>
        </w:rPr>
      </w:pPr>
      <w:r>
        <w:rPr>
          <w:rFonts w:hint="eastAsia" w:cs="宋体"/>
          <w:sz w:val="24"/>
        </w:rPr>
        <w:t>执行云平台变更申请、审批流程；</w:t>
      </w:r>
    </w:p>
    <w:p w14:paraId="2D72A71A">
      <w:pPr>
        <w:keepNext/>
        <w:keepLines/>
        <w:numPr>
          <w:ilvl w:val="3"/>
          <w:numId w:val="3"/>
        </w:numPr>
        <w:spacing w:before="280" w:after="290" w:line="360" w:lineRule="auto"/>
        <w:outlineLvl w:val="3"/>
        <w:rPr>
          <w:rFonts w:hint="eastAsia" w:cs="宋体"/>
          <w:sz w:val="24"/>
        </w:rPr>
      </w:pPr>
      <w:r>
        <w:rPr>
          <w:rFonts w:hint="eastAsia" w:cs="宋体"/>
          <w:sz w:val="24"/>
        </w:rPr>
        <w:t>云平台网络资源管理，针对内部地址使用情况、云平台专线接入情况、政务外网资源使用情况等做好统计工作；</w:t>
      </w:r>
    </w:p>
    <w:p w14:paraId="17A0681F">
      <w:pPr>
        <w:keepNext/>
        <w:keepLines/>
        <w:numPr>
          <w:ilvl w:val="3"/>
          <w:numId w:val="3"/>
        </w:numPr>
        <w:spacing w:before="280" w:after="290" w:line="360" w:lineRule="auto"/>
        <w:outlineLvl w:val="3"/>
        <w:rPr>
          <w:rFonts w:hint="eastAsia" w:cs="宋体"/>
          <w:sz w:val="24"/>
        </w:rPr>
      </w:pPr>
      <w:r>
        <w:rPr>
          <w:rFonts w:hint="eastAsia" w:cs="宋体"/>
          <w:sz w:val="24"/>
        </w:rPr>
        <w:t>服务期内，投标人须配备运维团队，提供可靠的售后服务保障。投标人针对采购人要求的云平台运维服务相关内容，需指定专业技术能力较强的工程师，根据采购人要求配合开展相关维护服务。</w:t>
      </w:r>
    </w:p>
    <w:p w14:paraId="35AA1BE9">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 xml:space="preserve"> 服务标准</w:t>
      </w:r>
    </w:p>
    <w:p w14:paraId="5869571D">
      <w:pPr>
        <w:spacing w:line="360" w:lineRule="auto"/>
        <w:ind w:firstLine="480"/>
        <w:rPr>
          <w:rFonts w:hint="eastAsia" w:ascii="宋体" w:hAnsi="宋体" w:cs="宋体"/>
          <w:sz w:val="24"/>
        </w:rPr>
      </w:pPr>
      <w:r>
        <w:rPr>
          <w:rFonts w:hint="eastAsia" w:ascii="宋体" w:hAnsi="宋体" w:cs="宋体"/>
          <w:sz w:val="24"/>
        </w:rPr>
        <w:t>依据《北京市市级政务云管理办法》，投标人应当提供高效的系统维护服务，有效防范系统风险，系统对应负责人7*24 小时电话畅通，能够在系统发 生除宕机外的其他故障问题时，能够协调人力资源在1小时内到达政务云机房现场提供服务。系统发生宕机问题时，投标人应在30分钟内响应，能够协调人力资源在1小时内到达运维现场定位、排除故障，在1个小时之内使系统恢复正常，故障处理完毕后提供相关系统宕机报告。</w:t>
      </w:r>
    </w:p>
    <w:p w14:paraId="0AC92A34">
      <w:pPr>
        <w:spacing w:line="360" w:lineRule="auto"/>
        <w:ind w:firstLine="480"/>
        <w:rPr>
          <w:rFonts w:hint="eastAsia" w:ascii="宋体" w:hAnsi="宋体" w:cs="宋体"/>
          <w:sz w:val="24"/>
        </w:rPr>
      </w:pPr>
      <w:r>
        <w:rPr>
          <w:rFonts w:hint="eastAsia" w:ascii="宋体" w:hAnsi="宋体" w:cs="宋体"/>
          <w:sz w:val="24"/>
        </w:rPr>
        <w:t>为保障业务高峰期内系统平稳运行，缓解系统高峰期内因业务发生量增大而带来系统压力风险，要求投标人根据业务周期性特点，加大运维保障力度，保证在业务高峰期内系统平稳运行。</w:t>
      </w:r>
    </w:p>
    <w:p w14:paraId="5A0832FD">
      <w:pPr>
        <w:spacing w:line="360" w:lineRule="auto"/>
        <w:ind w:firstLine="480"/>
        <w:rPr>
          <w:rFonts w:hint="eastAsia" w:ascii="宋体" w:hAnsi="宋体" w:cs="宋体"/>
          <w:sz w:val="24"/>
        </w:rPr>
      </w:pPr>
      <w:r>
        <w:rPr>
          <w:rFonts w:hint="eastAsia" w:ascii="宋体" w:hAnsi="宋体" w:cs="宋体"/>
          <w:sz w:val="24"/>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5EAAD6FB">
      <w:pPr>
        <w:spacing w:line="360" w:lineRule="auto"/>
        <w:ind w:firstLine="480"/>
        <w:rPr>
          <w:rFonts w:hint="eastAsia" w:ascii="宋体" w:hAnsi="宋体" w:cs="宋体"/>
          <w:sz w:val="24"/>
        </w:rPr>
      </w:pPr>
      <w:r>
        <w:rPr>
          <w:rFonts w:hint="eastAsia" w:ascii="宋体" w:hAnsi="宋体" w:cs="宋体"/>
          <w:sz w:val="24"/>
        </w:rPr>
        <w:t>按照国家、北京市相关规定和信息安全技术标准及规范要求,落实安全保障措施,通过信息安全测评机构的测评和政务云安全审查。</w:t>
      </w:r>
    </w:p>
    <w:p w14:paraId="547DD022">
      <w:pPr>
        <w:spacing w:line="360" w:lineRule="auto"/>
        <w:ind w:firstLine="480"/>
        <w:rPr>
          <w:rFonts w:hint="eastAsia" w:ascii="宋体" w:hAnsi="宋体" w:cs="宋体"/>
          <w:sz w:val="24"/>
        </w:rPr>
      </w:pPr>
      <w:r>
        <w:rPr>
          <w:rFonts w:hint="eastAsia" w:ascii="宋体" w:hAnsi="宋体" w:cs="宋体"/>
          <w:sz w:val="24"/>
        </w:rPr>
        <w:t>除不可抗力或计划内维护作业造成的政务云服务中断外,政务云实行24小时不间断运行。</w:t>
      </w:r>
    </w:p>
    <w:p w14:paraId="0C4F6EDF">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迁移服务</w:t>
      </w:r>
    </w:p>
    <w:p w14:paraId="78A32287">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服务内容</w:t>
      </w:r>
    </w:p>
    <w:p w14:paraId="7354A587">
      <w:pPr>
        <w:spacing w:line="360" w:lineRule="auto"/>
        <w:ind w:firstLine="480"/>
        <w:rPr>
          <w:rFonts w:hint="eastAsia" w:ascii="宋体" w:hAnsi="宋体" w:cs="宋体"/>
          <w:sz w:val="24"/>
        </w:rPr>
      </w:pPr>
      <w:r>
        <w:rPr>
          <w:rFonts w:hint="eastAsia" w:ascii="宋体" w:hAnsi="宋体" w:cs="宋体"/>
          <w:sz w:val="24"/>
        </w:rPr>
        <w:t>投标人需提供整体的业务上云迁移服务，应支持X86云主机迁移、X86物理主机迁移、单机数据库迁移、高可用数据库迁移等迁移场景。负责需求调研、架构规划设计、应用迁移部署等工作。</w:t>
      </w:r>
    </w:p>
    <w:p w14:paraId="582EF3A7">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服务标准</w:t>
      </w:r>
    </w:p>
    <w:p w14:paraId="6C11E44A">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本项目涉及的业务系统为采购人在用的生产系统，目前在北京市政务云上平稳运行，因此业务连续性是首要的保障需求。迁移服务具体要求如下：</w:t>
      </w:r>
    </w:p>
    <w:p w14:paraId="1EC8B0D4">
      <w:pPr>
        <w:snapToGrid w:val="0"/>
        <w:spacing w:line="360" w:lineRule="auto"/>
        <w:ind w:firstLine="420"/>
        <w:rPr>
          <w:rFonts w:hint="eastAsia" w:ascii="宋体" w:hAnsi="宋体" w:cs="宋体"/>
          <w:sz w:val="24"/>
        </w:rPr>
      </w:pPr>
      <w:r>
        <w:rPr>
          <w:rFonts w:hint="eastAsia" w:ascii="宋体" w:hAnsi="宋体" w:cs="宋体"/>
          <w:sz w:val="24"/>
        </w:rPr>
        <w:t>投标人需编制业务连续性服务方案。</w:t>
      </w:r>
    </w:p>
    <w:p w14:paraId="4DAC006B">
      <w:pPr>
        <w:snapToGrid w:val="0"/>
        <w:spacing w:line="360" w:lineRule="auto"/>
        <w:ind w:firstLine="480"/>
        <w:rPr>
          <w:rFonts w:hint="eastAsia" w:ascii="宋体" w:hAnsi="宋体" w:cs="宋体"/>
          <w:sz w:val="24"/>
        </w:rPr>
      </w:pPr>
      <w:r>
        <w:rPr>
          <w:rFonts w:hint="eastAsia" w:ascii="宋体" w:hAnsi="宋体" w:cs="宋体"/>
          <w:sz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23A0A73E">
      <w:pPr>
        <w:snapToGrid w:val="0"/>
        <w:spacing w:line="360" w:lineRule="auto"/>
        <w:ind w:firstLine="480"/>
        <w:rPr>
          <w:rFonts w:hint="eastAsia" w:ascii="宋体" w:hAnsi="宋体" w:cs="宋体"/>
          <w:sz w:val="24"/>
        </w:rPr>
      </w:pPr>
      <w:r>
        <w:rPr>
          <w:rFonts w:hint="eastAsia" w:ascii="宋体" w:hAnsi="宋体" w:cs="宋体"/>
          <w:sz w:val="24"/>
        </w:rPr>
        <w:t>本项目如涉及系统迁移，为保障业务系统的连续性，投标人应承诺自中标之日起，积极与原服务商对接，在5个工作日内，完成系统迁移平滑过渡，且因此产生的各项费用（包括但不限于测试阶段的云资源费用，系统开发商对业务系统的部署、调试费用等），应包含在投标人的报价中，提供“承诺函”并加盖投标人公章。</w:t>
      </w:r>
    </w:p>
    <w:p w14:paraId="6E5CE11A">
      <w:pPr>
        <w:keepNext/>
        <w:keepLines/>
        <w:numPr>
          <w:ilvl w:val="0"/>
          <w:numId w:val="3"/>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运维团队要求</w:t>
      </w:r>
    </w:p>
    <w:p w14:paraId="2B210719">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服务期内，投标人须设有7×24小时电话响应服务、具备运维团队，提供售后服务保障。团队成员应明确职责，架构清晰，岗位设置合理，且具备与本项目相关的项目经验。</w:t>
      </w:r>
    </w:p>
    <w:p w14:paraId="5F142053">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投标人须提供项目经理1人、技术负责人1人以及相应实施人员，项目团队人员8人（含项目经理和技术负责人）及以上。为本项目提供服务。要求如下：</w:t>
      </w:r>
    </w:p>
    <w:p w14:paraId="6723D122">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项目经理具备5年及以上类似工作经验，且具有信息系统项目管理师（高级）证书等同类证书。</w:t>
      </w:r>
    </w:p>
    <w:p w14:paraId="1A9D8E2C">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技术负责人具备5年及以上类似工作经验，且具有</w:t>
      </w:r>
      <w:r>
        <w:rPr>
          <w:rFonts w:hint="eastAsia" w:ascii="宋体" w:hAnsi="宋体" w:cs="宋体"/>
          <w:sz w:val="24"/>
        </w:rPr>
        <w:t>信息系统项目管理师证书</w:t>
      </w:r>
      <w:r>
        <w:rPr>
          <w:rFonts w:hint="eastAsia" w:ascii="宋体" w:hAnsi="宋体" w:cs="宋体"/>
          <w:kern w:val="0"/>
          <w:sz w:val="24"/>
        </w:rPr>
        <w:t>。</w:t>
      </w:r>
    </w:p>
    <w:p w14:paraId="7A35B66C">
      <w:pPr>
        <w:tabs>
          <w:tab w:val="left" w:pos="1162"/>
        </w:tabs>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团队</w:t>
      </w:r>
      <w:r>
        <w:rPr>
          <w:rFonts w:hint="eastAsia" w:ascii="宋体" w:hAnsi="宋体" w:cs="宋体"/>
          <w:kern w:val="0"/>
          <w:sz w:val="24"/>
          <w:highlight w:val="none"/>
        </w:rPr>
        <w:t>成员（项目经理和技术负责人除外）具有</w:t>
      </w:r>
      <w:r>
        <w:rPr>
          <w:rFonts w:hint="eastAsia" w:ascii="宋体" w:hAnsi="宋体" w:cs="宋体"/>
          <w:sz w:val="24"/>
          <w:highlight w:val="none"/>
        </w:rPr>
        <w:t>信息系统项目管理师（高级）证书</w:t>
      </w:r>
      <w:r>
        <w:rPr>
          <w:rFonts w:hint="eastAsia" w:ascii="宋体" w:hAnsi="宋体" w:cs="宋体"/>
          <w:sz w:val="24"/>
          <w:highlight w:val="none"/>
          <w:lang w:eastAsia="zh-CN"/>
        </w:rPr>
        <w:t>、</w:t>
      </w:r>
      <w:r>
        <w:rPr>
          <w:rFonts w:hint="eastAsia" w:ascii="宋体" w:hAnsi="宋体" w:cs="宋体"/>
          <w:kern w:val="0"/>
          <w:sz w:val="24"/>
          <w:highlight w:val="none"/>
        </w:rPr>
        <w:t>CISP证书。</w:t>
      </w:r>
    </w:p>
    <w:p w14:paraId="27EAAC0B">
      <w:pPr>
        <w:pStyle w:val="2"/>
        <w:rPr>
          <w:rFonts w:hint="eastAsia"/>
        </w:rPr>
      </w:pPr>
    </w:p>
    <w:p w14:paraId="0E1E3DD3">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项目技术负责人应是专职负责人，在服务期内不可更换。项目成员如有变化，需提前一个月通知采购人。</w:t>
      </w:r>
    </w:p>
    <w:p w14:paraId="2AF11C85">
      <w:pPr>
        <w:keepNext/>
        <w:keepLines/>
        <w:numPr>
          <w:ilvl w:val="0"/>
          <w:numId w:val="3"/>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商务要求</w:t>
      </w:r>
    </w:p>
    <w:p w14:paraId="69EA03A2">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服务地点</w:t>
      </w:r>
    </w:p>
    <w:p w14:paraId="66F5A847">
      <w:pPr>
        <w:spacing w:line="360" w:lineRule="auto"/>
        <w:ind w:firstLine="480"/>
        <w:rPr>
          <w:rFonts w:hint="eastAsia" w:ascii="宋体" w:hAnsi="宋体" w:cs="宋体"/>
          <w:sz w:val="24"/>
        </w:rPr>
      </w:pPr>
      <w:r>
        <w:rPr>
          <w:rFonts w:hint="eastAsia" w:ascii="宋体" w:hAnsi="宋体" w:cs="宋体"/>
          <w:sz w:val="24"/>
        </w:rPr>
        <w:t>北京市政务云机房。</w:t>
      </w:r>
    </w:p>
    <w:p w14:paraId="49CE41C2">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服务期限</w:t>
      </w:r>
    </w:p>
    <w:p w14:paraId="55E3D6E3">
      <w:pPr>
        <w:spacing w:line="360" w:lineRule="auto"/>
        <w:ind w:firstLine="480"/>
        <w:rPr>
          <w:rFonts w:hint="eastAsia" w:ascii="宋体" w:hAnsi="宋体" w:cs="宋体"/>
          <w:sz w:val="24"/>
        </w:rPr>
      </w:pPr>
      <w:r>
        <w:rPr>
          <w:rFonts w:hint="eastAsia" w:ascii="宋体" w:hAnsi="宋体" w:cs="宋体"/>
          <w:sz w:val="24"/>
        </w:rPr>
        <w:t>自合同签订之日起12个月。</w:t>
      </w:r>
    </w:p>
    <w:p w14:paraId="684381BC">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验收服务标准</w:t>
      </w:r>
    </w:p>
    <w:p w14:paraId="7032C262">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服务绩效指标</w:t>
      </w:r>
    </w:p>
    <w:p w14:paraId="33834C5A">
      <w:pPr>
        <w:spacing w:line="360" w:lineRule="auto"/>
        <w:ind w:firstLine="480"/>
        <w:rPr>
          <w:rFonts w:hint="eastAsia" w:ascii="宋体" w:hAnsi="宋体" w:cs="宋体"/>
          <w:sz w:val="24"/>
        </w:rPr>
      </w:pPr>
      <w:r>
        <w:rPr>
          <w:rFonts w:hint="eastAsia" w:ascii="宋体" w:hAnsi="宋体" w:cs="宋体"/>
          <w:sz w:val="24"/>
        </w:rPr>
        <w:t>（1）云服务全年整体可用性≥99.9%；</w:t>
      </w:r>
    </w:p>
    <w:p w14:paraId="6EE4F5F1">
      <w:pPr>
        <w:spacing w:line="360" w:lineRule="auto"/>
        <w:ind w:firstLine="480"/>
        <w:rPr>
          <w:rFonts w:hint="eastAsia" w:ascii="宋体" w:hAnsi="宋体" w:cs="宋体"/>
          <w:sz w:val="24"/>
        </w:rPr>
      </w:pPr>
      <w:r>
        <w:rPr>
          <w:rFonts w:hint="eastAsia" w:ascii="宋体" w:hAnsi="宋体" w:cs="宋体"/>
          <w:sz w:val="24"/>
        </w:rPr>
        <w:t>（2）故障响应率100%；</w:t>
      </w:r>
    </w:p>
    <w:p w14:paraId="34AC9B5A">
      <w:pPr>
        <w:spacing w:line="360" w:lineRule="auto"/>
        <w:ind w:firstLine="480"/>
        <w:rPr>
          <w:rFonts w:hint="eastAsia" w:ascii="宋体" w:hAnsi="宋体" w:cs="宋体"/>
          <w:sz w:val="24"/>
        </w:rPr>
      </w:pPr>
      <w:r>
        <w:rPr>
          <w:rFonts w:hint="eastAsia" w:ascii="宋体" w:hAnsi="宋体" w:cs="宋体"/>
          <w:sz w:val="24"/>
        </w:rPr>
        <w:t>（3）应急响应时间≤5分钟（重大事件1分钟内响应）。</w:t>
      </w:r>
    </w:p>
    <w:p w14:paraId="51108663">
      <w:pPr>
        <w:keepNext/>
        <w:keepLines/>
        <w:numPr>
          <w:ilvl w:val="2"/>
          <w:numId w:val="3"/>
        </w:numPr>
        <w:spacing w:before="260" w:after="260" w:line="360" w:lineRule="auto"/>
        <w:ind w:firstLine="482"/>
        <w:outlineLvl w:val="2"/>
        <w:rPr>
          <w:rFonts w:hint="eastAsia" w:ascii="宋体" w:hAnsi="宋体" w:cs="宋体"/>
          <w:b/>
          <w:sz w:val="24"/>
        </w:rPr>
      </w:pPr>
      <w:r>
        <w:rPr>
          <w:rFonts w:hint="eastAsia" w:ascii="宋体" w:hAnsi="宋体" w:cs="宋体"/>
          <w:b/>
          <w:sz w:val="24"/>
        </w:rPr>
        <w:t>项目验收要求</w:t>
      </w:r>
    </w:p>
    <w:p w14:paraId="0F0DA689">
      <w:pPr>
        <w:spacing w:line="360" w:lineRule="auto"/>
        <w:ind w:firstLine="480"/>
        <w:rPr>
          <w:rFonts w:hint="eastAsia" w:ascii="宋体" w:hAnsi="宋体" w:cs="宋体"/>
          <w:sz w:val="24"/>
        </w:rPr>
      </w:pPr>
      <w:r>
        <w:rPr>
          <w:rFonts w:hint="eastAsia" w:ascii="宋体" w:hAnsi="宋体" w:cs="宋体"/>
          <w:sz w:val="24"/>
        </w:rPr>
        <w:t>投标人所提供的北京市市级政务云基础资源服务应遵循客观、科学、合理的原则，符合《北京市市级政务云管理办法》的相关标准及要求。</w:t>
      </w:r>
    </w:p>
    <w:p w14:paraId="3920685D">
      <w:pPr>
        <w:spacing w:line="360" w:lineRule="auto"/>
        <w:ind w:firstLine="480"/>
        <w:rPr>
          <w:rFonts w:hint="eastAsia" w:ascii="宋体" w:hAnsi="宋体" w:cs="宋体"/>
          <w:sz w:val="24"/>
        </w:rPr>
      </w:pPr>
      <w:r>
        <w:rPr>
          <w:rFonts w:hint="eastAsia" w:ascii="宋体" w:hAnsi="宋体" w:cs="宋体"/>
          <w:sz w:val="24"/>
        </w:rPr>
        <w:t>投标人所提供资源应满足采购文件规定的要求。保证合同期内系统安全稳定运行，不因硬件故障导致服务中断4小时及以上。</w:t>
      </w:r>
    </w:p>
    <w:p w14:paraId="7E651B62">
      <w:pPr>
        <w:spacing w:line="360" w:lineRule="auto"/>
        <w:ind w:firstLine="480"/>
        <w:rPr>
          <w:rFonts w:hint="eastAsia" w:ascii="宋体" w:hAnsi="宋体" w:cs="宋体"/>
          <w:color w:val="000000"/>
          <w:sz w:val="24"/>
        </w:rPr>
      </w:pPr>
      <w:r>
        <w:rPr>
          <w:rFonts w:hint="eastAsia" w:ascii="宋体" w:hAnsi="宋体" w:cs="宋体"/>
          <w:color w:val="000000"/>
          <w:sz w:val="24"/>
        </w:rPr>
        <w:t>投标人应于合同履约期满6个月后【10】日内向采购人提出中期验收申请，采购人应于收到投标人验收申请后7个工作日内对投标人服务进行中期验收。</w:t>
      </w:r>
    </w:p>
    <w:p w14:paraId="00C4F9CF">
      <w:pPr>
        <w:spacing w:line="360" w:lineRule="auto"/>
        <w:ind w:firstLine="480"/>
        <w:rPr>
          <w:rFonts w:hint="eastAsia" w:ascii="宋体" w:hAnsi="宋体" w:cs="宋体"/>
          <w:color w:val="000000"/>
          <w:sz w:val="24"/>
        </w:rPr>
      </w:pPr>
      <w:r>
        <w:rPr>
          <w:rFonts w:hint="eastAsia" w:ascii="宋体" w:hAnsi="宋体" w:cs="宋体"/>
          <w:color w:val="000000"/>
          <w:sz w:val="24"/>
        </w:rPr>
        <w:t>投标人应于合同履约期满10个月后【10】日内向采购人提出终验申请，采购人应于收到投标人验收申请后7个工作日内对投标人服务进行终验。采购人在具备验收条件后7个工作日内未验收也未提出异议的视为完成验收。</w:t>
      </w:r>
    </w:p>
    <w:p w14:paraId="08DA4EDD">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投标人应在验收前向采购人提供详细验收申请、验收计划、验收方案、总结报告等材料，应当接受采购人或采购人聘请的专家对其工作成果进行的质量评审。</w:t>
      </w:r>
    </w:p>
    <w:p w14:paraId="727D3E60">
      <w:pPr>
        <w:keepNext/>
        <w:keepLines/>
        <w:numPr>
          <w:ilvl w:val="1"/>
          <w:numId w:val="3"/>
        </w:numPr>
        <w:spacing w:before="260" w:after="260" w:line="360" w:lineRule="auto"/>
        <w:ind w:firstLine="482"/>
        <w:outlineLvl w:val="1"/>
        <w:rPr>
          <w:rFonts w:hint="eastAsia" w:ascii="宋体" w:hAnsi="宋体" w:cs="宋体"/>
          <w:b/>
          <w:bCs/>
          <w:sz w:val="24"/>
        </w:rPr>
      </w:pPr>
      <w:r>
        <w:rPr>
          <w:rFonts w:hint="eastAsia" w:ascii="宋体" w:hAnsi="宋体" w:cs="宋体"/>
          <w:b/>
          <w:bCs/>
          <w:sz w:val="24"/>
        </w:rPr>
        <w:t>支付方式及条件</w:t>
      </w:r>
    </w:p>
    <w:p w14:paraId="74C7F22F">
      <w:pPr>
        <w:adjustRightInd w:val="0"/>
        <w:snapToGrid w:val="0"/>
        <w:spacing w:line="360" w:lineRule="auto"/>
        <w:ind w:firstLine="480"/>
        <w:textAlignment w:val="baseline"/>
        <w:rPr>
          <w:rFonts w:hint="eastAsia"/>
        </w:rPr>
      </w:pPr>
      <w:r>
        <w:rPr>
          <w:rFonts w:hint="eastAsia" w:ascii="宋体" w:hAnsi="宋体" w:eastAsia="宋体" w:cs="宋体"/>
          <w:kern w:val="0"/>
          <w:sz w:val="24"/>
        </w:rPr>
        <w:t>本项目服务期为12个月，每月服务费单价为合同总价款除以服务月数。2025年度累计支付10个月的服务费，具体支付方式为：本合同生效后7个工作日内，</w:t>
      </w:r>
      <w:r>
        <w:rPr>
          <w:rFonts w:hint="eastAsia" w:ascii="宋体" w:hAnsi="宋体" w:eastAsia="宋体" w:cs="宋体"/>
          <w:kern w:val="0"/>
          <w:sz w:val="24"/>
          <w:lang w:val="en-US" w:eastAsia="zh-CN"/>
        </w:rPr>
        <w:t>采购人</w:t>
      </w:r>
      <w:r>
        <w:rPr>
          <w:rFonts w:hint="eastAsia" w:ascii="宋体" w:hAnsi="宋体" w:eastAsia="宋体" w:cs="宋体"/>
          <w:kern w:val="0"/>
          <w:sz w:val="24"/>
        </w:rPr>
        <w:t>支付</w:t>
      </w:r>
      <w:r>
        <w:rPr>
          <w:rFonts w:hint="eastAsia" w:ascii="宋体" w:hAnsi="宋体" w:eastAsia="宋体" w:cs="宋体"/>
          <w:kern w:val="0"/>
          <w:sz w:val="24"/>
          <w:lang w:val="en-US" w:eastAsia="zh-CN"/>
        </w:rPr>
        <w:t>中标人</w:t>
      </w:r>
      <w:r>
        <w:rPr>
          <w:rFonts w:hint="eastAsia" w:ascii="宋体" w:hAnsi="宋体" w:eastAsia="宋体" w:cs="宋体"/>
          <w:kern w:val="0"/>
          <w:sz w:val="24"/>
        </w:rPr>
        <w:t>首笔10个服务月数的合同价款</w:t>
      </w:r>
      <w:r>
        <w:rPr>
          <w:rFonts w:hint="eastAsia" w:ascii="宋体" w:hAnsi="宋体" w:eastAsia="宋体" w:cs="宋体"/>
          <w:kern w:val="0"/>
          <w:sz w:val="24"/>
          <w:lang w:eastAsia="zh-CN"/>
        </w:rPr>
        <w:t>。</w:t>
      </w:r>
      <w:r>
        <w:rPr>
          <w:rFonts w:hint="eastAsia" w:ascii="宋体" w:hAnsi="宋体" w:eastAsia="宋体" w:cs="宋体"/>
          <w:kern w:val="0"/>
          <w:sz w:val="24"/>
        </w:rPr>
        <w:t>项目执行期满，经</w:t>
      </w:r>
      <w:r>
        <w:rPr>
          <w:rFonts w:hint="eastAsia" w:ascii="宋体" w:hAnsi="宋体" w:eastAsia="宋体" w:cs="宋体"/>
          <w:kern w:val="0"/>
          <w:sz w:val="24"/>
          <w:lang w:val="en-US" w:eastAsia="zh-CN"/>
        </w:rPr>
        <w:t>采购人</w:t>
      </w:r>
      <w:r>
        <w:rPr>
          <w:rFonts w:hint="eastAsia" w:ascii="宋体" w:hAnsi="宋体" w:eastAsia="宋体" w:cs="宋体"/>
          <w:kern w:val="0"/>
          <w:sz w:val="24"/>
        </w:rPr>
        <w:t>验收合格且</w:t>
      </w:r>
      <w:r>
        <w:rPr>
          <w:rFonts w:hint="eastAsia" w:ascii="宋体" w:hAnsi="宋体" w:eastAsia="宋体" w:cs="宋体"/>
          <w:kern w:val="0"/>
          <w:sz w:val="24"/>
          <w:lang w:val="en-US" w:eastAsia="zh-CN"/>
        </w:rPr>
        <w:t>中标人</w:t>
      </w:r>
      <w:r>
        <w:rPr>
          <w:rFonts w:hint="eastAsia" w:ascii="宋体" w:hAnsi="宋体" w:eastAsia="宋体" w:cs="宋体"/>
          <w:kern w:val="0"/>
          <w:sz w:val="24"/>
        </w:rPr>
        <w:t>不存在违约情形的，</w:t>
      </w:r>
      <w:r>
        <w:rPr>
          <w:rFonts w:hint="eastAsia" w:ascii="宋体" w:hAnsi="宋体" w:eastAsia="宋体" w:cs="宋体"/>
          <w:kern w:val="0"/>
          <w:sz w:val="24"/>
          <w:lang w:val="en-US" w:eastAsia="zh-CN"/>
        </w:rPr>
        <w:t>采购人</w:t>
      </w:r>
      <w:r>
        <w:rPr>
          <w:rFonts w:hint="eastAsia" w:ascii="宋体" w:hAnsi="宋体" w:eastAsia="宋体" w:cs="宋体"/>
          <w:kern w:val="0"/>
          <w:sz w:val="24"/>
        </w:rPr>
        <w:t>支付</w:t>
      </w:r>
      <w:r>
        <w:rPr>
          <w:rFonts w:hint="eastAsia" w:ascii="宋体" w:hAnsi="宋体" w:eastAsia="宋体" w:cs="宋体"/>
          <w:kern w:val="0"/>
          <w:sz w:val="24"/>
          <w:lang w:val="en-US" w:eastAsia="zh-CN"/>
        </w:rPr>
        <w:t>中标人</w:t>
      </w:r>
      <w:r>
        <w:rPr>
          <w:rFonts w:hint="eastAsia" w:ascii="宋体" w:hAnsi="宋体" w:eastAsia="宋体" w:cs="宋体"/>
          <w:kern w:val="0"/>
          <w:sz w:val="24"/>
        </w:rPr>
        <w:t>剩余2个服务月数的合同价款</w:t>
      </w:r>
      <w:r>
        <w:rPr>
          <w:rFonts w:hint="eastAsia" w:ascii="宋体" w:hAnsi="宋体" w:eastAsia="宋体" w:cs="宋体"/>
          <w:kern w:val="0"/>
          <w:sz w:val="24"/>
          <w:lang w:eastAsia="zh-CN"/>
        </w:rPr>
        <w:t>。</w:t>
      </w:r>
    </w:p>
    <w:p w14:paraId="0F227187">
      <w:pPr>
        <w:keepNext/>
        <w:keepLines/>
        <w:numPr>
          <w:ilvl w:val="0"/>
          <w:numId w:val="3"/>
        </w:numPr>
        <w:spacing w:before="340" w:after="330" w:line="360" w:lineRule="auto"/>
        <w:ind w:firstLine="562"/>
        <w:outlineLvl w:val="0"/>
        <w:rPr>
          <w:rFonts w:hint="eastAsia" w:ascii="宋体" w:hAnsi="宋体" w:cs="宋体"/>
          <w:b/>
          <w:kern w:val="44"/>
          <w:sz w:val="24"/>
        </w:rPr>
      </w:pPr>
      <w:r>
        <w:rPr>
          <w:rFonts w:hint="eastAsia" w:ascii="宋体" w:hAnsi="宋体" w:cs="宋体"/>
          <w:b/>
          <w:kern w:val="44"/>
          <w:sz w:val="24"/>
        </w:rPr>
        <w:t xml:space="preserve"> 知识产权和保密要求</w:t>
      </w:r>
    </w:p>
    <w:p w14:paraId="33FB53C9">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投标人应确保本项目所提交成果无知识产权纠纷，项目成果的知识产权属于</w:t>
      </w:r>
      <w:r>
        <w:rPr>
          <w:rFonts w:hint="eastAsia" w:ascii="宋体" w:hAnsi="宋体" w:cs="宋体"/>
          <w:kern w:val="0"/>
          <w:sz w:val="24"/>
          <w:lang w:eastAsia="zh-CN"/>
        </w:rPr>
        <w:t>采购人</w:t>
      </w:r>
      <w:r>
        <w:rPr>
          <w:rFonts w:hint="eastAsia" w:ascii="宋体" w:hAnsi="宋体" w:cs="宋体"/>
          <w:kern w:val="0"/>
          <w:sz w:val="24"/>
        </w:rPr>
        <w:t>。</w:t>
      </w:r>
    </w:p>
    <w:p w14:paraId="1E932734">
      <w:pPr>
        <w:adjustRightInd w:val="0"/>
        <w:snapToGrid w:val="0"/>
        <w:spacing w:line="360" w:lineRule="auto"/>
        <w:ind w:firstLine="480"/>
        <w:textAlignment w:val="baseline"/>
        <w:rPr>
          <w:rFonts w:hint="eastAsia" w:ascii="宋体" w:hAnsi="宋体" w:cs="宋体"/>
          <w:kern w:val="0"/>
          <w:sz w:val="24"/>
        </w:rPr>
      </w:pPr>
      <w:r>
        <w:rPr>
          <w:rFonts w:hint="eastAsia" w:ascii="宋体" w:hAnsi="宋体" w:cs="宋体"/>
          <w:kern w:val="0"/>
          <w:sz w:val="24"/>
        </w:rPr>
        <w:t>在签订和履行合同过程中从采购人处获知的技术和商业秘密，无论在合同期限内还是合同终止后，均应遵守国家有关版权、专利、商标等知识产权方面的法律规定，尊重</w:t>
      </w:r>
      <w:r>
        <w:rPr>
          <w:rFonts w:hint="eastAsia" w:ascii="宋体" w:hAnsi="宋体" w:cs="宋体"/>
          <w:kern w:val="0"/>
          <w:sz w:val="24"/>
          <w:lang w:eastAsia="zh-CN"/>
        </w:rPr>
        <w:t>采购人</w:t>
      </w:r>
      <w:r>
        <w:rPr>
          <w:rFonts w:hint="eastAsia" w:ascii="宋体" w:hAnsi="宋体" w:cs="宋体"/>
          <w:kern w:val="0"/>
          <w:sz w:val="24"/>
        </w:rPr>
        <w:t>的知识产权，对所知悉的采购人的技术秘密和商业秘密负有保密责任。未经采购人事先书面授权，不得以任何方式向任何其他组织或个人泄露、转让、许可使用、交换、赠与或与任何其他组织或个人共同使用或不正当使用（依据国家或上级部门指示所做的赠送除外）。违反本条规定给对方造成损失的，违约方应负相关的法律责任。</w:t>
      </w:r>
    </w:p>
    <w:p w14:paraId="71F92E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313A7"/>
    <w:multiLevelType w:val="multilevel"/>
    <w:tmpl w:val="D05313A7"/>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240" w:firstLine="0"/>
      </w:pPr>
      <w:rPr>
        <w:rFonts w:hint="eastAsia" w:ascii="宋体" w:hAnsi="宋体" w:eastAsia="宋体" w:cs="宋体"/>
      </w:rPr>
    </w:lvl>
    <w:lvl w:ilvl="2" w:tentative="0">
      <w:start w:val="1"/>
      <w:numFmt w:val="decimal"/>
      <w:isLgl/>
      <w:suff w:val="nothing"/>
      <w:lvlText w:val="%2.%3"/>
      <w:lvlJc w:val="left"/>
      <w:pPr>
        <w:tabs>
          <w:tab w:val="left" w:pos="0"/>
        </w:tabs>
        <w:ind w:left="0" w:firstLine="400"/>
      </w:pPr>
      <w:rPr>
        <w:rFonts w:hint="eastAsia" w:ascii="宋体" w:hAnsi="宋体" w:eastAsia="宋体" w:cs="宋体"/>
      </w:rPr>
    </w:lvl>
    <w:lvl w:ilvl="3" w:tentative="0">
      <w:start w:val="1"/>
      <w:numFmt w:val="decimal"/>
      <w:isLgl/>
      <w:suff w:val="nothing"/>
      <w:lvlText w:val="%2.%3.%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2164CC6"/>
    <w:multiLevelType w:val="multilevel"/>
    <w:tmpl w:val="E2164CC6"/>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240" w:firstLine="0"/>
      </w:pPr>
      <w:rPr>
        <w:rFonts w:hint="eastAsia" w:ascii="宋体" w:hAnsi="宋体" w:eastAsia="宋体" w:cs="宋体"/>
      </w:rPr>
    </w:lvl>
    <w:lvl w:ilvl="2" w:tentative="0">
      <w:start w:val="1"/>
      <w:numFmt w:val="decimal"/>
      <w:isLgl/>
      <w:suff w:val="nothing"/>
      <w:lvlText w:val="%2.%3"/>
      <w:lvlJc w:val="left"/>
      <w:pPr>
        <w:tabs>
          <w:tab w:val="left" w:pos="0"/>
        </w:tabs>
        <w:ind w:left="0" w:firstLine="400"/>
      </w:pPr>
      <w:rPr>
        <w:rFonts w:hint="eastAsia" w:ascii="宋体" w:hAnsi="宋体" w:eastAsia="宋体" w:cs="宋体"/>
      </w:rPr>
    </w:lvl>
    <w:lvl w:ilvl="3" w:tentative="0">
      <w:start w:val="1"/>
      <w:numFmt w:val="decimal"/>
      <w:isLgl/>
      <w:suff w:val="nothing"/>
      <w:lvlText w:val="%2.%3.%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FCC1DF1"/>
    <w:multiLevelType w:val="multilevel"/>
    <w:tmpl w:val="3FCC1DF1"/>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240" w:firstLine="0"/>
      </w:pPr>
      <w:rPr>
        <w:rFonts w:hint="eastAsia" w:ascii="宋体" w:hAnsi="宋体" w:eastAsia="宋体" w:cs="宋体"/>
      </w:rPr>
    </w:lvl>
    <w:lvl w:ilvl="2" w:tentative="0">
      <w:start w:val="1"/>
      <w:numFmt w:val="decimal"/>
      <w:isLgl/>
      <w:suff w:val="nothing"/>
      <w:lvlText w:val="%2.%3"/>
      <w:lvlJc w:val="left"/>
      <w:pPr>
        <w:tabs>
          <w:tab w:val="left" w:pos="0"/>
        </w:tabs>
        <w:ind w:left="0" w:firstLine="400"/>
      </w:pPr>
      <w:rPr>
        <w:rFonts w:hint="eastAsia" w:ascii="宋体" w:hAnsi="宋体" w:eastAsia="宋体" w:cs="宋体"/>
      </w:rPr>
    </w:lvl>
    <w:lvl w:ilvl="3" w:tentative="0">
      <w:start w:val="1"/>
      <w:numFmt w:val="decimal"/>
      <w:isLgl/>
      <w:suff w:val="nothing"/>
      <w:lvlText w:val="%2.%3.%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7920762"/>
    <w:multiLevelType w:val="multilevel"/>
    <w:tmpl w:val="67920762"/>
    <w:lvl w:ilvl="0" w:tentative="0">
      <w:start w:val="1"/>
      <w:numFmt w:val="decimal"/>
      <w:lvlText w:val="（%1）"/>
      <w:lvlJc w:val="left"/>
      <w:pPr>
        <w:ind w:left="420" w:hanging="420"/>
      </w:pPr>
      <w:rPr>
        <w:rFonts w:hint="eastAsia" w:cs="Times New Roman"/>
        <w:b w:val="0"/>
        <w:color w:val="auto"/>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D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5">
    <w:name w:val="Body Text First Indent 2"/>
    <w:basedOn w:val="3"/>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2025-05-26T02:06:25Z</dcterms:created>
  <dc:creator>zhhx</dc:creator>
  <cp:lastModifiedBy>高</cp:lastModifiedBy>
  <dcterms:modified xsi:type="dcterms:W3CDTF">2025-05-26T02:07:10Z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222C2957A1594175948BC8B6AE6B4E09_12</vt:lpwstr>
  </property>
</Properties>
</file>