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766B3">
      <w:pPr>
        <w:spacing w:line="360" w:lineRule="auto"/>
        <w:jc w:val="center"/>
        <w:outlineLvl w:val="0"/>
        <w:rPr>
          <w:rFonts w:hint="default" w:ascii="Times New Roman" w:hAnsi="Times New Roman" w:eastAsia="宋体" w:cs="Times New Roman"/>
          <w:b/>
          <w:color w:val="auto"/>
          <w:sz w:val="36"/>
          <w:szCs w:val="36"/>
          <w:lang w:val="en-US" w:eastAsia="zh-CN"/>
        </w:rPr>
      </w:pPr>
      <w:r>
        <w:rPr>
          <w:rFonts w:hint="default" w:ascii="Times New Roman" w:hAnsi="Times New Roman" w:eastAsia="宋体" w:cs="Times New Roman"/>
          <w:b/>
          <w:color w:val="auto"/>
          <w:sz w:val="36"/>
          <w:szCs w:val="36"/>
        </w:rPr>
        <w:t>2025年度北京市司法局国家统一法律职业资格考试考务服务项目</w:t>
      </w:r>
      <w:r>
        <w:rPr>
          <w:rFonts w:hint="eastAsia" w:cs="Times New Roman"/>
          <w:b/>
          <w:color w:val="auto"/>
          <w:sz w:val="36"/>
          <w:szCs w:val="36"/>
          <w:lang w:val="en-US" w:eastAsia="zh-CN"/>
        </w:rPr>
        <w:t>公开招标公告</w:t>
      </w:r>
    </w:p>
    <w:p w14:paraId="6C4A2675">
      <w:pPr>
        <w:pStyle w:val="3"/>
        <w:rPr>
          <w:rFonts w:hint="default" w:ascii="Times New Roman" w:hAnsi="Times New Roman" w:eastAsia="宋体" w:cs="Times New Roman"/>
          <w:color w:val="auto"/>
        </w:rPr>
      </w:pPr>
      <w:bookmarkStart w:id="0" w:name="_Toc28359002"/>
      <w:bookmarkStart w:id="1" w:name="_Toc28359079"/>
      <w:bookmarkStart w:id="2" w:name="_Toc35393621"/>
      <w:bookmarkStart w:id="3" w:name="_Toc35393790"/>
      <w:bookmarkStart w:id="4" w:name="_Hlk24379207"/>
      <w:r>
        <w:rPr>
          <w:rFonts w:hint="default" w:ascii="Times New Roman" w:hAnsi="Times New Roman" w:eastAsia="宋体" w:cs="Times New Roman"/>
          <w:color w:val="auto"/>
        </w:rPr>
        <w:t>一、项目基本情况</w:t>
      </w:r>
      <w:bookmarkEnd w:id="0"/>
      <w:bookmarkEnd w:id="1"/>
      <w:bookmarkEnd w:id="2"/>
      <w:bookmarkEnd w:id="3"/>
    </w:p>
    <w:p w14:paraId="07B37108">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1.项目编号：</w:t>
      </w:r>
      <w:r>
        <w:rPr>
          <w:rFonts w:hint="default" w:ascii="Times New Roman" w:hAnsi="Times New Roman" w:eastAsia="宋体" w:cs="Times New Roman"/>
          <w:color w:val="auto"/>
          <w:sz w:val="24"/>
          <w:u w:val="single"/>
        </w:rPr>
        <w:t>BJJQ-202</w:t>
      </w:r>
      <w:r>
        <w:rPr>
          <w:rFonts w:hint="default" w:ascii="Times New Roman" w:hAnsi="Times New Roman" w:eastAsia="宋体" w:cs="Times New Roman"/>
          <w:color w:val="auto"/>
          <w:sz w:val="24"/>
          <w:u w:val="single"/>
          <w:lang w:val="en-US" w:eastAsia="zh-CN"/>
        </w:rPr>
        <w:t>5</w:t>
      </w:r>
      <w:r>
        <w:rPr>
          <w:rFonts w:hint="default" w:ascii="Times New Roman" w:hAnsi="Times New Roman" w:eastAsia="宋体" w:cs="Times New Roman"/>
          <w:color w:val="auto"/>
          <w:sz w:val="24"/>
          <w:u w:val="single"/>
        </w:rPr>
        <w:t>-</w:t>
      </w:r>
      <w:r>
        <w:rPr>
          <w:rFonts w:hint="eastAsia" w:cs="Times New Roman"/>
          <w:color w:val="auto"/>
          <w:sz w:val="24"/>
          <w:u w:val="single"/>
          <w:lang w:val="en-US" w:eastAsia="zh-CN"/>
        </w:rPr>
        <w:t>590</w:t>
      </w:r>
    </w:p>
    <w:p w14:paraId="6FADBE30">
      <w:pPr>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rPr>
        <w:t>2.项目名称：</w:t>
      </w:r>
      <w:bookmarkEnd w:id="4"/>
      <w:r>
        <w:rPr>
          <w:rFonts w:hint="default" w:ascii="Times New Roman" w:hAnsi="Times New Roman" w:eastAsia="宋体" w:cs="Times New Roman"/>
          <w:color w:val="auto"/>
          <w:sz w:val="24"/>
          <w:u w:val="single"/>
        </w:rPr>
        <w:t>2025年度北京市司法局国家统一法律职业资格考试考务服务项目</w:t>
      </w:r>
    </w:p>
    <w:p w14:paraId="055A6FD0">
      <w:pPr>
        <w:spacing w:line="360" w:lineRule="auto"/>
        <w:ind w:firstLine="480" w:firstLineChars="200"/>
        <w:rPr>
          <w:rFonts w:hint="eastAsia" w:cs="Times New Roman"/>
          <w:color w:val="auto"/>
          <w:sz w:val="24"/>
          <w:lang w:eastAsia="zh-CN"/>
        </w:rPr>
      </w:pPr>
      <w:r>
        <w:rPr>
          <w:rFonts w:hint="default" w:ascii="Times New Roman" w:hAnsi="Times New Roman" w:eastAsia="宋体" w:cs="Times New Roman"/>
          <w:color w:val="auto"/>
          <w:sz w:val="24"/>
        </w:rPr>
        <w:t>3.项目预算金额：</w:t>
      </w:r>
      <w:r>
        <w:rPr>
          <w:rFonts w:hint="eastAsia" w:ascii="Times New Roman" w:hAnsi="Times New Roman" w:eastAsia="宋体" w:cs="Times New Roman"/>
          <w:color w:val="auto"/>
          <w:sz w:val="24"/>
          <w:u w:val="single"/>
        </w:rPr>
        <w:t>978</w:t>
      </w:r>
      <w:r>
        <w:rPr>
          <w:rFonts w:hint="eastAsia" w:ascii="Times New Roman" w:hAnsi="Times New Roman" w:eastAsia="宋体" w:cs="Times New Roman"/>
          <w:color w:val="auto"/>
          <w:sz w:val="24"/>
          <w:u w:val="single"/>
          <w:lang w:val="en-US" w:eastAsia="zh-CN"/>
        </w:rPr>
        <w:t>.145515</w:t>
      </w:r>
      <w:r>
        <w:rPr>
          <w:rFonts w:hint="default" w:ascii="Times New Roman" w:hAnsi="Times New Roman" w:eastAsia="宋体" w:cs="Times New Roman"/>
          <w:color w:val="auto"/>
          <w:sz w:val="24"/>
        </w:rPr>
        <w:t>万元</w:t>
      </w:r>
      <w:r>
        <w:rPr>
          <w:rFonts w:hint="eastAsia" w:cs="Times New Roman"/>
          <w:color w:val="auto"/>
          <w:sz w:val="24"/>
          <w:lang w:eastAsia="zh-CN"/>
        </w:rPr>
        <w:t>；</w:t>
      </w:r>
    </w:p>
    <w:p w14:paraId="2390DCC7">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项目最高限价：</w:t>
      </w:r>
    </w:p>
    <w:p w14:paraId="3CE4309C">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0</w:t>
      </w: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包：</w:t>
      </w:r>
      <w:r>
        <w:rPr>
          <w:rFonts w:hint="default" w:ascii="Times New Roman" w:hAnsi="Times New Roman" w:eastAsia="宋体" w:cs="Times New Roman"/>
          <w:color w:val="auto"/>
          <w:sz w:val="24"/>
          <w:highlight w:val="none"/>
          <w:lang w:val="en-US" w:eastAsia="zh-CN"/>
        </w:rPr>
        <w:t>客观题每个机位每场55元</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主观题每个机位每场68.62元。</w:t>
      </w:r>
    </w:p>
    <w:p w14:paraId="107F974C">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0</w:t>
      </w:r>
      <w:r>
        <w:rPr>
          <w:rFonts w:hint="eastAsia" w:cs="Times New Roman"/>
          <w:color w:val="auto"/>
          <w:sz w:val="24"/>
          <w:highlight w:val="none"/>
          <w:lang w:val="en-US" w:eastAsia="zh-CN"/>
        </w:rPr>
        <w:t>2</w:t>
      </w:r>
      <w:r>
        <w:rPr>
          <w:rFonts w:hint="eastAsia" w:ascii="Times New Roman" w:hAnsi="Times New Roman" w:eastAsia="宋体" w:cs="Times New Roman"/>
          <w:color w:val="auto"/>
          <w:sz w:val="24"/>
          <w:highlight w:val="none"/>
          <w:lang w:val="en-US" w:eastAsia="zh-CN"/>
        </w:rPr>
        <w:t>包：考务安全（人脸识别）</w:t>
      </w:r>
      <w:r>
        <w:rPr>
          <w:rFonts w:hint="default" w:ascii="Times New Roman" w:hAnsi="Times New Roman" w:eastAsia="宋体" w:cs="Times New Roman"/>
          <w:color w:val="auto"/>
          <w:sz w:val="24"/>
          <w:highlight w:val="none"/>
        </w:rPr>
        <w:t>最高限价</w:t>
      </w:r>
      <w:r>
        <w:rPr>
          <w:rFonts w:hint="eastAsia" w:ascii="Times New Roman" w:hAnsi="Times New Roman" w:eastAsia="宋体" w:cs="Times New Roman"/>
          <w:color w:val="auto"/>
          <w:sz w:val="24"/>
          <w:highlight w:val="none"/>
          <w:lang w:val="en-US" w:eastAsia="zh-CN"/>
        </w:rPr>
        <w:t>1077509.15元；移动视频监控</w:t>
      </w:r>
      <w:r>
        <w:rPr>
          <w:rFonts w:hint="default" w:ascii="Times New Roman" w:hAnsi="Times New Roman" w:eastAsia="宋体" w:cs="Times New Roman"/>
          <w:color w:val="auto"/>
          <w:sz w:val="24"/>
          <w:highlight w:val="none"/>
        </w:rPr>
        <w:t>最高限价</w:t>
      </w:r>
      <w:r>
        <w:rPr>
          <w:rFonts w:hint="eastAsia" w:ascii="Times New Roman" w:hAnsi="Times New Roman" w:eastAsia="宋体" w:cs="Times New Roman"/>
          <w:color w:val="auto"/>
          <w:sz w:val="24"/>
          <w:highlight w:val="none"/>
          <w:lang w:val="en-US" w:eastAsia="zh-CN"/>
        </w:rPr>
        <w:t>1161327.04元；考场防作弊设备（含防窥卡和金属探测器）</w:t>
      </w:r>
      <w:r>
        <w:rPr>
          <w:rFonts w:hint="default" w:ascii="Times New Roman" w:hAnsi="Times New Roman" w:eastAsia="宋体" w:cs="Times New Roman"/>
          <w:color w:val="auto"/>
          <w:sz w:val="24"/>
          <w:highlight w:val="none"/>
        </w:rPr>
        <w:t>最高限价</w:t>
      </w:r>
      <w:r>
        <w:rPr>
          <w:rFonts w:hint="eastAsia" w:ascii="Times New Roman" w:hAnsi="Times New Roman" w:eastAsia="宋体" w:cs="Times New Roman"/>
          <w:color w:val="auto"/>
          <w:sz w:val="24"/>
          <w:highlight w:val="none"/>
          <w:lang w:val="en-US" w:eastAsia="zh-CN"/>
        </w:rPr>
        <w:t>175204.36元。</w:t>
      </w:r>
    </w:p>
    <w:p w14:paraId="4BB7276D">
      <w:pPr>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rPr>
        <w:t>4.采购需求：</w:t>
      </w:r>
    </w:p>
    <w:tbl>
      <w:tblPr>
        <w:tblStyle w:val="4"/>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540"/>
        <w:gridCol w:w="1784"/>
        <w:gridCol w:w="791"/>
        <w:gridCol w:w="4182"/>
      </w:tblGrid>
      <w:tr w14:paraId="08B7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1" w:type="pct"/>
            <w:noWrap w:val="0"/>
            <w:vAlign w:val="center"/>
          </w:tcPr>
          <w:p w14:paraId="6DF9D195">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包号</w:t>
            </w:r>
          </w:p>
        </w:tc>
        <w:tc>
          <w:tcPr>
            <w:tcW w:w="859" w:type="pct"/>
            <w:noWrap w:val="0"/>
            <w:vAlign w:val="center"/>
          </w:tcPr>
          <w:p w14:paraId="09004F07">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标的名称</w:t>
            </w:r>
          </w:p>
        </w:tc>
        <w:tc>
          <w:tcPr>
            <w:tcW w:w="995" w:type="pct"/>
            <w:noWrap w:val="0"/>
            <w:vAlign w:val="center"/>
          </w:tcPr>
          <w:p w14:paraId="691B72B6">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采购包预算金额</w:t>
            </w:r>
          </w:p>
          <w:p w14:paraId="388215A5">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（万元）</w:t>
            </w:r>
          </w:p>
        </w:tc>
        <w:tc>
          <w:tcPr>
            <w:tcW w:w="441" w:type="pct"/>
            <w:noWrap w:val="0"/>
            <w:vAlign w:val="center"/>
          </w:tcPr>
          <w:p w14:paraId="6F3F94D9">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数量</w:t>
            </w:r>
          </w:p>
        </w:tc>
        <w:tc>
          <w:tcPr>
            <w:tcW w:w="2333" w:type="pct"/>
            <w:noWrap w:val="0"/>
            <w:vAlign w:val="center"/>
          </w:tcPr>
          <w:p w14:paraId="69E654F7">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简要技术需求或服务要求</w:t>
            </w:r>
          </w:p>
        </w:tc>
      </w:tr>
      <w:tr w14:paraId="64AB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1" w:type="pct"/>
            <w:noWrap w:val="0"/>
            <w:vAlign w:val="center"/>
          </w:tcPr>
          <w:p w14:paraId="3B594857">
            <w:pPr>
              <w:jc w:val="center"/>
              <w:rPr>
                <w:rFonts w:hint="eastAsia" w:ascii="Times New Roman" w:hAnsi="Times New Roman" w:eastAsia="宋体" w:cs="Times New Roman"/>
                <w:bCs/>
                <w:szCs w:val="21"/>
                <w:highlight w:val="none"/>
                <w:lang w:eastAsia="zh-CN"/>
              </w:rPr>
            </w:pPr>
            <w:r>
              <w:rPr>
                <w:rFonts w:hint="default" w:ascii="Times New Roman" w:hAnsi="Times New Roman" w:eastAsia="宋体" w:cs="Times New Roman"/>
                <w:bCs/>
                <w:szCs w:val="21"/>
                <w:highlight w:val="none"/>
              </w:rPr>
              <w:t>0</w:t>
            </w:r>
            <w:r>
              <w:rPr>
                <w:rFonts w:hint="eastAsia" w:cs="Times New Roman"/>
                <w:bCs/>
                <w:szCs w:val="21"/>
                <w:highlight w:val="none"/>
                <w:lang w:val="en-US" w:eastAsia="zh-CN"/>
              </w:rPr>
              <w:t>1</w:t>
            </w:r>
          </w:p>
        </w:tc>
        <w:tc>
          <w:tcPr>
            <w:tcW w:w="859" w:type="pct"/>
            <w:noWrap w:val="0"/>
            <w:vAlign w:val="center"/>
          </w:tcPr>
          <w:p w14:paraId="17D9BC65">
            <w:pPr>
              <w:jc w:val="center"/>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eastAsia="宋体" w:cs="Times New Roman"/>
                <w:bCs/>
                <w:szCs w:val="21"/>
                <w:highlight w:val="none"/>
              </w:rPr>
              <w:t>考试机位服务</w:t>
            </w:r>
          </w:p>
        </w:tc>
        <w:tc>
          <w:tcPr>
            <w:tcW w:w="995" w:type="pct"/>
            <w:noWrap w:val="0"/>
            <w:vAlign w:val="center"/>
          </w:tcPr>
          <w:p w14:paraId="06EB480C">
            <w:pPr>
              <w:jc w:val="center"/>
              <w:rPr>
                <w:rFonts w:hint="default" w:ascii="Times New Roman" w:hAnsi="Times New Roman" w:eastAsia="宋体" w:cs="Times New Roman"/>
                <w:bCs/>
                <w:szCs w:val="21"/>
                <w:highlight w:val="none"/>
                <w:lang w:val="en-US" w:eastAsia="zh-CN"/>
              </w:rPr>
            </w:pPr>
            <w:r>
              <w:rPr>
                <w:rFonts w:hint="eastAsia" w:ascii="Times New Roman" w:hAnsi="Times New Roman" w:eastAsia="宋体" w:cs="Times New Roman"/>
                <w:bCs/>
                <w:szCs w:val="21"/>
                <w:highlight w:val="none"/>
                <w:lang w:val="en-US" w:eastAsia="zh-CN"/>
              </w:rPr>
              <w:t>736.741460</w:t>
            </w:r>
          </w:p>
        </w:tc>
        <w:tc>
          <w:tcPr>
            <w:tcW w:w="441" w:type="pct"/>
            <w:noWrap w:val="0"/>
            <w:vAlign w:val="center"/>
          </w:tcPr>
          <w:p w14:paraId="72594540">
            <w:pPr>
              <w:jc w:val="center"/>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eastAsia="宋体" w:cs="Times New Roman"/>
                <w:bCs/>
                <w:szCs w:val="21"/>
                <w:highlight w:val="none"/>
                <w:lang w:val="en-US" w:eastAsia="zh-CN"/>
              </w:rPr>
              <w:t>一项</w:t>
            </w:r>
          </w:p>
        </w:tc>
        <w:tc>
          <w:tcPr>
            <w:tcW w:w="2333" w:type="pct"/>
            <w:noWrap w:val="0"/>
            <w:vAlign w:val="center"/>
          </w:tcPr>
          <w:p w14:paraId="6111C5DB">
            <w:pPr>
              <w:jc w:val="left"/>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Cs w:val="21"/>
                <w:highlight w:val="none"/>
                <w:lang w:val="en-US" w:eastAsia="zh-CN"/>
              </w:rPr>
              <w:t>投标人</w:t>
            </w:r>
            <w:r>
              <w:rPr>
                <w:rFonts w:hint="default" w:ascii="Times New Roman" w:hAnsi="Times New Roman" w:eastAsia="宋体" w:cs="Times New Roman"/>
                <w:kern w:val="0"/>
                <w:szCs w:val="21"/>
                <w:highlight w:val="none"/>
                <w:lang w:val="en-US" w:eastAsia="zh-CN"/>
              </w:rPr>
              <w:t>应根据本年度北京考区实际报名人数，按照招投标文件和合同规定，提供符合考试要求的考点、考场、计算机、网络等硬件设施设备；同时提供相关考务服务工作：包括考试机、网络、电力、本地监控设备设施安装检查测试，考点考场布置，开展考点人员和技术服务人员培训，考前封场和考点考场突发情况处置等内容。</w:t>
            </w:r>
          </w:p>
        </w:tc>
      </w:tr>
      <w:tr w14:paraId="4BCF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1" w:type="pct"/>
            <w:noWrap w:val="0"/>
            <w:vAlign w:val="center"/>
          </w:tcPr>
          <w:p w14:paraId="1DAAF5B6">
            <w:pPr>
              <w:jc w:val="center"/>
              <w:rPr>
                <w:rFonts w:hint="eastAsia" w:ascii="Times New Roman" w:hAnsi="Times New Roman" w:eastAsia="宋体" w:cs="Times New Roman"/>
                <w:bCs/>
                <w:szCs w:val="21"/>
                <w:highlight w:val="none"/>
                <w:lang w:eastAsia="zh-CN"/>
              </w:rPr>
            </w:pPr>
            <w:r>
              <w:rPr>
                <w:rFonts w:hint="default" w:ascii="Times New Roman" w:hAnsi="Times New Roman" w:eastAsia="宋体" w:cs="Times New Roman"/>
                <w:bCs/>
                <w:szCs w:val="21"/>
                <w:highlight w:val="none"/>
              </w:rPr>
              <w:t>0</w:t>
            </w:r>
            <w:r>
              <w:rPr>
                <w:rFonts w:hint="eastAsia" w:cs="Times New Roman"/>
                <w:bCs/>
                <w:szCs w:val="21"/>
                <w:highlight w:val="none"/>
                <w:lang w:val="en-US" w:eastAsia="zh-CN"/>
              </w:rPr>
              <w:t>2</w:t>
            </w:r>
          </w:p>
        </w:tc>
        <w:tc>
          <w:tcPr>
            <w:tcW w:w="859" w:type="pct"/>
            <w:noWrap w:val="0"/>
            <w:vAlign w:val="center"/>
          </w:tcPr>
          <w:p w14:paraId="2E2F5F7F">
            <w:pPr>
              <w:jc w:val="center"/>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eastAsia="宋体" w:cs="Times New Roman"/>
                <w:bCs/>
                <w:szCs w:val="21"/>
                <w:highlight w:val="none"/>
              </w:rPr>
              <w:t>考务安全管理及视频监控、巡考服务</w:t>
            </w:r>
          </w:p>
        </w:tc>
        <w:tc>
          <w:tcPr>
            <w:tcW w:w="995" w:type="pct"/>
            <w:noWrap w:val="0"/>
            <w:vAlign w:val="center"/>
          </w:tcPr>
          <w:p w14:paraId="018575F5">
            <w:pPr>
              <w:jc w:val="center"/>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szCs w:val="21"/>
                <w:highlight w:val="none"/>
                <w:lang w:val="en-US" w:eastAsia="zh-CN"/>
              </w:rPr>
              <w:t>241.404055</w:t>
            </w:r>
          </w:p>
        </w:tc>
        <w:tc>
          <w:tcPr>
            <w:tcW w:w="441" w:type="pct"/>
            <w:noWrap w:val="0"/>
            <w:vAlign w:val="center"/>
          </w:tcPr>
          <w:p w14:paraId="6DD345E2">
            <w:pPr>
              <w:jc w:val="center"/>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eastAsia="宋体" w:cs="Times New Roman"/>
                <w:bCs/>
                <w:szCs w:val="21"/>
                <w:highlight w:val="none"/>
                <w:lang w:val="en-US" w:eastAsia="zh-CN"/>
              </w:rPr>
              <w:t>一项</w:t>
            </w:r>
          </w:p>
        </w:tc>
        <w:tc>
          <w:tcPr>
            <w:tcW w:w="2333" w:type="pct"/>
            <w:noWrap w:val="0"/>
            <w:vAlign w:val="center"/>
          </w:tcPr>
          <w:p w14:paraId="18E1E89E">
            <w:pPr>
              <w:jc w:val="left"/>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Cs w:val="21"/>
                <w:highlight w:val="none"/>
                <w:lang w:val="en-US" w:eastAsia="zh-CN"/>
              </w:rPr>
              <w:t>投标人</w:t>
            </w:r>
            <w:r>
              <w:rPr>
                <w:rFonts w:hint="default" w:ascii="Times New Roman" w:hAnsi="Times New Roman" w:eastAsia="宋体" w:cs="Times New Roman"/>
                <w:kern w:val="0"/>
                <w:szCs w:val="21"/>
                <w:highlight w:val="none"/>
                <w:lang w:val="en-US" w:eastAsia="zh-CN"/>
              </w:rPr>
              <w:t>应根据本年度北京考区实际报名人数和考点考场数，按照招投标文件和合同规定，提供考务安全管理系统、考场实时视频监控系统的搭建、测试、运行、技术支持服务，以及购买防窥卡和租赁金属探测器等考场防作弊设备服务。</w:t>
            </w:r>
          </w:p>
        </w:tc>
      </w:tr>
    </w:tbl>
    <w:p w14:paraId="71E3F715">
      <w:pPr>
        <w:spacing w:line="360" w:lineRule="auto"/>
        <w:ind w:firstLine="480" w:firstLineChars="200"/>
        <w:rPr>
          <w:rFonts w:hint="default" w:ascii="Times New Roman" w:hAnsi="Times New Roman" w:eastAsia="宋体" w:cs="Times New Roman"/>
          <w:color w:val="auto"/>
          <w:sz w:val="24"/>
          <w:u w:val="single"/>
        </w:rPr>
      </w:pPr>
    </w:p>
    <w:p w14:paraId="6592FF5D">
      <w:pPr>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rPr>
        <w:t>5.合同履行期限：</w:t>
      </w:r>
      <w:r>
        <w:rPr>
          <w:rFonts w:hint="default" w:ascii="Times New Roman" w:hAnsi="Times New Roman" w:eastAsia="宋体" w:cs="Times New Roman"/>
          <w:color w:val="auto"/>
          <w:sz w:val="24"/>
          <w:u w:val="single"/>
        </w:rPr>
        <w:t>自合同签订之日起至2025年度国家统一法律职业资格考试结束后3个月止。</w:t>
      </w:r>
    </w:p>
    <w:p w14:paraId="0789A6D4">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6.本项目是否接受联合体投标：□是  </w:t>
      </w:r>
      <w:r>
        <w:rPr>
          <w:rFonts w:hint="default" w:ascii="Times New Roman" w:hAnsi="Times New Roman" w:eastAsia="宋体" w:cs="Times New Roman"/>
          <w:b/>
          <w:color w:val="auto"/>
          <w:sz w:val="24"/>
        </w:rPr>
        <w:t>■</w:t>
      </w:r>
      <w:r>
        <w:rPr>
          <w:rFonts w:hint="default" w:ascii="Times New Roman" w:hAnsi="Times New Roman" w:eastAsia="宋体" w:cs="Times New Roman"/>
          <w:color w:val="auto"/>
          <w:sz w:val="24"/>
        </w:rPr>
        <w:t>否。</w:t>
      </w:r>
    </w:p>
    <w:p w14:paraId="23D5C432">
      <w:pPr>
        <w:spacing w:line="360" w:lineRule="auto"/>
        <w:ind w:firstLine="480" w:firstLineChars="200"/>
        <w:rPr>
          <w:rFonts w:hint="default" w:ascii="Times New Roman" w:hAnsi="Times New Roman" w:eastAsia="宋体" w:cs="Times New Roman"/>
          <w:color w:val="auto"/>
          <w:sz w:val="24"/>
        </w:rPr>
      </w:pPr>
    </w:p>
    <w:p w14:paraId="79799910">
      <w:pPr>
        <w:pStyle w:val="3"/>
        <w:rPr>
          <w:rFonts w:hint="default" w:ascii="Times New Roman" w:hAnsi="Times New Roman" w:eastAsia="宋体" w:cs="Times New Roman"/>
          <w:color w:val="auto"/>
        </w:rPr>
      </w:pPr>
      <w:bookmarkStart w:id="5" w:name="_Toc28359080"/>
      <w:bookmarkStart w:id="6" w:name="_Toc35393622"/>
      <w:bookmarkStart w:id="7" w:name="_Toc35393791"/>
      <w:bookmarkStart w:id="8" w:name="_Toc28359003"/>
      <w:r>
        <w:rPr>
          <w:rFonts w:hint="default" w:ascii="Times New Roman" w:hAnsi="Times New Roman" w:eastAsia="宋体" w:cs="Times New Roman"/>
          <w:color w:val="auto"/>
        </w:rPr>
        <w:t>二、申请人的资格要求（须同时满足）</w:t>
      </w:r>
      <w:bookmarkEnd w:id="5"/>
      <w:bookmarkEnd w:id="6"/>
      <w:bookmarkEnd w:id="7"/>
      <w:bookmarkEnd w:id="8"/>
    </w:p>
    <w:p w14:paraId="382B7A1A">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1.满足《中华人民共和国政府采购法》第二十二条规定；</w:t>
      </w:r>
    </w:p>
    <w:p w14:paraId="23BF1D0D">
      <w:pPr>
        <w:spacing w:line="360" w:lineRule="auto"/>
        <w:ind w:firstLine="480" w:firstLineChars="200"/>
        <w:rPr>
          <w:rFonts w:hint="default" w:ascii="Times New Roman" w:hAnsi="Times New Roman" w:eastAsia="宋体" w:cs="Times New Roman"/>
          <w:color w:val="auto"/>
          <w:sz w:val="24"/>
        </w:rPr>
      </w:pPr>
      <w:bookmarkStart w:id="9" w:name="_Toc28359004"/>
      <w:bookmarkStart w:id="10" w:name="_Toc28359081"/>
      <w:r>
        <w:rPr>
          <w:rFonts w:hint="default" w:ascii="Times New Roman" w:hAnsi="Times New Roman" w:eastAsia="宋体" w:cs="Times New Roman"/>
          <w:color w:val="auto"/>
          <w:sz w:val="24"/>
        </w:rPr>
        <w:t>2.落实政府采购政策需满足的资格要求：</w:t>
      </w:r>
    </w:p>
    <w:p w14:paraId="2D22E408">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2.1 中小企业政策</w:t>
      </w:r>
    </w:p>
    <w:p w14:paraId="3DA1A47C">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□本项目不专门面向中小企业预留采购份额。</w:t>
      </w:r>
    </w:p>
    <w:p w14:paraId="142FD473">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□本项目专门面向  □中小 □小微企业  采购。即：提供的货物全部由符合政策要求的中小/小微企业制造、服务全部由符合政策要求的中小/小微企业承接。</w:t>
      </w:r>
    </w:p>
    <w:p w14:paraId="496E078C">
      <w:pPr>
        <w:spacing w:line="360" w:lineRule="auto"/>
        <w:ind w:firstLine="482" w:firstLineChars="200"/>
        <w:rPr>
          <w:rFonts w:hint="eastAsia" w:cs="Times New Roman"/>
          <w:b/>
          <w:bCs/>
          <w:color w:val="auto"/>
          <w:sz w:val="24"/>
          <w:highlight w:val="yellow"/>
          <w:lang w:val="en-US" w:eastAsia="zh-CN"/>
        </w:rPr>
      </w:pPr>
      <w:r>
        <w:rPr>
          <w:rFonts w:hint="default" w:ascii="Times New Roman" w:hAnsi="Times New Roman" w:eastAsia="宋体" w:cs="Times New Roman"/>
          <w:b/>
          <w:color w:val="auto"/>
          <w:sz w:val="24"/>
        </w:rPr>
        <w:t>■</w:t>
      </w:r>
      <w:r>
        <w:rPr>
          <w:rFonts w:hint="default" w:ascii="Times New Roman" w:hAnsi="Times New Roman" w:eastAsia="宋体" w:cs="Times New Roman"/>
          <w:color w:val="auto"/>
          <w:sz w:val="24"/>
        </w:rPr>
        <w:t>本项目预留部分采购项目预算专门面向中小企业采购。对于预留份额，提供的货物由符合政策要求的中小企业制造、服务由符合政策要求的中小企业承接。预留份额通过以下措施进行：</w:t>
      </w:r>
    </w:p>
    <w:p w14:paraId="0C2AD5F1">
      <w:pPr>
        <w:spacing w:line="360" w:lineRule="auto"/>
        <w:ind w:firstLine="482" w:firstLineChars="200"/>
        <w:rPr>
          <w:rFonts w:hint="default" w:ascii="Times New Roman" w:hAnsi="Times New Roman" w:eastAsia="宋体" w:cs="Times New Roman"/>
          <w:b/>
          <w:bCs/>
          <w:color w:val="auto"/>
          <w:sz w:val="24"/>
          <w:highlight w:val="none"/>
        </w:rPr>
      </w:pPr>
      <w:r>
        <w:rPr>
          <w:rFonts w:hint="eastAsia" w:cs="Times New Roman"/>
          <w:b/>
          <w:bCs/>
          <w:color w:val="auto"/>
          <w:sz w:val="24"/>
          <w:highlight w:val="none"/>
          <w:lang w:val="en-US" w:eastAsia="zh-CN"/>
        </w:rPr>
        <w:t>01包：本分包专门面向中小企业</w:t>
      </w:r>
      <w:r>
        <w:rPr>
          <w:rFonts w:hint="default" w:ascii="Times New Roman" w:hAnsi="Times New Roman" w:eastAsia="宋体" w:cs="Times New Roman"/>
          <w:b/>
          <w:bCs/>
          <w:color w:val="auto"/>
          <w:sz w:val="24"/>
          <w:highlight w:val="none"/>
        </w:rPr>
        <w:t>，其中预留给小微企业的比例不低于采购项目</w:t>
      </w:r>
      <w:r>
        <w:rPr>
          <w:rFonts w:hint="eastAsia" w:cs="Times New Roman"/>
          <w:b/>
          <w:bCs/>
          <w:color w:val="auto"/>
          <w:sz w:val="24"/>
          <w:highlight w:val="none"/>
          <w:lang w:val="en-US" w:eastAsia="zh-CN"/>
        </w:rPr>
        <w:t>分包</w:t>
      </w:r>
      <w:r>
        <w:rPr>
          <w:rFonts w:hint="default" w:ascii="Times New Roman" w:hAnsi="Times New Roman" w:eastAsia="宋体" w:cs="Times New Roman"/>
          <w:b/>
          <w:bCs/>
          <w:color w:val="auto"/>
          <w:sz w:val="24"/>
          <w:highlight w:val="none"/>
        </w:rPr>
        <w:t>预算总额的</w:t>
      </w:r>
      <w:r>
        <w:rPr>
          <w:rFonts w:hint="eastAsia" w:cs="Times New Roman"/>
          <w:b/>
          <w:bCs/>
          <w:color w:val="auto"/>
          <w:sz w:val="24"/>
          <w:highlight w:val="none"/>
          <w:lang w:val="en-US" w:eastAsia="zh-CN"/>
        </w:rPr>
        <w:t>26.14</w:t>
      </w:r>
      <w:r>
        <w:rPr>
          <w:rFonts w:hint="default" w:ascii="Times New Roman" w:hAnsi="Times New Roman" w:eastAsia="宋体" w:cs="Times New Roman"/>
          <w:b/>
          <w:bCs/>
          <w:color w:val="auto"/>
          <w:sz w:val="24"/>
          <w:highlight w:val="none"/>
        </w:rPr>
        <w:t>%。对于预留份额，提供的货物由符合政策要求的中小企业制造、服务由符合政策要求的中小企业承接。预留份额通过以下措施进行：要求获得采购合同的供应商将采购项目中的上述比例分包给一家或者多家</w:t>
      </w:r>
      <w:r>
        <w:rPr>
          <w:rFonts w:hint="eastAsia" w:cs="Times New Roman"/>
          <w:b/>
          <w:bCs/>
          <w:color w:val="auto"/>
          <w:sz w:val="24"/>
          <w:highlight w:val="none"/>
          <w:lang w:val="en-US" w:eastAsia="zh-CN"/>
        </w:rPr>
        <w:t>小微</w:t>
      </w:r>
      <w:r>
        <w:rPr>
          <w:rFonts w:hint="default" w:ascii="Times New Roman" w:hAnsi="Times New Roman" w:eastAsia="宋体" w:cs="Times New Roman"/>
          <w:b/>
          <w:bCs/>
          <w:color w:val="auto"/>
          <w:sz w:val="24"/>
          <w:highlight w:val="none"/>
        </w:rPr>
        <w:t>企业（与大企业的负责人为同一人，或者与大企业存在直接控股、管理关系的除外）。仅当单个供应商可以满足上述预留份额要求时，允许不进行合同分包。</w:t>
      </w:r>
    </w:p>
    <w:p w14:paraId="6AF0E5C4">
      <w:pPr>
        <w:spacing w:line="360" w:lineRule="auto"/>
        <w:ind w:firstLine="482" w:firstLineChars="200"/>
        <w:rPr>
          <w:rFonts w:hint="default" w:eastAsia="宋体"/>
          <w:highlight w:val="none"/>
          <w:lang w:val="en-US" w:eastAsia="zh-CN"/>
        </w:rPr>
      </w:pPr>
      <w:r>
        <w:rPr>
          <w:rFonts w:hint="eastAsia" w:cs="Times New Roman"/>
          <w:b/>
          <w:bCs/>
          <w:color w:val="auto"/>
          <w:sz w:val="24"/>
          <w:highlight w:val="none"/>
          <w:lang w:val="en-US" w:eastAsia="zh-CN"/>
        </w:rPr>
        <w:t>02包：本分包专门面向小微企业。</w:t>
      </w:r>
    </w:p>
    <w:p w14:paraId="7A837446">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2.2 其它落实政府采购政策的资格要求（如有）：</w:t>
      </w:r>
      <w:r>
        <w:rPr>
          <w:rFonts w:hint="default" w:ascii="Times New Roman" w:hAnsi="Times New Roman" w:eastAsia="宋体" w:cs="Times New Roman"/>
          <w:color w:val="auto"/>
          <w:sz w:val="24"/>
          <w:u w:val="single"/>
        </w:rPr>
        <w:t>无</w:t>
      </w:r>
      <w:r>
        <w:rPr>
          <w:rFonts w:hint="default" w:ascii="Times New Roman" w:hAnsi="Times New Roman" w:eastAsia="宋体" w:cs="Times New Roman"/>
          <w:color w:val="auto"/>
          <w:sz w:val="24"/>
        </w:rPr>
        <w:t>。</w:t>
      </w:r>
    </w:p>
    <w:p w14:paraId="20C5745D">
      <w:pPr>
        <w:spacing w:line="360" w:lineRule="auto"/>
        <w:ind w:firstLine="480" w:firstLineChars="200"/>
        <w:rPr>
          <w:rFonts w:hint="default" w:ascii="Times New Roman" w:hAnsi="Times New Roman" w:eastAsia="宋体" w:cs="Times New Roman"/>
          <w:i/>
          <w:iCs/>
          <w:color w:val="auto"/>
          <w:sz w:val="24"/>
          <w:u w:val="single"/>
        </w:rPr>
      </w:pPr>
      <w:r>
        <w:rPr>
          <w:rFonts w:hint="default" w:ascii="Times New Roman" w:hAnsi="Times New Roman" w:eastAsia="宋体" w:cs="Times New Roman"/>
          <w:color w:val="auto"/>
          <w:sz w:val="24"/>
        </w:rPr>
        <w:t>3.本项目的特定资格要求：</w:t>
      </w:r>
    </w:p>
    <w:p w14:paraId="1162C6BF">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3.1本项目是否属于政府购买服务：</w:t>
      </w:r>
    </w:p>
    <w:p w14:paraId="6BA2E1F6">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□否</w:t>
      </w:r>
    </w:p>
    <w:p w14:paraId="756B4967">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w:t>
      </w:r>
      <w:r>
        <w:rPr>
          <w:rFonts w:hint="default" w:ascii="Times New Roman" w:hAnsi="Times New Roman" w:eastAsia="宋体" w:cs="Times New Roman"/>
          <w:color w:val="auto"/>
          <w:sz w:val="24"/>
        </w:rPr>
        <w:t>是，公益一类事业单位、使用事业编制且由财政拨款保障的群团组织，不得作为承接主体；</w:t>
      </w:r>
    </w:p>
    <w:p w14:paraId="7DB4BFF5">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3.2其他特定资格要求：</w:t>
      </w:r>
      <w:r>
        <w:rPr>
          <w:rFonts w:hint="default" w:ascii="Times New Roman" w:hAnsi="Times New Roman" w:eastAsia="宋体" w:cs="Times New Roman"/>
          <w:color w:val="auto"/>
          <w:sz w:val="24"/>
          <w:u w:val="single"/>
        </w:rPr>
        <w:t>无</w:t>
      </w:r>
      <w:r>
        <w:rPr>
          <w:rFonts w:hint="default" w:ascii="Times New Roman" w:hAnsi="Times New Roman" w:eastAsia="宋体" w:cs="Times New Roman"/>
          <w:color w:val="auto"/>
          <w:sz w:val="24"/>
        </w:rPr>
        <w:t>。</w:t>
      </w:r>
    </w:p>
    <w:p w14:paraId="5000A959">
      <w:pPr>
        <w:spacing w:line="360" w:lineRule="auto"/>
        <w:ind w:firstLine="480" w:firstLineChars="200"/>
        <w:rPr>
          <w:rFonts w:hint="default" w:ascii="Times New Roman" w:hAnsi="Times New Roman" w:eastAsia="宋体" w:cs="Times New Roman"/>
          <w:i/>
          <w:iCs/>
          <w:color w:val="auto"/>
          <w:sz w:val="24"/>
          <w:u w:val="single"/>
        </w:rPr>
      </w:pPr>
    </w:p>
    <w:bookmarkEnd w:id="9"/>
    <w:bookmarkEnd w:id="10"/>
    <w:p w14:paraId="627E5076">
      <w:pPr>
        <w:pStyle w:val="3"/>
        <w:rPr>
          <w:rFonts w:hint="default" w:ascii="Times New Roman" w:hAnsi="Times New Roman" w:eastAsia="宋体" w:cs="Times New Roman"/>
          <w:color w:val="auto"/>
        </w:rPr>
      </w:pPr>
      <w:bookmarkStart w:id="11" w:name="_Toc35393623"/>
      <w:bookmarkStart w:id="12" w:name="_Toc35393792"/>
      <w:r>
        <w:rPr>
          <w:rFonts w:hint="default" w:ascii="Times New Roman" w:hAnsi="Times New Roman" w:eastAsia="宋体" w:cs="Times New Roman"/>
          <w:color w:val="auto"/>
        </w:rPr>
        <w:t>三、获取招标文件</w:t>
      </w:r>
      <w:bookmarkEnd w:id="11"/>
      <w:bookmarkEnd w:id="12"/>
    </w:p>
    <w:p w14:paraId="48A3D4D2">
      <w:pPr>
        <w:adjustRightInd w:val="0"/>
        <w:snapToGrid w:val="0"/>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1.时间：</w:t>
      </w:r>
      <w:r>
        <w:rPr>
          <w:rFonts w:hint="default" w:ascii="Times New Roman" w:hAnsi="Times New Roman" w:eastAsia="宋体" w:cs="Times New Roman"/>
          <w:color w:val="auto"/>
          <w:sz w:val="24"/>
          <w:u w:val="single"/>
          <w:lang w:bidi="ar"/>
        </w:rPr>
        <w:t>202</w:t>
      </w:r>
      <w:r>
        <w:rPr>
          <w:rFonts w:hint="default" w:ascii="Times New Roman" w:hAnsi="Times New Roman" w:eastAsia="宋体" w:cs="Times New Roman"/>
          <w:color w:val="auto"/>
          <w:sz w:val="24"/>
          <w:u w:val="single"/>
          <w:lang w:val="en-US" w:eastAsia="zh-CN" w:bidi="ar"/>
        </w:rPr>
        <w:t>5</w:t>
      </w:r>
      <w:r>
        <w:rPr>
          <w:rFonts w:hint="default" w:ascii="Times New Roman" w:hAnsi="Times New Roman" w:eastAsia="宋体" w:cs="Times New Roman"/>
          <w:color w:val="auto"/>
          <w:sz w:val="24"/>
          <w:lang w:bidi="ar"/>
        </w:rPr>
        <w:t>年</w:t>
      </w:r>
      <w:r>
        <w:rPr>
          <w:rFonts w:hint="default" w:ascii="Times New Roman" w:hAnsi="Times New Roman" w:eastAsia="宋体" w:cs="Times New Roman"/>
          <w:color w:val="auto"/>
          <w:sz w:val="24"/>
          <w:u w:val="single"/>
          <w:lang w:val="en-US" w:eastAsia="zh-CN" w:bidi="ar"/>
        </w:rPr>
        <w:t>0</w:t>
      </w:r>
      <w:r>
        <w:rPr>
          <w:rFonts w:hint="eastAsia" w:cs="Times New Roman"/>
          <w:color w:val="auto"/>
          <w:sz w:val="24"/>
          <w:u w:val="single"/>
          <w:lang w:val="en-US" w:eastAsia="zh-CN" w:bidi="ar"/>
        </w:rPr>
        <w:t>5</w:t>
      </w:r>
      <w:r>
        <w:rPr>
          <w:rFonts w:hint="default" w:ascii="Times New Roman" w:hAnsi="Times New Roman" w:eastAsia="宋体" w:cs="Times New Roman"/>
          <w:color w:val="auto"/>
          <w:sz w:val="24"/>
          <w:lang w:bidi="ar"/>
        </w:rPr>
        <w:t>月</w:t>
      </w:r>
      <w:r>
        <w:rPr>
          <w:rFonts w:hint="eastAsia" w:cs="Times New Roman"/>
          <w:color w:val="auto"/>
          <w:sz w:val="24"/>
          <w:u w:val="single"/>
          <w:lang w:val="en-US" w:eastAsia="zh-CN" w:bidi="ar"/>
        </w:rPr>
        <w:t>21</w:t>
      </w:r>
      <w:r>
        <w:rPr>
          <w:rFonts w:hint="default" w:ascii="Times New Roman" w:hAnsi="Times New Roman" w:eastAsia="宋体" w:cs="Times New Roman"/>
          <w:color w:val="auto"/>
          <w:sz w:val="24"/>
          <w:lang w:bidi="ar"/>
        </w:rPr>
        <w:t>日至</w:t>
      </w:r>
      <w:r>
        <w:rPr>
          <w:rFonts w:hint="default" w:ascii="Times New Roman" w:hAnsi="Times New Roman" w:eastAsia="宋体" w:cs="Times New Roman"/>
          <w:color w:val="auto"/>
          <w:sz w:val="24"/>
          <w:u w:val="single"/>
          <w:lang w:bidi="ar"/>
        </w:rPr>
        <w:t>202</w:t>
      </w:r>
      <w:r>
        <w:rPr>
          <w:rFonts w:hint="default" w:ascii="Times New Roman" w:hAnsi="Times New Roman" w:eastAsia="宋体" w:cs="Times New Roman"/>
          <w:color w:val="auto"/>
          <w:sz w:val="24"/>
          <w:u w:val="single"/>
          <w:lang w:val="en-US" w:eastAsia="zh-CN" w:bidi="ar"/>
        </w:rPr>
        <w:t>5</w:t>
      </w:r>
      <w:r>
        <w:rPr>
          <w:rFonts w:hint="default" w:ascii="Times New Roman" w:hAnsi="Times New Roman" w:eastAsia="宋体" w:cs="Times New Roman"/>
          <w:color w:val="auto"/>
          <w:sz w:val="24"/>
          <w:lang w:bidi="ar"/>
        </w:rPr>
        <w:t>年</w:t>
      </w:r>
      <w:r>
        <w:rPr>
          <w:rFonts w:hint="default" w:ascii="Times New Roman" w:hAnsi="Times New Roman" w:eastAsia="宋体" w:cs="Times New Roman"/>
          <w:color w:val="auto"/>
          <w:sz w:val="24"/>
          <w:u w:val="single"/>
          <w:lang w:val="en-US" w:eastAsia="zh-CN" w:bidi="ar"/>
        </w:rPr>
        <w:t>0</w:t>
      </w:r>
      <w:r>
        <w:rPr>
          <w:rFonts w:hint="eastAsia" w:cs="Times New Roman"/>
          <w:color w:val="auto"/>
          <w:sz w:val="24"/>
          <w:u w:val="single"/>
          <w:lang w:val="en-US" w:eastAsia="zh-CN" w:bidi="ar"/>
        </w:rPr>
        <w:t>5</w:t>
      </w:r>
      <w:r>
        <w:rPr>
          <w:rFonts w:hint="default" w:ascii="Times New Roman" w:hAnsi="Times New Roman" w:eastAsia="宋体" w:cs="Times New Roman"/>
          <w:color w:val="auto"/>
          <w:sz w:val="24"/>
          <w:lang w:bidi="ar"/>
        </w:rPr>
        <w:t>月</w:t>
      </w:r>
      <w:r>
        <w:rPr>
          <w:rFonts w:hint="eastAsia" w:cs="Times New Roman"/>
          <w:color w:val="auto"/>
          <w:sz w:val="24"/>
          <w:u w:val="single"/>
          <w:lang w:val="en-US" w:eastAsia="zh-CN" w:bidi="ar"/>
        </w:rPr>
        <w:t>28</w:t>
      </w:r>
      <w:r>
        <w:rPr>
          <w:rFonts w:hint="default" w:ascii="Times New Roman" w:hAnsi="Times New Roman" w:eastAsia="宋体" w:cs="Times New Roman"/>
          <w:color w:val="auto"/>
          <w:sz w:val="24"/>
          <w:lang w:bidi="ar"/>
        </w:rPr>
        <w:t>日，每天上午</w:t>
      </w:r>
      <w:r>
        <w:rPr>
          <w:rFonts w:hint="default" w:ascii="Times New Roman" w:hAnsi="Times New Roman" w:eastAsia="宋体" w:cs="Times New Roman"/>
          <w:color w:val="auto"/>
          <w:sz w:val="24"/>
          <w:u w:val="single"/>
          <w:lang w:bidi="ar"/>
        </w:rPr>
        <w:t>09:00</w:t>
      </w:r>
      <w:r>
        <w:rPr>
          <w:rFonts w:hint="default" w:ascii="Times New Roman" w:hAnsi="Times New Roman" w:eastAsia="宋体" w:cs="Times New Roman"/>
          <w:color w:val="auto"/>
          <w:sz w:val="24"/>
          <w:lang w:bidi="ar"/>
        </w:rPr>
        <w:t>至</w:t>
      </w:r>
      <w:r>
        <w:rPr>
          <w:rFonts w:hint="default" w:ascii="Times New Roman" w:hAnsi="Times New Roman" w:eastAsia="宋体" w:cs="Times New Roman"/>
          <w:color w:val="auto"/>
          <w:sz w:val="24"/>
          <w:u w:val="single"/>
          <w:lang w:bidi="ar"/>
        </w:rPr>
        <w:t>12:00</w:t>
      </w:r>
      <w:r>
        <w:rPr>
          <w:rFonts w:hint="default" w:ascii="Times New Roman" w:hAnsi="Times New Roman" w:eastAsia="宋体" w:cs="Times New Roman"/>
          <w:color w:val="auto"/>
          <w:sz w:val="24"/>
          <w:lang w:bidi="ar"/>
        </w:rPr>
        <w:t>，下午</w:t>
      </w:r>
      <w:r>
        <w:rPr>
          <w:rFonts w:hint="default" w:ascii="Times New Roman" w:hAnsi="Times New Roman" w:eastAsia="宋体" w:cs="Times New Roman"/>
          <w:color w:val="auto"/>
          <w:sz w:val="24"/>
          <w:u w:val="single"/>
          <w:lang w:bidi="ar"/>
        </w:rPr>
        <w:t>12:00</w:t>
      </w:r>
      <w:r>
        <w:rPr>
          <w:rFonts w:hint="default" w:ascii="Times New Roman" w:hAnsi="Times New Roman" w:eastAsia="宋体" w:cs="Times New Roman"/>
          <w:color w:val="auto"/>
          <w:sz w:val="24"/>
          <w:lang w:bidi="ar"/>
        </w:rPr>
        <w:t>至</w:t>
      </w:r>
      <w:r>
        <w:rPr>
          <w:rFonts w:hint="default" w:ascii="Times New Roman" w:hAnsi="Times New Roman" w:eastAsia="宋体" w:cs="Times New Roman"/>
          <w:color w:val="auto"/>
          <w:sz w:val="24"/>
          <w:u w:val="single"/>
          <w:lang w:bidi="ar"/>
        </w:rPr>
        <w:t>17:00</w:t>
      </w:r>
      <w:r>
        <w:rPr>
          <w:rFonts w:hint="default" w:ascii="Times New Roman" w:hAnsi="Times New Roman" w:eastAsia="宋体" w:cs="Times New Roman"/>
          <w:color w:val="auto"/>
          <w:sz w:val="24"/>
          <w:lang w:bidi="ar"/>
        </w:rPr>
        <w:t>（北京时间，法定节假日除外）。</w:t>
      </w:r>
    </w:p>
    <w:p w14:paraId="0985061B">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2.地点：北京市政府采购电子交易平台</w:t>
      </w:r>
    </w:p>
    <w:p w14:paraId="79CDB6D9">
      <w:pPr>
        <w:widowControl/>
        <w:adjustRightInd w:val="0"/>
        <w:snapToGrid w:val="0"/>
        <w:spacing w:line="360" w:lineRule="auto"/>
        <w:ind w:firstLine="480" w:firstLineChars="200"/>
        <w:jc w:val="left"/>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3.方式：供应商使用CA数字证书或电子营业执照登录北京市政府采购电子交易平台（http://zbcg-bjzc.zhongcy.com/bjczj-portal-site/index.html#/home）获取电子版招标文件。</w:t>
      </w:r>
    </w:p>
    <w:p w14:paraId="571F9247">
      <w:pPr>
        <w:widowControl/>
        <w:adjustRightInd w:val="0"/>
        <w:snapToGrid w:val="0"/>
        <w:spacing w:line="360" w:lineRule="auto"/>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4.售价：0元。</w:t>
      </w:r>
    </w:p>
    <w:p w14:paraId="34AC6889">
      <w:pPr>
        <w:tabs>
          <w:tab w:val="left" w:pos="900"/>
          <w:tab w:val="left" w:pos="1980"/>
        </w:tabs>
        <w:snapToGrid w:val="0"/>
        <w:spacing w:line="360" w:lineRule="auto"/>
        <w:ind w:left="840"/>
        <w:rPr>
          <w:rFonts w:hint="default" w:ascii="Times New Roman" w:hAnsi="Times New Roman" w:eastAsia="宋体" w:cs="Times New Roman"/>
          <w:color w:val="auto"/>
          <w:sz w:val="24"/>
        </w:rPr>
      </w:pPr>
    </w:p>
    <w:p w14:paraId="641C7051">
      <w:pPr>
        <w:pStyle w:val="3"/>
        <w:rPr>
          <w:rFonts w:hint="default" w:ascii="Times New Roman" w:hAnsi="Times New Roman" w:eastAsia="宋体" w:cs="Times New Roman"/>
          <w:color w:val="auto"/>
        </w:rPr>
      </w:pPr>
      <w:bookmarkStart w:id="13" w:name="_Toc28359082"/>
      <w:bookmarkStart w:id="14" w:name="_Toc28359005"/>
      <w:bookmarkStart w:id="15" w:name="_Toc35393624"/>
      <w:bookmarkStart w:id="16" w:name="_Toc35393793"/>
      <w:r>
        <w:rPr>
          <w:rFonts w:hint="default" w:ascii="Times New Roman" w:hAnsi="Times New Roman" w:eastAsia="宋体" w:cs="Times New Roman"/>
          <w:color w:val="auto"/>
        </w:rPr>
        <w:t>四、提交投标文件</w:t>
      </w:r>
      <w:bookmarkEnd w:id="13"/>
      <w:bookmarkEnd w:id="14"/>
      <w:r>
        <w:rPr>
          <w:rFonts w:hint="default" w:ascii="Times New Roman" w:hAnsi="Times New Roman" w:eastAsia="宋体" w:cs="Times New Roman"/>
          <w:color w:val="auto"/>
        </w:rPr>
        <w:t>截止时间、开标时间和地点</w:t>
      </w:r>
      <w:bookmarkEnd w:id="15"/>
      <w:bookmarkEnd w:id="16"/>
    </w:p>
    <w:p w14:paraId="25E0FF66">
      <w:pPr>
        <w:spacing w:line="360" w:lineRule="auto"/>
        <w:ind w:firstLine="480" w:firstLineChars="200"/>
        <w:rPr>
          <w:rFonts w:hint="default" w:ascii="Times New Roman" w:hAnsi="Times New Roman" w:eastAsia="宋体" w:cs="Times New Roman"/>
          <w:bCs/>
          <w:color w:val="auto"/>
          <w:sz w:val="24"/>
          <w:u w:val="single"/>
        </w:rPr>
      </w:pPr>
      <w:r>
        <w:rPr>
          <w:rFonts w:hint="default" w:ascii="Times New Roman" w:hAnsi="Times New Roman" w:eastAsia="宋体" w:cs="Times New Roman"/>
          <w:color w:val="auto"/>
          <w:sz w:val="24"/>
          <w:lang w:bidi="ar"/>
        </w:rPr>
        <w:t>投标截止时间、开标时间：</w:t>
      </w:r>
      <w:r>
        <w:rPr>
          <w:rFonts w:hint="default" w:ascii="Times New Roman" w:hAnsi="Times New Roman" w:eastAsia="宋体" w:cs="Times New Roman"/>
          <w:color w:val="auto"/>
          <w:sz w:val="24"/>
          <w:u w:val="single"/>
          <w:lang w:bidi="ar"/>
        </w:rPr>
        <w:t>202</w:t>
      </w:r>
      <w:r>
        <w:rPr>
          <w:rFonts w:hint="default" w:ascii="Times New Roman" w:hAnsi="Times New Roman" w:eastAsia="宋体" w:cs="Times New Roman"/>
          <w:color w:val="auto"/>
          <w:sz w:val="24"/>
          <w:u w:val="single"/>
          <w:lang w:val="en-US" w:eastAsia="zh-CN" w:bidi="ar"/>
        </w:rPr>
        <w:t>5</w:t>
      </w:r>
      <w:r>
        <w:rPr>
          <w:rFonts w:hint="default" w:ascii="Times New Roman" w:hAnsi="Times New Roman" w:eastAsia="宋体" w:cs="Times New Roman"/>
          <w:color w:val="auto"/>
          <w:sz w:val="24"/>
          <w:lang w:bidi="ar"/>
        </w:rPr>
        <w:t>年</w:t>
      </w:r>
      <w:r>
        <w:rPr>
          <w:rFonts w:hint="default" w:ascii="Times New Roman" w:hAnsi="Times New Roman" w:eastAsia="宋体" w:cs="Times New Roman"/>
          <w:color w:val="auto"/>
          <w:sz w:val="24"/>
          <w:u w:val="single"/>
          <w:lang w:bidi="ar"/>
        </w:rPr>
        <w:t>0</w:t>
      </w:r>
      <w:r>
        <w:rPr>
          <w:rFonts w:hint="eastAsia" w:cs="Times New Roman"/>
          <w:color w:val="auto"/>
          <w:sz w:val="24"/>
          <w:u w:val="single"/>
          <w:lang w:val="en-US" w:eastAsia="zh-CN" w:bidi="ar"/>
        </w:rPr>
        <w:t>6</w:t>
      </w:r>
      <w:r>
        <w:rPr>
          <w:rFonts w:hint="default" w:ascii="Times New Roman" w:hAnsi="Times New Roman" w:eastAsia="宋体" w:cs="Times New Roman"/>
          <w:color w:val="auto"/>
          <w:sz w:val="24"/>
          <w:lang w:bidi="ar"/>
        </w:rPr>
        <w:t>月</w:t>
      </w:r>
      <w:r>
        <w:rPr>
          <w:rFonts w:hint="eastAsia" w:cs="Times New Roman"/>
          <w:color w:val="auto"/>
          <w:sz w:val="24"/>
          <w:u w:val="single"/>
          <w:lang w:val="en-US" w:eastAsia="zh-CN" w:bidi="ar"/>
        </w:rPr>
        <w:t>12</w:t>
      </w:r>
      <w:r>
        <w:rPr>
          <w:rFonts w:hint="default" w:ascii="Times New Roman" w:hAnsi="Times New Roman" w:eastAsia="宋体" w:cs="Times New Roman"/>
          <w:color w:val="auto"/>
          <w:sz w:val="24"/>
          <w:lang w:bidi="ar"/>
        </w:rPr>
        <w:t>日</w:t>
      </w:r>
      <w:r>
        <w:rPr>
          <w:rFonts w:hint="default" w:ascii="Times New Roman" w:hAnsi="Times New Roman" w:eastAsia="宋体" w:cs="Times New Roman"/>
          <w:color w:val="auto"/>
          <w:sz w:val="24"/>
          <w:u w:val="single"/>
          <w:lang w:bidi="ar"/>
        </w:rPr>
        <w:t>10</w:t>
      </w:r>
      <w:r>
        <w:rPr>
          <w:rFonts w:hint="default" w:ascii="Times New Roman" w:hAnsi="Times New Roman" w:eastAsia="宋体" w:cs="Times New Roman"/>
          <w:color w:val="auto"/>
          <w:sz w:val="24"/>
          <w:lang w:bidi="ar"/>
        </w:rPr>
        <w:t>点</w:t>
      </w:r>
      <w:r>
        <w:rPr>
          <w:rFonts w:hint="default" w:ascii="Times New Roman" w:hAnsi="Times New Roman" w:eastAsia="宋体" w:cs="Times New Roman"/>
          <w:color w:val="auto"/>
          <w:sz w:val="24"/>
          <w:u w:val="single"/>
          <w:lang w:bidi="ar"/>
        </w:rPr>
        <w:t>00</w:t>
      </w:r>
      <w:r>
        <w:rPr>
          <w:rFonts w:hint="default" w:ascii="Times New Roman" w:hAnsi="Times New Roman" w:eastAsia="宋体" w:cs="Times New Roman"/>
          <w:color w:val="auto"/>
          <w:sz w:val="24"/>
          <w:lang w:bidi="ar"/>
        </w:rPr>
        <w:t>分</w:t>
      </w:r>
      <w:r>
        <w:rPr>
          <w:rFonts w:hint="default" w:ascii="Times New Roman" w:hAnsi="Times New Roman" w:eastAsia="宋体" w:cs="Times New Roman"/>
          <w:bCs/>
          <w:color w:val="auto"/>
          <w:sz w:val="24"/>
          <w:lang w:bidi="ar"/>
        </w:rPr>
        <w:t>（北京时间）</w:t>
      </w:r>
      <w:r>
        <w:rPr>
          <w:rFonts w:hint="default" w:ascii="Times New Roman" w:hAnsi="Times New Roman" w:eastAsia="宋体" w:cs="Times New Roman"/>
          <w:iCs/>
          <w:color w:val="auto"/>
          <w:sz w:val="24"/>
          <w:lang w:bidi="ar"/>
        </w:rPr>
        <w:t>。</w:t>
      </w:r>
    </w:p>
    <w:p w14:paraId="2093E91D">
      <w:pPr>
        <w:spacing w:line="360" w:lineRule="auto"/>
        <w:ind w:firstLine="480" w:firstLineChars="200"/>
        <w:rPr>
          <w:rFonts w:hint="default" w:ascii="Times New Roman" w:hAnsi="Times New Roman" w:eastAsia="宋体" w:cs="Times New Roman"/>
          <w:color w:val="auto"/>
          <w:sz w:val="24"/>
          <w:lang w:val="zh-TW" w:bidi="ar"/>
        </w:rPr>
      </w:pPr>
      <w:r>
        <w:rPr>
          <w:rFonts w:hint="default" w:ascii="Times New Roman" w:hAnsi="Times New Roman" w:eastAsia="宋体" w:cs="Times New Roman"/>
          <w:color w:val="auto"/>
          <w:sz w:val="24"/>
          <w:lang w:bidi="ar"/>
        </w:rPr>
        <w:t>地点：北京市东城区朝内大街南竹杆胡同6号北京INN 3号楼9层会议室（地铁2号线、6号线，朝阳门站H口出，向南200米）</w:t>
      </w:r>
      <w:r>
        <w:rPr>
          <w:rFonts w:hint="default" w:ascii="Times New Roman" w:hAnsi="Times New Roman" w:eastAsia="宋体" w:cs="Times New Roman"/>
          <w:color w:val="auto"/>
          <w:sz w:val="24"/>
          <w:lang w:val="zh-TW" w:bidi="ar"/>
        </w:rPr>
        <w:t>。</w:t>
      </w:r>
    </w:p>
    <w:p w14:paraId="0BD310B2">
      <w:pPr>
        <w:spacing w:line="360" w:lineRule="auto"/>
        <w:ind w:firstLine="480" w:firstLineChars="200"/>
        <w:rPr>
          <w:rFonts w:hint="default" w:ascii="Times New Roman" w:hAnsi="Times New Roman" w:eastAsia="宋体" w:cs="Times New Roman"/>
          <w:bCs/>
          <w:color w:val="auto"/>
          <w:sz w:val="24"/>
          <w:u w:val="single"/>
        </w:rPr>
      </w:pPr>
    </w:p>
    <w:p w14:paraId="52B479DD">
      <w:pPr>
        <w:pStyle w:val="3"/>
        <w:rPr>
          <w:rFonts w:hint="default" w:ascii="Times New Roman" w:hAnsi="Times New Roman" w:eastAsia="宋体" w:cs="Times New Roman"/>
          <w:color w:val="auto"/>
        </w:rPr>
      </w:pPr>
      <w:bookmarkStart w:id="17" w:name="_Toc28359007"/>
      <w:bookmarkStart w:id="18" w:name="_Toc35393794"/>
      <w:bookmarkStart w:id="19" w:name="_Toc35393625"/>
      <w:bookmarkStart w:id="20" w:name="_Toc28359084"/>
      <w:r>
        <w:rPr>
          <w:rFonts w:hint="default" w:ascii="Times New Roman" w:hAnsi="Times New Roman" w:eastAsia="宋体" w:cs="Times New Roman"/>
          <w:color w:val="auto"/>
        </w:rPr>
        <w:t>五、公告期限</w:t>
      </w:r>
      <w:bookmarkEnd w:id="17"/>
      <w:bookmarkEnd w:id="18"/>
      <w:bookmarkEnd w:id="19"/>
      <w:bookmarkEnd w:id="20"/>
    </w:p>
    <w:p w14:paraId="66639965">
      <w:pPr>
        <w:spacing w:line="360" w:lineRule="auto"/>
        <w:ind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自本公告发布之日起5个工作日。</w:t>
      </w:r>
    </w:p>
    <w:p w14:paraId="43DEEE56">
      <w:pPr>
        <w:spacing w:line="360" w:lineRule="auto"/>
        <w:ind w:firstLine="480" w:firstLineChars="200"/>
        <w:rPr>
          <w:rFonts w:hint="default" w:ascii="Times New Roman" w:hAnsi="Times New Roman" w:eastAsia="宋体" w:cs="Times New Roman"/>
          <w:color w:val="auto"/>
          <w:kern w:val="0"/>
          <w:sz w:val="24"/>
        </w:rPr>
      </w:pPr>
    </w:p>
    <w:p w14:paraId="1D96011B">
      <w:pPr>
        <w:pStyle w:val="3"/>
        <w:rPr>
          <w:rFonts w:hint="default" w:ascii="Times New Roman" w:hAnsi="Times New Roman" w:eastAsia="宋体" w:cs="Times New Roman"/>
          <w:color w:val="auto"/>
        </w:rPr>
      </w:pPr>
      <w:bookmarkStart w:id="21" w:name="_Toc35393795"/>
      <w:bookmarkStart w:id="22" w:name="_Toc35393626"/>
      <w:r>
        <w:rPr>
          <w:rFonts w:hint="default" w:ascii="Times New Roman" w:hAnsi="Times New Roman" w:eastAsia="宋体" w:cs="Times New Roman"/>
          <w:color w:val="auto"/>
        </w:rPr>
        <w:t>六、其他补充事宜</w:t>
      </w:r>
      <w:bookmarkEnd w:id="21"/>
      <w:bookmarkEnd w:id="22"/>
    </w:p>
    <w:p w14:paraId="3E137F63">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rPr>
        <w:t>1.本项目需要落实的政府采购政策：</w:t>
      </w:r>
    </w:p>
    <w:p w14:paraId="771C0C74">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（1）节能产品强制采购</w:t>
      </w:r>
    </w:p>
    <w:p w14:paraId="416ACC34">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（2）节能产品、环境标志产品优先采购</w:t>
      </w:r>
    </w:p>
    <w:p w14:paraId="43162396">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（3）政府采购促进中小企业发展</w:t>
      </w:r>
    </w:p>
    <w:p w14:paraId="6E8F257F">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（4）政府采购支持监狱企业发展</w:t>
      </w:r>
    </w:p>
    <w:p w14:paraId="500204BF">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（5）政府采购促进残疾人就业</w:t>
      </w:r>
    </w:p>
    <w:p w14:paraId="23FFED85">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（6）进口产品管理</w:t>
      </w:r>
      <w:r>
        <w:rPr>
          <w:rFonts w:hint="default" w:ascii="Times New Roman" w:hAnsi="Times New Roman" w:eastAsia="宋体" w:cs="Times New Roman"/>
          <w:color w:val="auto"/>
          <w:sz w:val="24"/>
        </w:rPr>
        <w:t xml:space="preserve"> </w:t>
      </w:r>
    </w:p>
    <w:p w14:paraId="66B6C3E4">
      <w:pPr>
        <w:widowControl/>
        <w:adjustRightInd w:val="0"/>
        <w:snapToGrid w:val="0"/>
        <w:spacing w:line="360" w:lineRule="auto"/>
        <w:ind w:firstLine="480" w:firstLineChars="200"/>
        <w:jc w:val="left"/>
        <w:rPr>
          <w:rFonts w:hint="default" w:ascii="Times New Roman" w:hAnsi="Times New Roman" w:eastAsia="宋体" w:cs="Times New Roman"/>
          <w:bCs/>
          <w:color w:val="auto"/>
          <w:sz w:val="24"/>
          <w:lang w:bidi="ar"/>
        </w:rPr>
      </w:pPr>
      <w:r>
        <w:rPr>
          <w:rFonts w:hint="default" w:ascii="Times New Roman" w:hAnsi="Times New Roman" w:eastAsia="宋体" w:cs="Times New Roman"/>
          <w:color w:val="auto"/>
          <w:sz w:val="24"/>
          <w:lang w:bidi="ar"/>
        </w:rPr>
        <w:t>2.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color w:val="auto"/>
          <w:sz w:val="24"/>
          <w:lang w:bidi="ar"/>
        </w:rPr>
        <w:t>CA数字证书</w:t>
      </w:r>
      <w:r>
        <w:rPr>
          <w:rFonts w:hint="default" w:ascii="Times New Roman" w:hAnsi="Times New Roman" w:eastAsia="宋体" w:cs="Times New Roman"/>
          <w:color w:val="auto"/>
          <w:sz w:val="24"/>
          <w:lang w:bidi="ar"/>
        </w:rPr>
        <w:t>或电子营业执照</w:t>
      </w:r>
      <w:r>
        <w:rPr>
          <w:rFonts w:hint="default" w:ascii="Times New Roman" w:hAnsi="Times New Roman" w:eastAsia="宋体" w:cs="Times New Roman"/>
          <w:bCs/>
          <w:color w:val="auto"/>
          <w:sz w:val="24"/>
          <w:lang w:bidi="ar"/>
        </w:rPr>
        <w:t>情况确认是否符合本项目电子化采购流程要求。</w:t>
      </w:r>
    </w:p>
    <w:p w14:paraId="52C37099">
      <w:pPr>
        <w:adjustRightInd w:val="0"/>
        <w:snapToGrid w:val="0"/>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CA数字证书服务热线 010-58511086</w:t>
      </w:r>
    </w:p>
    <w:p w14:paraId="6A0E4727">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电子营业执照服务热线 400-699-7000</w:t>
      </w:r>
    </w:p>
    <w:p w14:paraId="6EB4100C">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技术支持服务热线    010-86483801</w:t>
      </w:r>
    </w:p>
    <w:p w14:paraId="269F6DDD">
      <w:pPr>
        <w:widowControl/>
        <w:adjustRightInd w:val="0"/>
        <w:snapToGrid w:val="0"/>
        <w:spacing w:line="360" w:lineRule="auto"/>
        <w:ind w:firstLine="480" w:firstLineChars="200"/>
        <w:jc w:val="left"/>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2.1办理CA数字证书或电子营业执照</w:t>
      </w:r>
    </w:p>
    <w:p w14:paraId="58F66C63">
      <w:pPr>
        <w:widowControl/>
        <w:adjustRightInd w:val="0"/>
        <w:snapToGrid w:val="0"/>
        <w:spacing w:line="360" w:lineRule="auto"/>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供应商登录北京市政府采购电子交易平台查阅 “用户指南”—“操作指南”—“市场主体CA办理操作流程指引”/“电子营业执照使用指南”，按照程序要求办理。</w:t>
      </w:r>
    </w:p>
    <w:p w14:paraId="1C6AEF99">
      <w:pPr>
        <w:adjustRightInd w:val="0"/>
        <w:snapToGrid w:val="0"/>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2.2注册</w:t>
      </w:r>
    </w:p>
    <w:p w14:paraId="52C13B38">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供应商登录北京市政府采购电子交易平台“用户指南”—“操作指南”—“市场主体注册入库操作流程指引”进行自助注册绑定。</w:t>
      </w:r>
    </w:p>
    <w:p w14:paraId="5463791E">
      <w:pPr>
        <w:widowControl/>
        <w:adjustRightInd w:val="0"/>
        <w:snapToGrid w:val="0"/>
        <w:spacing w:line="360" w:lineRule="auto"/>
        <w:ind w:firstLine="480" w:firstLineChars="200"/>
        <w:jc w:val="left"/>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2.3驱动、客户端下载</w:t>
      </w:r>
    </w:p>
    <w:p w14:paraId="0E8AAFF7">
      <w:pPr>
        <w:widowControl/>
        <w:adjustRightInd w:val="0"/>
        <w:snapToGrid w:val="0"/>
        <w:spacing w:line="360" w:lineRule="auto"/>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供应商登录北京市政府采购电子交易平台“用户指南”—“工具下载”—“招标采购系统文件驱动安装包”下载相关驱动。</w:t>
      </w:r>
    </w:p>
    <w:p w14:paraId="781898D0">
      <w:pPr>
        <w:adjustRightInd w:val="0"/>
        <w:snapToGrid w:val="0"/>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供应商登录北京市政府采购电子交易平台“用户指南”—“工具下载”—“投标文件编制工具”下载相关客户端。</w:t>
      </w:r>
    </w:p>
    <w:p w14:paraId="61F3C3A7">
      <w:pPr>
        <w:adjustRightInd w:val="0"/>
        <w:snapToGrid w:val="0"/>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2.4 获取电子招标文件</w:t>
      </w:r>
    </w:p>
    <w:p w14:paraId="528D95C3">
      <w:pPr>
        <w:adjustRightInd w:val="0"/>
        <w:snapToGrid w:val="0"/>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供应商使用CA数字证书或电子营业执照登录北京市政府采购电子交易平台获取电子招标文件。未在规定期限内通过北京市政府采购电子交易平台获取招标文件的</w:t>
      </w:r>
      <w:r>
        <w:rPr>
          <w:rFonts w:hint="default" w:ascii="Times New Roman" w:hAnsi="Times New Roman" w:eastAsia="宋体" w:cs="Times New Roman"/>
          <w:b/>
          <w:bCs/>
          <w:color w:val="auto"/>
          <w:sz w:val="24"/>
          <w:lang w:bidi="ar"/>
        </w:rPr>
        <w:t>投标无效</w:t>
      </w:r>
      <w:r>
        <w:rPr>
          <w:rFonts w:hint="default" w:ascii="Times New Roman" w:hAnsi="Times New Roman" w:eastAsia="宋体" w:cs="Times New Roman"/>
          <w:color w:val="auto"/>
          <w:sz w:val="24"/>
          <w:lang w:bidi="ar"/>
        </w:rPr>
        <w:t>。</w:t>
      </w:r>
    </w:p>
    <w:p w14:paraId="56A3505C">
      <w:pPr>
        <w:adjustRightInd w:val="0"/>
        <w:snapToGrid w:val="0"/>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25B8A864">
      <w:pPr>
        <w:adjustRightInd w:val="0"/>
        <w:snapToGrid w:val="0"/>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供应商在北京市政府采购电子交易平台成功下载招标文件后，请扫描</w:t>
      </w:r>
      <w:r>
        <w:rPr>
          <w:rFonts w:hint="eastAsia" w:cs="Times New Roman"/>
          <w:color w:val="auto"/>
          <w:sz w:val="24"/>
          <w:lang w:val="en-US" w:eastAsia="zh-CN" w:bidi="ar"/>
        </w:rPr>
        <w:t>招标文件中的</w:t>
      </w:r>
      <w:bookmarkStart w:id="31" w:name="_GoBack"/>
      <w:bookmarkEnd w:id="31"/>
      <w:r>
        <w:rPr>
          <w:rFonts w:hint="default" w:ascii="Times New Roman" w:hAnsi="Times New Roman" w:eastAsia="宋体" w:cs="Times New Roman"/>
          <w:color w:val="auto"/>
          <w:sz w:val="24"/>
          <w:lang w:bidi="ar"/>
        </w:rPr>
        <w:t>二维码，录入详细信息。</w:t>
      </w:r>
    </w:p>
    <w:p w14:paraId="20DF0C69">
      <w:pPr>
        <w:spacing w:line="360" w:lineRule="auto"/>
        <w:ind w:firstLine="480" w:firstLineChars="200"/>
        <w:rPr>
          <w:rFonts w:hint="default" w:ascii="Times New Roman" w:hAnsi="Times New Roman" w:eastAsia="宋体" w:cs="Times New Roman"/>
          <w:color w:val="auto"/>
          <w:sz w:val="24"/>
          <w:lang w:val="en-US" w:eastAsia="zh-CN" w:bidi="ar"/>
        </w:rPr>
      </w:pPr>
      <w:r>
        <w:rPr>
          <w:rFonts w:hint="default" w:ascii="Times New Roman" w:hAnsi="Times New Roman" w:eastAsia="宋体" w:cs="Times New Roman"/>
          <w:color w:val="auto"/>
          <w:sz w:val="24"/>
          <w:lang w:bidi="ar"/>
        </w:rPr>
        <w:t>3.采购代理机构项目编号：BJJQ-202</w:t>
      </w:r>
      <w:r>
        <w:rPr>
          <w:rFonts w:hint="default" w:ascii="Times New Roman" w:hAnsi="Times New Roman" w:eastAsia="宋体" w:cs="Times New Roman"/>
          <w:color w:val="auto"/>
          <w:sz w:val="24"/>
          <w:lang w:val="en-US" w:eastAsia="zh-CN" w:bidi="ar"/>
        </w:rPr>
        <w:t>5</w:t>
      </w:r>
      <w:r>
        <w:rPr>
          <w:rFonts w:hint="default" w:ascii="Times New Roman" w:hAnsi="Times New Roman" w:eastAsia="宋体" w:cs="Times New Roman"/>
          <w:color w:val="auto"/>
          <w:sz w:val="24"/>
          <w:lang w:bidi="ar"/>
        </w:rPr>
        <w:t>-</w:t>
      </w:r>
      <w:r>
        <w:rPr>
          <w:rFonts w:hint="eastAsia" w:cs="Times New Roman"/>
          <w:color w:val="auto"/>
          <w:sz w:val="24"/>
          <w:lang w:val="en-US" w:eastAsia="zh-CN" w:bidi="ar"/>
        </w:rPr>
        <w:t>590</w:t>
      </w:r>
    </w:p>
    <w:p w14:paraId="477EC323">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4.采购代理机构项目联系邮箱：</w:t>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"mailto:yw01@hcjq.net" </w:instrText>
      </w:r>
      <w:r>
        <w:rPr>
          <w:rFonts w:hint="default" w:ascii="Times New Roman" w:hAnsi="Times New Roman" w:eastAsia="宋体" w:cs="Times New Roman"/>
          <w:color w:val="auto"/>
        </w:rPr>
        <w:fldChar w:fldCharType="separate"/>
      </w:r>
      <w:r>
        <w:rPr>
          <w:rStyle w:val="6"/>
          <w:rFonts w:hint="default" w:ascii="Times New Roman" w:hAnsi="Times New Roman" w:eastAsia="宋体" w:cs="Times New Roman"/>
          <w:color w:val="auto"/>
          <w:sz w:val="24"/>
          <w:lang w:bidi="ar"/>
        </w:rPr>
        <w:t>yw01@hcjq.net</w:t>
      </w:r>
      <w:r>
        <w:rPr>
          <w:rStyle w:val="6"/>
          <w:rFonts w:hint="default" w:ascii="Times New Roman" w:hAnsi="Times New Roman" w:eastAsia="宋体" w:cs="Times New Roman"/>
          <w:color w:val="auto"/>
          <w:sz w:val="24"/>
          <w:lang w:bidi="ar"/>
        </w:rPr>
        <w:fldChar w:fldCharType="end"/>
      </w:r>
    </w:p>
    <w:p w14:paraId="10D0F0E8">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5.本公告同时在中国政府采购网（http://www.ccgp.gov.cn）</w:t>
      </w:r>
      <w:r>
        <w:rPr>
          <w:rFonts w:hint="eastAsia" w:cs="Times New Roman"/>
          <w:color w:val="auto"/>
          <w:sz w:val="24"/>
          <w:lang w:val="en-US" w:eastAsia="zh-CN" w:bidi="ar"/>
        </w:rPr>
        <w:t>及</w:t>
      </w:r>
      <w:r>
        <w:rPr>
          <w:rFonts w:hint="default" w:ascii="Times New Roman" w:hAnsi="Times New Roman" w:eastAsia="宋体" w:cs="Times New Roman"/>
          <w:color w:val="auto"/>
          <w:sz w:val="24"/>
          <w:lang w:bidi="ar"/>
        </w:rPr>
        <w:t>北京市政府采购网（http://www.ccgp-beijing.gov.cn/）发布。</w:t>
      </w:r>
    </w:p>
    <w:p w14:paraId="6AAEA39D">
      <w:pPr>
        <w:spacing w:line="360" w:lineRule="auto"/>
        <w:rPr>
          <w:rFonts w:hint="default" w:ascii="Times New Roman" w:hAnsi="Times New Roman" w:eastAsia="宋体" w:cs="Times New Roman"/>
          <w:color w:val="auto"/>
          <w:sz w:val="24"/>
        </w:rPr>
      </w:pPr>
    </w:p>
    <w:p w14:paraId="1CB8E137">
      <w:pPr>
        <w:pStyle w:val="3"/>
        <w:rPr>
          <w:rFonts w:hint="default" w:ascii="Times New Roman" w:hAnsi="Times New Roman" w:eastAsia="宋体" w:cs="Times New Roman"/>
          <w:color w:val="auto"/>
        </w:rPr>
      </w:pPr>
      <w:bookmarkStart w:id="23" w:name="_Toc28359085"/>
      <w:bookmarkStart w:id="24" w:name="_Toc28359008"/>
      <w:bookmarkStart w:id="25" w:name="_Toc35393796"/>
      <w:bookmarkStart w:id="26" w:name="_Toc35393627"/>
      <w:r>
        <w:rPr>
          <w:rFonts w:hint="default" w:ascii="Times New Roman" w:hAnsi="Times New Roman" w:eastAsia="宋体" w:cs="Times New Roman"/>
          <w:color w:val="auto"/>
        </w:rPr>
        <w:t>七、对本次招标提出询问，请按以下方式联系。</w:t>
      </w:r>
      <w:bookmarkEnd w:id="23"/>
      <w:bookmarkEnd w:id="24"/>
      <w:bookmarkEnd w:id="25"/>
      <w:bookmarkEnd w:id="26"/>
    </w:p>
    <w:p w14:paraId="6C7A777B">
      <w:pPr>
        <w:spacing w:line="360" w:lineRule="auto"/>
        <w:ind w:left="1080" w:leftChars="371" w:hanging="301" w:hangingChars="125"/>
        <w:jc w:val="left"/>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1.采购人信息</w:t>
      </w:r>
    </w:p>
    <w:p w14:paraId="15E4ED39">
      <w:pPr>
        <w:spacing w:line="360" w:lineRule="auto"/>
        <w:ind w:left="1079" w:leftChars="371" w:hanging="300" w:hangingChars="125"/>
        <w:jc w:val="left"/>
        <w:rPr>
          <w:rFonts w:hint="default" w:ascii="Times New Roman" w:hAnsi="Times New Roman" w:eastAsia="宋体" w:cs="Times New Roman"/>
          <w:color w:val="auto"/>
          <w:sz w:val="24"/>
        </w:rPr>
      </w:pPr>
      <w:bookmarkStart w:id="27" w:name="_Toc28359009"/>
      <w:bookmarkStart w:id="28" w:name="_Toc28359086"/>
      <w:r>
        <w:rPr>
          <w:rFonts w:hint="default" w:ascii="Times New Roman" w:hAnsi="Times New Roman" w:eastAsia="宋体" w:cs="Times New Roman"/>
          <w:color w:val="auto"/>
          <w:sz w:val="24"/>
        </w:rPr>
        <w:t>名    称：北京市司法局</w:t>
      </w:r>
    </w:p>
    <w:p w14:paraId="23D2D927">
      <w:pPr>
        <w:spacing w:line="360" w:lineRule="auto"/>
        <w:ind w:left="1079" w:leftChars="371" w:hanging="300" w:hangingChars="125"/>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地    址：北京市通州区运河东大街57号院6号楼</w:t>
      </w:r>
    </w:p>
    <w:p w14:paraId="39DB21A4">
      <w:pPr>
        <w:spacing w:line="360" w:lineRule="auto"/>
        <w:ind w:left="1079" w:leftChars="371" w:hanging="300" w:hangingChars="125"/>
        <w:jc w:val="left"/>
        <w:rPr>
          <w:rFonts w:hint="default" w:ascii="Times New Roman" w:hAnsi="Times New Roman" w:eastAsia="宋体" w:cs="Times New Roman"/>
          <w:color w:val="auto"/>
          <w:sz w:val="24"/>
          <w:u w:val="single"/>
          <w:lang w:val="en-US" w:eastAsia="zh-CN"/>
        </w:rPr>
      </w:pPr>
      <w:r>
        <w:rPr>
          <w:rFonts w:hint="default" w:ascii="Times New Roman" w:hAnsi="Times New Roman" w:eastAsia="宋体" w:cs="Times New Roman"/>
          <w:color w:val="auto"/>
          <w:sz w:val="24"/>
        </w:rPr>
        <w:t>联系方式：</w:t>
      </w:r>
      <w:r>
        <w:rPr>
          <w:rFonts w:hint="default" w:ascii="Times New Roman" w:hAnsi="Times New Roman" w:cs="Times New Roman"/>
          <w:sz w:val="24"/>
        </w:rPr>
        <w:t>马老师，010-55578718</w:t>
      </w:r>
    </w:p>
    <w:p w14:paraId="1399C52A">
      <w:pPr>
        <w:spacing w:line="360" w:lineRule="auto"/>
        <w:ind w:left="1080" w:leftChars="371" w:hanging="301" w:hangingChars="125"/>
        <w:jc w:val="left"/>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2.采购代理机构信息</w:t>
      </w:r>
      <w:bookmarkEnd w:id="27"/>
      <w:bookmarkEnd w:id="28"/>
    </w:p>
    <w:p w14:paraId="513272E4">
      <w:pPr>
        <w:spacing w:line="360" w:lineRule="auto"/>
        <w:ind w:left="1079" w:leftChars="371" w:hanging="300" w:hangingChars="125"/>
        <w:jc w:val="left"/>
        <w:rPr>
          <w:rFonts w:hint="default" w:ascii="Times New Roman" w:hAnsi="Times New Roman" w:eastAsia="宋体" w:cs="Times New Roman"/>
          <w:color w:val="auto"/>
          <w:sz w:val="24"/>
        </w:rPr>
      </w:pPr>
      <w:bookmarkStart w:id="29" w:name="_Toc28359010"/>
      <w:bookmarkStart w:id="30" w:name="_Toc28359087"/>
      <w:r>
        <w:rPr>
          <w:rFonts w:hint="default" w:ascii="Times New Roman" w:hAnsi="Times New Roman" w:eastAsia="宋体" w:cs="Times New Roman"/>
          <w:color w:val="auto"/>
          <w:sz w:val="24"/>
        </w:rPr>
        <w:t>名    称：</w:t>
      </w:r>
      <w:r>
        <w:rPr>
          <w:rFonts w:hint="default" w:ascii="Times New Roman" w:hAnsi="Times New Roman" w:eastAsia="宋体" w:cs="Times New Roman"/>
          <w:color w:val="auto"/>
          <w:sz w:val="24"/>
          <w:u w:val="none"/>
        </w:rPr>
        <w:t>北京汇诚金桥国际招标咨询有限公司</w:t>
      </w:r>
    </w:p>
    <w:p w14:paraId="5842A93A">
      <w:pPr>
        <w:spacing w:line="360" w:lineRule="auto"/>
        <w:ind w:left="1079" w:leftChars="371" w:hanging="300" w:hangingChars="125"/>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地    址：</w:t>
      </w:r>
      <w:r>
        <w:rPr>
          <w:rFonts w:hint="default" w:ascii="Times New Roman" w:hAnsi="Times New Roman" w:eastAsia="宋体" w:cs="Times New Roman"/>
          <w:color w:val="auto"/>
          <w:sz w:val="24"/>
          <w:u w:val="none"/>
        </w:rPr>
        <w:t>北京市东城区朝内大街南竹杆胡同6号北京INN3号楼9层</w:t>
      </w:r>
    </w:p>
    <w:p w14:paraId="00F97A26">
      <w:pPr>
        <w:spacing w:line="360" w:lineRule="auto"/>
        <w:ind w:left="1079" w:leftChars="371" w:hanging="300" w:hangingChars="125"/>
        <w:jc w:val="left"/>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rPr>
        <w:t>联系方式：</w:t>
      </w:r>
      <w:r>
        <w:rPr>
          <w:rFonts w:hint="default" w:ascii="Times New Roman" w:hAnsi="Times New Roman" w:eastAsia="宋体" w:cs="Times New Roman"/>
          <w:color w:val="auto"/>
          <w:sz w:val="24"/>
          <w:u w:val="none"/>
        </w:rPr>
        <w:t>010-65244876、65699706</w:t>
      </w:r>
    </w:p>
    <w:p w14:paraId="67EBABF4">
      <w:pPr>
        <w:spacing w:line="360" w:lineRule="auto"/>
        <w:ind w:left="1080" w:leftChars="371" w:hanging="301" w:hangingChars="125"/>
        <w:jc w:val="left"/>
        <w:rPr>
          <w:rFonts w:hint="default" w:ascii="Times New Roman" w:hAnsi="Times New Roman" w:eastAsia="宋体" w:cs="Times New Roman"/>
          <w:b/>
          <w:color w:val="auto"/>
          <w:sz w:val="24"/>
          <w:u w:val="single"/>
        </w:rPr>
      </w:pPr>
      <w:r>
        <w:rPr>
          <w:rFonts w:hint="default" w:ascii="Times New Roman" w:hAnsi="Times New Roman" w:eastAsia="宋体" w:cs="Times New Roman"/>
          <w:b/>
          <w:color w:val="auto"/>
          <w:sz w:val="24"/>
        </w:rPr>
        <w:t>3.项目联系方式</w:t>
      </w:r>
      <w:bookmarkEnd w:id="29"/>
      <w:bookmarkEnd w:id="30"/>
    </w:p>
    <w:p w14:paraId="77C91B56">
      <w:pPr>
        <w:spacing w:line="360" w:lineRule="auto"/>
        <w:ind w:left="1079" w:leftChars="371" w:hanging="300" w:hangingChars="125"/>
        <w:jc w:val="left"/>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项目联系人：</w:t>
      </w:r>
      <w:r>
        <w:rPr>
          <w:rFonts w:hint="default" w:ascii="Times New Roman" w:hAnsi="Times New Roman" w:eastAsia="宋体" w:cs="Times New Roman"/>
          <w:color w:val="auto"/>
          <w:sz w:val="24"/>
          <w:u w:val="none"/>
        </w:rPr>
        <w:t>张萍、</w:t>
      </w:r>
      <w:r>
        <w:rPr>
          <w:rFonts w:hint="eastAsia" w:cs="Times New Roman"/>
          <w:color w:val="auto"/>
          <w:sz w:val="24"/>
          <w:u w:val="none"/>
          <w:lang w:val="en-US" w:eastAsia="zh-CN"/>
        </w:rPr>
        <w:t>王鑫国</w:t>
      </w:r>
    </w:p>
    <w:p w14:paraId="283AAA9A">
      <w:pPr>
        <w:ind w:firstLine="720" w:firstLineChars="300"/>
      </w:pPr>
      <w:r>
        <w:rPr>
          <w:rFonts w:hint="default" w:ascii="Times New Roman" w:hAnsi="Times New Roman" w:eastAsia="宋体" w:cs="Times New Roman"/>
          <w:color w:val="auto"/>
          <w:sz w:val="24"/>
        </w:rPr>
        <w:t>电      话：</w:t>
      </w:r>
      <w:r>
        <w:rPr>
          <w:rFonts w:hint="default" w:ascii="Times New Roman" w:hAnsi="Times New Roman" w:eastAsia="宋体" w:cs="Times New Roman"/>
          <w:color w:val="auto"/>
          <w:sz w:val="24"/>
          <w:u w:val="none"/>
        </w:rPr>
        <w:t>010-65244876、65699706</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464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outlineLvl w:val="1"/>
    </w:pPr>
    <w:rPr>
      <w:bCs/>
      <w:sz w:val="2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character" w:styleId="6">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2025-05-20T09:55:11Z</dcterms:created>
  <dc:creator>Lenovo</dc:creator>
  <cp:lastModifiedBy>汇诚金桥业务一部</cp:lastModifiedBy>
  <dcterms:modified xsi:type="dcterms:W3CDTF">2025-05-20T09:56:02Z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eyJoZGlkIjoiMGYzMThkMDdmNjc1ZjYyYzBhMDlmMWEyYzUwNjRjYTQiLCJ1c2VySWQiOiIxNTg3OTkxMzIyIn0=</vt:lpwstr>
  </property>
  <property fmtid="{D5CDD505-2E9C-101B-9397-08002B2CF9AE}" pid="4" name="ICV">
    <vt:lpwstr>910BB58CC2634791B81E2EDC687ED304_12</vt:lpwstr>
  </property>
</Properties>
</file>