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A376" w14:textId="77777777" w:rsidR="003F57C9" w:rsidRPr="00694C5A" w:rsidRDefault="003F57C9" w:rsidP="003F57C9">
      <w:pPr>
        <w:spacing w:line="360" w:lineRule="auto"/>
        <w:jc w:val="center"/>
        <w:outlineLvl w:val="0"/>
        <w:rPr>
          <w:rFonts w:ascii="Arial" w:hAnsi="Arial" w:cs="Arial"/>
          <w:b/>
          <w:sz w:val="36"/>
          <w:szCs w:val="36"/>
        </w:rPr>
      </w:pPr>
      <w:r w:rsidRPr="00694C5A">
        <w:rPr>
          <w:rFonts w:ascii="Arial" w:hAnsi="Arial" w:cs="Arial"/>
          <w:b/>
          <w:sz w:val="36"/>
          <w:szCs w:val="36"/>
        </w:rPr>
        <w:t>采购需求</w:t>
      </w:r>
    </w:p>
    <w:p w14:paraId="1EF1D956" w14:textId="77777777" w:rsidR="003F57C9" w:rsidRPr="00694C5A" w:rsidRDefault="003F57C9" w:rsidP="003F57C9">
      <w:pPr>
        <w:pStyle w:val="11"/>
        <w:numPr>
          <w:ilvl w:val="0"/>
          <w:numId w:val="1"/>
        </w:numPr>
        <w:tabs>
          <w:tab w:val="left" w:pos="312"/>
        </w:tabs>
        <w:spacing w:line="360" w:lineRule="auto"/>
        <w:ind w:firstLineChars="0"/>
        <w:contextualSpacing/>
        <w:rPr>
          <w:rFonts w:ascii="Arial" w:hAnsi="Arial" w:cs="Arial"/>
          <w:b/>
          <w:sz w:val="24"/>
          <w:szCs w:val="24"/>
        </w:rPr>
      </w:pPr>
      <w:bookmarkStart w:id="0" w:name="_Hlk115353985"/>
      <w:bookmarkStart w:id="1" w:name="_Hlk116664371"/>
      <w:r w:rsidRPr="00694C5A">
        <w:rPr>
          <w:rFonts w:ascii="Arial" w:hAnsi="Arial" w:cs="Arial"/>
          <w:b/>
          <w:sz w:val="24"/>
          <w:szCs w:val="24"/>
        </w:rPr>
        <w:t>采购标的</w:t>
      </w:r>
    </w:p>
    <w:p w14:paraId="3F2B6832" w14:textId="77777777" w:rsidR="003F57C9" w:rsidRPr="00694C5A" w:rsidRDefault="003F57C9" w:rsidP="003F57C9">
      <w:pPr>
        <w:spacing w:line="360" w:lineRule="auto"/>
        <w:contextualSpacing/>
        <w:rPr>
          <w:rFonts w:ascii="Arial" w:hAnsi="Arial" w:cs="Arial"/>
          <w:bCs/>
          <w:sz w:val="24"/>
        </w:rPr>
      </w:pPr>
      <w:r w:rsidRPr="00694C5A">
        <w:rPr>
          <w:rFonts w:ascii="Arial" w:hAnsi="Arial" w:cs="Arial"/>
          <w:bCs/>
          <w:sz w:val="24"/>
        </w:rPr>
        <w:t xml:space="preserve">1. </w:t>
      </w:r>
      <w:r w:rsidRPr="00694C5A">
        <w:rPr>
          <w:rFonts w:ascii="Arial" w:hAnsi="Arial" w:cs="Arial"/>
          <w:bCs/>
          <w:sz w:val="24"/>
        </w:rPr>
        <w:t>采购标的（货物需求一览表或简要服务内容及数量）</w:t>
      </w:r>
    </w:p>
    <w:tbl>
      <w:tblPr>
        <w:tblStyle w:val="af2"/>
        <w:tblW w:w="9288" w:type="dxa"/>
        <w:tblLayout w:type="fixed"/>
        <w:tblLook w:val="04A0" w:firstRow="1" w:lastRow="0" w:firstColumn="1" w:lastColumn="0" w:noHBand="0" w:noVBand="1"/>
      </w:tblPr>
      <w:tblGrid>
        <w:gridCol w:w="846"/>
        <w:gridCol w:w="2410"/>
        <w:gridCol w:w="1134"/>
        <w:gridCol w:w="4898"/>
      </w:tblGrid>
      <w:tr w:rsidR="003F57C9" w:rsidRPr="00694C5A" w14:paraId="3C805987" w14:textId="77777777" w:rsidTr="00C1496F">
        <w:tc>
          <w:tcPr>
            <w:tcW w:w="846" w:type="dxa"/>
          </w:tcPr>
          <w:p w14:paraId="7F492997" w14:textId="77777777" w:rsidR="003F57C9" w:rsidRPr="00694C5A" w:rsidRDefault="003F57C9" w:rsidP="00C1496F">
            <w:pPr>
              <w:spacing w:line="360" w:lineRule="auto"/>
              <w:rPr>
                <w:rFonts w:ascii="Arial" w:hAnsi="Arial" w:cs="Arial"/>
                <w:sz w:val="24"/>
              </w:rPr>
            </w:pPr>
            <w:proofErr w:type="gramStart"/>
            <w:r w:rsidRPr="00694C5A">
              <w:rPr>
                <w:rFonts w:ascii="Arial" w:hAnsi="Arial" w:cs="Arial"/>
                <w:sz w:val="24"/>
              </w:rPr>
              <w:t>包号</w:t>
            </w:r>
            <w:proofErr w:type="gramEnd"/>
          </w:p>
        </w:tc>
        <w:tc>
          <w:tcPr>
            <w:tcW w:w="2410" w:type="dxa"/>
            <w:vAlign w:val="center"/>
          </w:tcPr>
          <w:p w14:paraId="34CD877C" w14:textId="77777777" w:rsidR="003F57C9" w:rsidRPr="00694C5A" w:rsidRDefault="003F57C9" w:rsidP="00C1496F">
            <w:pPr>
              <w:spacing w:line="360" w:lineRule="auto"/>
              <w:rPr>
                <w:rFonts w:ascii="Arial" w:hAnsi="Arial" w:cs="Arial"/>
                <w:sz w:val="24"/>
              </w:rPr>
            </w:pPr>
            <w:r w:rsidRPr="00694C5A">
              <w:rPr>
                <w:rFonts w:ascii="Arial" w:hAnsi="Arial" w:cs="Arial" w:hint="eastAsia"/>
                <w:sz w:val="24"/>
              </w:rPr>
              <w:t>标的名称</w:t>
            </w:r>
          </w:p>
        </w:tc>
        <w:tc>
          <w:tcPr>
            <w:tcW w:w="1134" w:type="dxa"/>
            <w:vAlign w:val="center"/>
          </w:tcPr>
          <w:p w14:paraId="4BD35CD0" w14:textId="77777777" w:rsidR="003F57C9" w:rsidRPr="00694C5A" w:rsidRDefault="003F57C9" w:rsidP="00C1496F">
            <w:pPr>
              <w:spacing w:line="360" w:lineRule="auto"/>
              <w:rPr>
                <w:rFonts w:ascii="Arial" w:hAnsi="Arial" w:cs="Arial"/>
                <w:sz w:val="24"/>
              </w:rPr>
            </w:pPr>
            <w:r w:rsidRPr="00694C5A">
              <w:rPr>
                <w:rFonts w:ascii="Arial" w:hAnsi="Arial" w:cs="Arial" w:hint="eastAsia"/>
                <w:sz w:val="24"/>
              </w:rPr>
              <w:t>数量</w:t>
            </w:r>
          </w:p>
        </w:tc>
        <w:tc>
          <w:tcPr>
            <w:tcW w:w="4898" w:type="dxa"/>
            <w:vAlign w:val="center"/>
          </w:tcPr>
          <w:p w14:paraId="069C7D52" w14:textId="77777777" w:rsidR="003F57C9" w:rsidRPr="00694C5A" w:rsidRDefault="003F57C9" w:rsidP="00C1496F">
            <w:pPr>
              <w:spacing w:line="360" w:lineRule="auto"/>
              <w:rPr>
                <w:rFonts w:ascii="Arial" w:hAnsi="Arial" w:cs="Arial"/>
                <w:sz w:val="24"/>
              </w:rPr>
            </w:pPr>
            <w:r w:rsidRPr="00694C5A">
              <w:rPr>
                <w:rFonts w:ascii="Arial" w:hAnsi="Arial" w:cs="Arial" w:hint="eastAsia"/>
                <w:sz w:val="24"/>
              </w:rPr>
              <w:t>简要技术需求或服务要求</w:t>
            </w:r>
          </w:p>
        </w:tc>
      </w:tr>
      <w:tr w:rsidR="003F57C9" w:rsidRPr="00694C5A" w14:paraId="5DA423DD" w14:textId="77777777" w:rsidTr="00C1496F">
        <w:tc>
          <w:tcPr>
            <w:tcW w:w="846" w:type="dxa"/>
          </w:tcPr>
          <w:p w14:paraId="22F7665D" w14:textId="77777777" w:rsidR="003F57C9" w:rsidRPr="00694C5A" w:rsidRDefault="003F57C9" w:rsidP="00C1496F">
            <w:pPr>
              <w:spacing w:line="360" w:lineRule="auto"/>
              <w:rPr>
                <w:rFonts w:ascii="Arial" w:hAnsi="Arial" w:cs="Arial"/>
                <w:sz w:val="24"/>
              </w:rPr>
            </w:pPr>
            <w:r w:rsidRPr="00694C5A">
              <w:rPr>
                <w:rFonts w:ascii="Arial" w:hAnsi="Arial" w:cs="Arial"/>
                <w:sz w:val="24"/>
              </w:rPr>
              <w:t>1</w:t>
            </w:r>
          </w:p>
        </w:tc>
        <w:tc>
          <w:tcPr>
            <w:tcW w:w="2410" w:type="dxa"/>
          </w:tcPr>
          <w:p w14:paraId="081EBADB" w14:textId="77777777" w:rsidR="003F57C9" w:rsidRPr="00694C5A" w:rsidRDefault="003F57C9" w:rsidP="00C1496F">
            <w:pPr>
              <w:spacing w:line="360" w:lineRule="auto"/>
              <w:rPr>
                <w:rFonts w:ascii="Arial" w:hAnsi="Arial" w:cs="Arial"/>
                <w:sz w:val="24"/>
              </w:rPr>
            </w:pPr>
            <w:r w:rsidRPr="00694C5A">
              <w:rPr>
                <w:rFonts w:ascii="Arial" w:hAnsi="Arial" w:cs="Arial"/>
                <w:sz w:val="24"/>
              </w:rPr>
              <w:t>法律顾问服务</w:t>
            </w:r>
          </w:p>
        </w:tc>
        <w:tc>
          <w:tcPr>
            <w:tcW w:w="1134" w:type="dxa"/>
          </w:tcPr>
          <w:p w14:paraId="1DF31876" w14:textId="77777777" w:rsidR="003F57C9" w:rsidRPr="00694C5A" w:rsidRDefault="003F57C9" w:rsidP="00C1496F">
            <w:pPr>
              <w:spacing w:line="360" w:lineRule="auto"/>
              <w:rPr>
                <w:rFonts w:ascii="Arial" w:hAnsi="Arial" w:cs="Arial"/>
                <w:sz w:val="24"/>
              </w:rPr>
            </w:pPr>
            <w:r w:rsidRPr="00694C5A">
              <w:rPr>
                <w:rFonts w:ascii="Arial" w:hAnsi="Arial" w:cs="Arial" w:hint="eastAsia"/>
                <w:sz w:val="24"/>
              </w:rPr>
              <w:t>3</w:t>
            </w:r>
            <w:r w:rsidRPr="00694C5A">
              <w:rPr>
                <w:rFonts w:ascii="Arial" w:hAnsi="Arial" w:cs="Arial" w:hint="eastAsia"/>
                <w:sz w:val="24"/>
              </w:rPr>
              <w:t>年</w:t>
            </w:r>
          </w:p>
        </w:tc>
        <w:tc>
          <w:tcPr>
            <w:tcW w:w="4898" w:type="dxa"/>
          </w:tcPr>
          <w:p w14:paraId="11FE237D" w14:textId="77777777" w:rsidR="003F57C9" w:rsidRPr="00694C5A" w:rsidRDefault="003F57C9" w:rsidP="00C1496F">
            <w:pPr>
              <w:spacing w:line="360" w:lineRule="auto"/>
              <w:rPr>
                <w:rFonts w:ascii="Arial" w:hAnsi="Arial" w:cs="Arial"/>
                <w:sz w:val="24"/>
              </w:rPr>
            </w:pPr>
            <w:r w:rsidRPr="00694C5A">
              <w:rPr>
                <w:rFonts w:ascii="Arial" w:hAnsi="Arial" w:cs="Arial" w:hint="eastAsia"/>
                <w:sz w:val="24"/>
              </w:rPr>
              <w:t>根据</w:t>
            </w:r>
            <w:proofErr w:type="gramStart"/>
            <w:r w:rsidRPr="00694C5A">
              <w:rPr>
                <w:rFonts w:ascii="Arial" w:hAnsi="Arial" w:cs="Arial" w:hint="eastAsia"/>
                <w:sz w:val="24"/>
              </w:rPr>
              <w:t>医</w:t>
            </w:r>
            <w:proofErr w:type="gramEnd"/>
            <w:r w:rsidRPr="00694C5A">
              <w:rPr>
                <w:rFonts w:ascii="Arial" w:hAnsi="Arial" w:cs="Arial" w:hint="eastAsia"/>
                <w:sz w:val="24"/>
              </w:rPr>
              <w:t>患办公室转交的要求，协助医疗投诉和纠纷的处理</w:t>
            </w:r>
          </w:p>
        </w:tc>
      </w:tr>
    </w:tbl>
    <w:p w14:paraId="7D00AAA0" w14:textId="77777777" w:rsidR="003F57C9" w:rsidRPr="00694C5A" w:rsidRDefault="003F57C9" w:rsidP="003F57C9">
      <w:pPr>
        <w:spacing w:line="360" w:lineRule="auto"/>
        <w:contextualSpacing/>
        <w:rPr>
          <w:rFonts w:ascii="Arial" w:hAnsi="Arial" w:cs="Arial"/>
          <w:b/>
          <w:sz w:val="24"/>
        </w:rPr>
      </w:pPr>
    </w:p>
    <w:p w14:paraId="1D9EB80F" w14:textId="77777777" w:rsidR="003F57C9" w:rsidRPr="00694C5A" w:rsidRDefault="003F57C9" w:rsidP="003F57C9">
      <w:pPr>
        <w:spacing w:line="360" w:lineRule="auto"/>
        <w:contextualSpacing/>
        <w:rPr>
          <w:rFonts w:ascii="Arial" w:hAnsi="Arial" w:cs="Arial"/>
          <w:bCs/>
          <w:sz w:val="24"/>
        </w:rPr>
      </w:pPr>
      <w:bookmarkStart w:id="2" w:name="_Hlk110870460"/>
      <w:r w:rsidRPr="00694C5A">
        <w:rPr>
          <w:rFonts w:ascii="Arial" w:hAnsi="Arial" w:cs="Arial"/>
          <w:bCs/>
          <w:sz w:val="24"/>
        </w:rPr>
        <w:t xml:space="preserve">2. </w:t>
      </w:r>
      <w:r w:rsidRPr="00694C5A">
        <w:rPr>
          <w:rFonts w:ascii="Arial" w:hAnsi="Arial" w:cs="Arial"/>
          <w:bCs/>
          <w:sz w:val="24"/>
        </w:rPr>
        <w:t>项目背景</w:t>
      </w:r>
      <w:r w:rsidRPr="00694C5A">
        <w:rPr>
          <w:rFonts w:ascii="Arial" w:hAnsi="Arial" w:cs="Arial"/>
          <w:bCs/>
          <w:sz w:val="24"/>
        </w:rPr>
        <w:t>/</w:t>
      </w:r>
      <w:r w:rsidRPr="00694C5A">
        <w:rPr>
          <w:rFonts w:ascii="Arial" w:hAnsi="Arial" w:cs="Arial"/>
          <w:bCs/>
          <w:sz w:val="24"/>
        </w:rPr>
        <w:t>项目概述（如有）</w:t>
      </w:r>
    </w:p>
    <w:p w14:paraId="6D07DBB5" w14:textId="77777777" w:rsidR="003F57C9" w:rsidRPr="00694C5A" w:rsidRDefault="003F57C9" w:rsidP="003F57C9">
      <w:pPr>
        <w:spacing w:line="360" w:lineRule="auto"/>
        <w:ind w:firstLineChars="200" w:firstLine="480"/>
        <w:contextualSpacing/>
        <w:rPr>
          <w:rFonts w:ascii="Arial" w:hAnsi="Arial" w:cs="Arial"/>
          <w:bCs/>
          <w:sz w:val="24"/>
        </w:rPr>
      </w:pPr>
      <w:r w:rsidRPr="00694C5A">
        <w:rPr>
          <w:rFonts w:ascii="Arial" w:hAnsi="Arial" w:cs="Arial"/>
          <w:sz w:val="24"/>
        </w:rPr>
        <w:t>首都医科大学附属北京安贞医院法律顾问服务</w:t>
      </w:r>
      <w:r w:rsidRPr="00694C5A">
        <w:rPr>
          <w:rFonts w:ascii="Arial" w:hAnsi="Arial" w:cs="Arial" w:hint="eastAsia"/>
          <w:bCs/>
          <w:sz w:val="24"/>
        </w:rPr>
        <w:t>，服务期</w:t>
      </w:r>
      <w:r w:rsidRPr="00694C5A">
        <w:rPr>
          <w:rFonts w:ascii="Arial" w:hAnsi="Arial" w:cs="Arial" w:hint="eastAsia"/>
          <w:bCs/>
          <w:sz w:val="24"/>
        </w:rPr>
        <w:t>3</w:t>
      </w:r>
      <w:r w:rsidRPr="00694C5A">
        <w:rPr>
          <w:rFonts w:ascii="Arial" w:hAnsi="Arial" w:cs="Arial" w:hint="eastAsia"/>
          <w:bCs/>
          <w:sz w:val="24"/>
        </w:rPr>
        <w:t>年。</w:t>
      </w:r>
    </w:p>
    <w:p w14:paraId="61849ACC" w14:textId="77777777" w:rsidR="003F57C9" w:rsidRPr="00694C5A" w:rsidRDefault="003F57C9" w:rsidP="003F57C9">
      <w:pPr>
        <w:pStyle w:val="11"/>
        <w:numPr>
          <w:ilvl w:val="0"/>
          <w:numId w:val="1"/>
        </w:numPr>
        <w:tabs>
          <w:tab w:val="left" w:pos="312"/>
        </w:tabs>
        <w:spacing w:line="360" w:lineRule="auto"/>
        <w:ind w:firstLineChars="0"/>
        <w:contextualSpacing/>
        <w:rPr>
          <w:rFonts w:ascii="Arial" w:hAnsi="Arial" w:cs="Arial"/>
          <w:b/>
          <w:sz w:val="24"/>
          <w:szCs w:val="24"/>
        </w:rPr>
      </w:pPr>
      <w:bookmarkStart w:id="3" w:name="_Hlk146283850"/>
      <w:bookmarkEnd w:id="2"/>
      <w:r w:rsidRPr="00694C5A">
        <w:rPr>
          <w:rFonts w:ascii="Arial" w:hAnsi="Arial" w:cs="Arial"/>
          <w:b/>
          <w:sz w:val="24"/>
          <w:szCs w:val="24"/>
        </w:rPr>
        <w:t>商务要求</w:t>
      </w:r>
    </w:p>
    <w:p w14:paraId="3733819D" w14:textId="77777777" w:rsidR="003F57C9" w:rsidRPr="00694C5A" w:rsidRDefault="003F57C9" w:rsidP="003F57C9">
      <w:pPr>
        <w:spacing w:line="360" w:lineRule="auto"/>
        <w:contextualSpacing/>
        <w:rPr>
          <w:rFonts w:ascii="Arial" w:hAnsi="Arial" w:cs="Arial"/>
          <w:sz w:val="24"/>
        </w:rPr>
      </w:pPr>
      <w:r w:rsidRPr="00694C5A">
        <w:rPr>
          <w:rFonts w:ascii="Arial" w:hAnsi="Arial" w:cs="Arial"/>
          <w:sz w:val="24"/>
        </w:rPr>
        <w:t xml:space="preserve">1. </w:t>
      </w:r>
      <w:r w:rsidRPr="00694C5A">
        <w:rPr>
          <w:rFonts w:ascii="Arial" w:hAnsi="Arial" w:cs="Arial"/>
          <w:sz w:val="24"/>
        </w:rPr>
        <w:t>实施的时间和地点：</w:t>
      </w:r>
    </w:p>
    <w:p w14:paraId="4E004764" w14:textId="77777777" w:rsidR="003F57C9" w:rsidRPr="00694C5A" w:rsidRDefault="003F57C9" w:rsidP="003F57C9">
      <w:pPr>
        <w:spacing w:line="360" w:lineRule="auto"/>
        <w:contextualSpacing/>
        <w:rPr>
          <w:rFonts w:ascii="Arial" w:hAnsi="Arial" w:cs="Arial"/>
          <w:bCs/>
          <w:sz w:val="24"/>
        </w:rPr>
      </w:pPr>
      <w:r w:rsidRPr="00694C5A">
        <w:rPr>
          <w:rFonts w:ascii="Arial" w:hAnsi="Arial" w:cs="Arial"/>
          <w:bCs/>
          <w:sz w:val="24"/>
        </w:rPr>
        <w:t>实施时间：</w:t>
      </w:r>
      <w:r w:rsidRPr="00694C5A">
        <w:rPr>
          <w:rFonts w:ascii="Arial" w:hAnsi="Arial" w:cs="Arial" w:hint="eastAsia"/>
          <w:sz w:val="24"/>
        </w:rPr>
        <w:t>3</w:t>
      </w:r>
      <w:r w:rsidRPr="00694C5A">
        <w:rPr>
          <w:rFonts w:ascii="Arial" w:hAnsi="Arial" w:cs="Arial" w:hint="eastAsia"/>
          <w:sz w:val="24"/>
        </w:rPr>
        <w:t>年，合同一年一签。</w:t>
      </w:r>
    </w:p>
    <w:p w14:paraId="7BBF9B9E" w14:textId="77777777" w:rsidR="003F57C9" w:rsidRPr="00694C5A" w:rsidRDefault="003F57C9" w:rsidP="003F57C9">
      <w:pPr>
        <w:spacing w:line="360" w:lineRule="auto"/>
        <w:contextualSpacing/>
        <w:rPr>
          <w:rFonts w:ascii="Arial" w:hAnsi="Arial" w:cs="Arial"/>
          <w:bCs/>
          <w:sz w:val="24"/>
        </w:rPr>
      </w:pPr>
      <w:r w:rsidRPr="00694C5A">
        <w:rPr>
          <w:rFonts w:ascii="Arial" w:hAnsi="Arial" w:cs="Arial"/>
          <w:bCs/>
          <w:sz w:val="24"/>
        </w:rPr>
        <w:t>实施地点：</w:t>
      </w:r>
      <w:r w:rsidRPr="00694C5A">
        <w:rPr>
          <w:rFonts w:ascii="Arial" w:hAnsi="Arial" w:cs="Arial" w:hint="eastAsia"/>
          <w:sz w:val="24"/>
        </w:rPr>
        <w:t>采购人指定地点</w:t>
      </w:r>
    </w:p>
    <w:p w14:paraId="00C209DE" w14:textId="77777777" w:rsidR="003F57C9" w:rsidRPr="00694C5A" w:rsidRDefault="003F57C9" w:rsidP="003F57C9">
      <w:pPr>
        <w:spacing w:line="360" w:lineRule="auto"/>
        <w:contextualSpacing/>
        <w:rPr>
          <w:rFonts w:ascii="Arial" w:hAnsi="Arial" w:cs="Arial"/>
          <w:sz w:val="24"/>
        </w:rPr>
      </w:pPr>
      <w:r w:rsidRPr="00694C5A">
        <w:rPr>
          <w:rFonts w:ascii="Arial" w:hAnsi="Arial" w:cs="Arial"/>
          <w:sz w:val="24"/>
        </w:rPr>
        <w:t xml:space="preserve">2. </w:t>
      </w:r>
      <w:r w:rsidRPr="00694C5A">
        <w:rPr>
          <w:rFonts w:ascii="Arial" w:hAnsi="Arial" w:cs="Arial"/>
          <w:sz w:val="24"/>
        </w:rPr>
        <w:t>付款条件：</w:t>
      </w:r>
      <w:r w:rsidRPr="00694C5A">
        <w:rPr>
          <w:rFonts w:ascii="Arial" w:hAnsi="Arial" w:cs="Arial" w:hint="eastAsia"/>
          <w:sz w:val="24"/>
        </w:rPr>
        <w:t>具体</w:t>
      </w:r>
      <w:proofErr w:type="gramStart"/>
      <w:r w:rsidRPr="00694C5A">
        <w:rPr>
          <w:rFonts w:ascii="Arial" w:hAnsi="Arial" w:cs="Arial" w:hint="eastAsia"/>
          <w:sz w:val="24"/>
        </w:rPr>
        <w:t>见合同</w:t>
      </w:r>
      <w:proofErr w:type="gramEnd"/>
      <w:r w:rsidRPr="00694C5A">
        <w:rPr>
          <w:rFonts w:ascii="Arial" w:hAnsi="Arial" w:cs="Arial" w:hint="eastAsia"/>
          <w:sz w:val="24"/>
        </w:rPr>
        <w:t>相关条款</w:t>
      </w:r>
    </w:p>
    <w:p w14:paraId="2F013ABA" w14:textId="77777777" w:rsidR="003F57C9" w:rsidRPr="00694C5A" w:rsidRDefault="003F57C9" w:rsidP="003F57C9">
      <w:pPr>
        <w:spacing w:line="360" w:lineRule="auto"/>
        <w:contextualSpacing/>
        <w:rPr>
          <w:rFonts w:ascii="Arial" w:hAnsi="Arial" w:cs="Arial"/>
          <w:sz w:val="24"/>
        </w:rPr>
      </w:pPr>
      <w:r w:rsidRPr="00694C5A">
        <w:rPr>
          <w:rFonts w:ascii="Arial" w:hAnsi="Arial" w:cs="Arial"/>
          <w:sz w:val="24"/>
        </w:rPr>
        <w:t xml:space="preserve">3. </w:t>
      </w:r>
      <w:r w:rsidRPr="00694C5A">
        <w:rPr>
          <w:rFonts w:ascii="Arial" w:hAnsi="Arial" w:cs="Arial"/>
          <w:sz w:val="24"/>
        </w:rPr>
        <w:t>包装和运输（如适用，须满足《关于印发〈商品包装政府采购需求标准（试行）〉、〈快递包装政府采购需求标准（试行）〉的通知》（财办库﹝</w:t>
      </w:r>
      <w:r w:rsidRPr="00694C5A">
        <w:rPr>
          <w:rFonts w:ascii="Arial" w:hAnsi="Arial" w:cs="Arial"/>
          <w:sz w:val="24"/>
        </w:rPr>
        <w:t>2020</w:t>
      </w:r>
      <w:r w:rsidRPr="00694C5A">
        <w:rPr>
          <w:rFonts w:ascii="Arial" w:hAnsi="Arial" w:cs="Arial"/>
          <w:sz w:val="24"/>
        </w:rPr>
        <w:t>﹞</w:t>
      </w:r>
      <w:r w:rsidRPr="00694C5A">
        <w:rPr>
          <w:rFonts w:ascii="Arial" w:hAnsi="Arial" w:cs="Arial"/>
          <w:sz w:val="24"/>
        </w:rPr>
        <w:t>123</w:t>
      </w:r>
      <w:r w:rsidRPr="00694C5A">
        <w:rPr>
          <w:rFonts w:ascii="Arial" w:hAnsi="Arial" w:cs="Arial"/>
          <w:sz w:val="24"/>
        </w:rPr>
        <w:t>号））</w:t>
      </w:r>
      <w:r w:rsidRPr="00694C5A">
        <w:rPr>
          <w:rFonts w:ascii="Arial" w:hAnsi="Arial" w:cs="Arial" w:hint="eastAsia"/>
          <w:sz w:val="24"/>
        </w:rPr>
        <w:t>：报价必须包含包装和运输相关费用。</w:t>
      </w:r>
    </w:p>
    <w:p w14:paraId="5D36CA6F" w14:textId="77777777" w:rsidR="003F57C9" w:rsidRPr="00694C5A" w:rsidRDefault="003F57C9" w:rsidP="003F57C9">
      <w:pPr>
        <w:spacing w:line="360" w:lineRule="auto"/>
        <w:contextualSpacing/>
        <w:rPr>
          <w:rFonts w:ascii="Arial" w:hAnsi="Arial" w:cs="Arial"/>
          <w:sz w:val="24"/>
        </w:rPr>
      </w:pPr>
      <w:r w:rsidRPr="00694C5A">
        <w:rPr>
          <w:rFonts w:ascii="Arial" w:hAnsi="Arial" w:cs="Arial"/>
          <w:sz w:val="24"/>
        </w:rPr>
        <w:t xml:space="preserve">4. </w:t>
      </w:r>
      <w:r w:rsidRPr="00694C5A">
        <w:rPr>
          <w:rFonts w:ascii="Arial" w:hAnsi="Arial" w:cs="Arial"/>
          <w:sz w:val="24"/>
        </w:rPr>
        <w:t>售后服务（质保期）：详见合同条款</w:t>
      </w:r>
    </w:p>
    <w:p w14:paraId="1A00FA00" w14:textId="77777777" w:rsidR="003F57C9" w:rsidRPr="00694C5A" w:rsidRDefault="003F57C9" w:rsidP="003F57C9">
      <w:pPr>
        <w:spacing w:line="360" w:lineRule="auto"/>
        <w:contextualSpacing/>
        <w:rPr>
          <w:rFonts w:ascii="Arial" w:hAnsi="Arial" w:cs="Arial"/>
          <w:sz w:val="24"/>
        </w:rPr>
      </w:pPr>
      <w:r w:rsidRPr="00694C5A">
        <w:rPr>
          <w:rFonts w:ascii="Arial" w:hAnsi="Arial" w:cs="Arial"/>
          <w:sz w:val="24"/>
        </w:rPr>
        <w:t xml:space="preserve">5. </w:t>
      </w:r>
      <w:r w:rsidRPr="00694C5A">
        <w:rPr>
          <w:rFonts w:ascii="Arial" w:hAnsi="Arial" w:cs="Arial"/>
          <w:sz w:val="24"/>
        </w:rPr>
        <w:t>保险（如适用）：详见合同条款</w:t>
      </w:r>
    </w:p>
    <w:p w14:paraId="3283A2EC" w14:textId="77777777" w:rsidR="003F57C9" w:rsidRPr="00694C5A" w:rsidRDefault="003F57C9" w:rsidP="003F57C9">
      <w:pPr>
        <w:pStyle w:val="11"/>
        <w:numPr>
          <w:ilvl w:val="0"/>
          <w:numId w:val="1"/>
        </w:numPr>
        <w:tabs>
          <w:tab w:val="left" w:pos="312"/>
        </w:tabs>
        <w:spacing w:line="360" w:lineRule="auto"/>
        <w:ind w:firstLineChars="0"/>
        <w:contextualSpacing/>
        <w:rPr>
          <w:rFonts w:ascii="Arial" w:hAnsi="Arial" w:cs="Arial"/>
          <w:b/>
          <w:sz w:val="24"/>
          <w:szCs w:val="24"/>
        </w:rPr>
      </w:pPr>
      <w:r w:rsidRPr="00694C5A">
        <w:rPr>
          <w:rFonts w:ascii="Arial" w:hAnsi="Arial" w:cs="Arial"/>
          <w:b/>
          <w:sz w:val="24"/>
          <w:szCs w:val="24"/>
        </w:rPr>
        <w:t>技术要求</w:t>
      </w:r>
    </w:p>
    <w:p w14:paraId="7F0E182A" w14:textId="77777777" w:rsidR="003F57C9" w:rsidRPr="00694C5A" w:rsidRDefault="003F57C9" w:rsidP="003F57C9">
      <w:pPr>
        <w:spacing w:line="360" w:lineRule="auto"/>
        <w:contextualSpacing/>
        <w:rPr>
          <w:rFonts w:ascii="Arial" w:hAnsi="Arial" w:cs="Arial"/>
          <w:sz w:val="24"/>
        </w:rPr>
      </w:pPr>
      <w:r w:rsidRPr="00694C5A">
        <w:rPr>
          <w:rFonts w:ascii="Arial" w:hAnsi="Arial" w:cs="Arial"/>
          <w:sz w:val="24"/>
        </w:rPr>
        <w:t>（一）基本要求</w:t>
      </w:r>
    </w:p>
    <w:p w14:paraId="5AC1FAB1" w14:textId="77777777" w:rsidR="003F57C9" w:rsidRPr="00694C5A" w:rsidRDefault="003F57C9" w:rsidP="003F57C9">
      <w:pPr>
        <w:pStyle w:val="11"/>
        <w:spacing w:line="360" w:lineRule="auto"/>
        <w:ind w:firstLineChars="0" w:firstLine="0"/>
        <w:contextualSpacing/>
        <w:rPr>
          <w:rFonts w:ascii="Arial" w:hAnsi="Arial" w:cs="Arial"/>
          <w:bCs/>
          <w:sz w:val="24"/>
          <w:szCs w:val="24"/>
        </w:rPr>
      </w:pPr>
      <w:r w:rsidRPr="00694C5A">
        <w:rPr>
          <w:rFonts w:ascii="Arial" w:hAnsi="Arial" w:cs="Arial"/>
          <w:bCs/>
          <w:sz w:val="24"/>
          <w:szCs w:val="24"/>
        </w:rPr>
        <w:t xml:space="preserve">1. </w:t>
      </w:r>
      <w:r w:rsidRPr="00694C5A">
        <w:rPr>
          <w:rFonts w:ascii="Arial" w:hAnsi="Arial" w:cs="Arial"/>
          <w:bCs/>
          <w:sz w:val="24"/>
          <w:szCs w:val="24"/>
        </w:rPr>
        <w:t>采购标的需实现的功能或者目标：</w:t>
      </w:r>
    </w:p>
    <w:p w14:paraId="5EBB46D2" w14:textId="77777777" w:rsidR="003F57C9" w:rsidRPr="00694C5A" w:rsidRDefault="003F57C9" w:rsidP="003F57C9">
      <w:pPr>
        <w:pStyle w:val="11"/>
        <w:spacing w:line="360" w:lineRule="auto"/>
        <w:ind w:firstLine="480"/>
        <w:contextualSpacing/>
        <w:rPr>
          <w:rFonts w:ascii="Arial" w:hAnsi="Arial" w:cs="Arial"/>
          <w:bCs/>
          <w:sz w:val="24"/>
          <w:szCs w:val="24"/>
        </w:rPr>
      </w:pPr>
      <w:r w:rsidRPr="00694C5A">
        <w:rPr>
          <w:rFonts w:ascii="Arial" w:hAnsi="Arial" w:cs="Arial" w:hint="eastAsia"/>
          <w:bCs/>
          <w:sz w:val="24"/>
          <w:szCs w:val="24"/>
        </w:rPr>
        <w:t>本次招标为</w:t>
      </w:r>
      <w:r w:rsidRPr="00694C5A">
        <w:rPr>
          <w:rFonts w:ascii="Arial" w:hAnsi="Arial" w:cs="Arial"/>
          <w:sz w:val="24"/>
        </w:rPr>
        <w:t>首都医科大学附属北京安贞医院法律顾问服务</w:t>
      </w:r>
      <w:r w:rsidRPr="00694C5A">
        <w:rPr>
          <w:rFonts w:ascii="Arial" w:hAnsi="Arial" w:cs="Arial" w:hint="eastAsia"/>
          <w:bCs/>
          <w:sz w:val="24"/>
          <w:szCs w:val="24"/>
        </w:rPr>
        <w:t>，投标人应根据招标文件所提出的设备技术规格和服务要求，综合考虑服务的适用性。投标人应以技术先进的设备、优良的服务和优惠的价格，充分显示自己的竞争实力。</w:t>
      </w:r>
    </w:p>
    <w:p w14:paraId="5198BD0E" w14:textId="77777777" w:rsidR="003F57C9" w:rsidRPr="00694C5A" w:rsidRDefault="003F57C9" w:rsidP="003F57C9">
      <w:pPr>
        <w:pStyle w:val="11"/>
        <w:spacing w:line="360" w:lineRule="auto"/>
        <w:ind w:firstLineChars="0" w:firstLine="0"/>
        <w:contextualSpacing/>
        <w:rPr>
          <w:rFonts w:ascii="Arial" w:hAnsi="Arial" w:cs="Arial"/>
          <w:bCs/>
          <w:sz w:val="24"/>
          <w:szCs w:val="24"/>
        </w:rPr>
      </w:pPr>
      <w:r w:rsidRPr="00694C5A">
        <w:rPr>
          <w:rFonts w:ascii="Arial" w:hAnsi="Arial" w:cs="Arial"/>
          <w:bCs/>
          <w:sz w:val="24"/>
          <w:szCs w:val="24"/>
        </w:rPr>
        <w:t>2.</w:t>
      </w:r>
      <w:r w:rsidRPr="00694C5A">
        <w:rPr>
          <w:rFonts w:ascii="Arial" w:hAnsi="Arial" w:cs="Arial"/>
          <w:bCs/>
          <w:sz w:val="24"/>
          <w:szCs w:val="24"/>
        </w:rPr>
        <w:t>需执行的国家相关标准、行业标准、地方标准或者其他标准、规范：</w:t>
      </w:r>
    </w:p>
    <w:p w14:paraId="6B99A8F6" w14:textId="77777777" w:rsidR="003F57C9" w:rsidRPr="00694C5A" w:rsidRDefault="003F57C9" w:rsidP="003F57C9">
      <w:pPr>
        <w:pStyle w:val="11"/>
        <w:spacing w:line="360" w:lineRule="auto"/>
        <w:ind w:firstLineChars="0" w:firstLine="0"/>
        <w:contextualSpacing/>
        <w:rPr>
          <w:rFonts w:ascii="Arial" w:hAnsi="Arial" w:cs="Arial"/>
          <w:bCs/>
          <w:sz w:val="24"/>
          <w:szCs w:val="24"/>
        </w:rPr>
      </w:pPr>
      <w:r w:rsidRPr="00694C5A">
        <w:rPr>
          <w:rFonts w:ascii="Arial" w:hAnsi="Arial" w:cs="Arial"/>
          <w:bCs/>
          <w:sz w:val="24"/>
          <w:szCs w:val="24"/>
        </w:rPr>
        <w:t>符合已颁布的现行中华人民共和国认可的国家标准、地方标准和行业标准。如果这些标准内容有矛盾时，应按最高标准的条款执行。</w:t>
      </w:r>
    </w:p>
    <w:p w14:paraId="00F3CE45" w14:textId="77777777" w:rsidR="003F57C9" w:rsidRPr="00694C5A" w:rsidRDefault="003F57C9" w:rsidP="003F57C9">
      <w:pPr>
        <w:pStyle w:val="11"/>
        <w:spacing w:line="360" w:lineRule="auto"/>
        <w:ind w:firstLineChars="0" w:firstLine="0"/>
        <w:contextualSpacing/>
        <w:rPr>
          <w:rFonts w:ascii="Arial" w:hAnsi="Arial" w:cs="Arial"/>
          <w:bCs/>
          <w:sz w:val="24"/>
          <w:szCs w:val="24"/>
        </w:rPr>
      </w:pPr>
      <w:bookmarkStart w:id="4" w:name="_Hlk116309730"/>
      <w:bookmarkEnd w:id="3"/>
      <w:r w:rsidRPr="00694C5A">
        <w:rPr>
          <w:rFonts w:ascii="Arial" w:hAnsi="Arial" w:cs="Arial"/>
          <w:bCs/>
          <w:sz w:val="24"/>
          <w:szCs w:val="24"/>
        </w:rPr>
        <w:t>（二）服务内容及要求</w:t>
      </w:r>
    </w:p>
    <w:bookmarkEnd w:id="0"/>
    <w:bookmarkEnd w:id="1"/>
    <w:bookmarkEnd w:id="4"/>
    <w:p w14:paraId="243CEBEF" w14:textId="77777777" w:rsidR="003F57C9" w:rsidRPr="00694C5A" w:rsidRDefault="003F57C9" w:rsidP="003F57C9">
      <w:pPr>
        <w:spacing w:line="360" w:lineRule="auto"/>
        <w:ind w:firstLineChars="300" w:firstLine="723"/>
        <w:jc w:val="left"/>
        <w:rPr>
          <w:rFonts w:ascii="Arial" w:hAnsi="Arial" w:cs="Arial"/>
          <w:b/>
          <w:sz w:val="24"/>
        </w:rPr>
      </w:pPr>
      <w:r w:rsidRPr="00694C5A">
        <w:rPr>
          <w:rFonts w:ascii="Arial" w:hAnsi="Arial" w:cs="Arial" w:hint="eastAsia"/>
          <w:b/>
          <w:sz w:val="24"/>
        </w:rPr>
        <w:lastRenderedPageBreak/>
        <w:t>一）非诉类法律服务</w:t>
      </w:r>
    </w:p>
    <w:p w14:paraId="5033F283" w14:textId="77777777" w:rsidR="003F57C9" w:rsidRPr="00694C5A" w:rsidRDefault="003F57C9" w:rsidP="003F57C9">
      <w:pPr>
        <w:spacing w:line="360" w:lineRule="auto"/>
        <w:ind w:firstLineChars="300" w:firstLine="723"/>
        <w:jc w:val="left"/>
        <w:rPr>
          <w:rFonts w:ascii="Arial" w:hAnsi="Arial" w:cs="Arial"/>
          <w:b/>
          <w:sz w:val="24"/>
        </w:rPr>
      </w:pPr>
      <w:r w:rsidRPr="00694C5A">
        <w:rPr>
          <w:rFonts w:ascii="Arial" w:hAnsi="Arial" w:cs="Arial" w:hint="eastAsia"/>
          <w:b/>
          <w:sz w:val="24"/>
        </w:rPr>
        <w:t>1.</w:t>
      </w:r>
      <w:r w:rsidRPr="00694C5A">
        <w:rPr>
          <w:rFonts w:ascii="Arial" w:hAnsi="Arial" w:cs="Arial" w:hint="eastAsia"/>
          <w:b/>
          <w:sz w:val="24"/>
        </w:rPr>
        <w:t>合同及制度审查</w:t>
      </w:r>
    </w:p>
    <w:p w14:paraId="73EB63E4"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）根据医院审计部门的要求，负责经济类合同的审查并出具律师意见。</w:t>
      </w:r>
    </w:p>
    <w:p w14:paraId="28641153"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）根据医院审计部门的要求，审查、拟定建设工程类合同并出具律师意见。</w:t>
      </w:r>
    </w:p>
    <w:p w14:paraId="21F95B6B"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3</w:t>
      </w:r>
      <w:r w:rsidRPr="00694C5A">
        <w:rPr>
          <w:rFonts w:ascii="Arial" w:hAnsi="Arial" w:cs="Arial" w:hint="eastAsia"/>
          <w:bCs/>
          <w:sz w:val="24"/>
        </w:rPr>
        <w:t>）根据医院的要求，负责临床试验类、教学科研及教学科研合作类合同的审查并出具律师意见。</w:t>
      </w:r>
    </w:p>
    <w:p w14:paraId="7634EF89"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4</w:t>
      </w:r>
      <w:r w:rsidRPr="00694C5A">
        <w:rPr>
          <w:rFonts w:ascii="Arial" w:hAnsi="Arial" w:cs="Arial" w:hint="eastAsia"/>
          <w:bCs/>
          <w:sz w:val="24"/>
        </w:rPr>
        <w:t>）根据医院的要求，负责医院对外合作、新建医疗机构类合同的审查、拟定并出具律师意见。</w:t>
      </w:r>
    </w:p>
    <w:p w14:paraId="67D6488A"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5</w:t>
      </w:r>
      <w:r w:rsidRPr="00694C5A">
        <w:rPr>
          <w:rFonts w:ascii="Arial" w:hAnsi="Arial" w:cs="Arial" w:hint="eastAsia"/>
          <w:bCs/>
          <w:sz w:val="24"/>
        </w:rPr>
        <w:t>）根据医院要求，为医院审查、修改、草拟院内各类规章制度。</w:t>
      </w:r>
    </w:p>
    <w:p w14:paraId="22A9B405"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6</w:t>
      </w:r>
      <w:r w:rsidRPr="00694C5A">
        <w:rPr>
          <w:rFonts w:ascii="Arial" w:hAnsi="Arial" w:cs="Arial" w:hint="eastAsia"/>
          <w:bCs/>
          <w:sz w:val="24"/>
        </w:rPr>
        <w:t>）参与经济合同谈判。</w:t>
      </w:r>
    </w:p>
    <w:p w14:paraId="636BEE25" w14:textId="77777777" w:rsidR="003F57C9" w:rsidRPr="00694C5A" w:rsidRDefault="003F57C9" w:rsidP="003F57C9">
      <w:pPr>
        <w:spacing w:line="360" w:lineRule="auto"/>
        <w:ind w:firstLineChars="300" w:firstLine="723"/>
        <w:jc w:val="left"/>
        <w:rPr>
          <w:rFonts w:ascii="Arial" w:hAnsi="Arial" w:cs="Arial"/>
          <w:b/>
          <w:sz w:val="24"/>
        </w:rPr>
      </w:pPr>
      <w:r w:rsidRPr="00694C5A">
        <w:rPr>
          <w:rFonts w:ascii="Arial" w:hAnsi="Arial" w:cs="Arial" w:hint="eastAsia"/>
          <w:b/>
          <w:sz w:val="24"/>
        </w:rPr>
        <w:t>2.</w:t>
      </w:r>
      <w:r w:rsidRPr="00694C5A">
        <w:rPr>
          <w:rFonts w:ascii="Arial" w:hAnsi="Arial" w:cs="Arial" w:hint="eastAsia"/>
          <w:b/>
          <w:sz w:val="24"/>
        </w:rPr>
        <w:t>医疗投诉和纠纷的处置</w:t>
      </w:r>
      <w:r w:rsidRPr="00694C5A">
        <w:rPr>
          <w:rFonts w:ascii="Arial" w:hAnsi="Arial" w:cs="Arial" w:hint="eastAsia"/>
          <w:b/>
          <w:sz w:val="24"/>
        </w:rPr>
        <w:t xml:space="preserve"> </w:t>
      </w:r>
    </w:p>
    <w:p w14:paraId="3E9BE279"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）根据</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患办公室转交的要求，协助医疗投诉和纠纷的处理。</w:t>
      </w:r>
    </w:p>
    <w:p w14:paraId="7D4C1E69"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）根据</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转交的要求，就具体事项负责与患者或家属进行及时的沟通谈话，对患者投诉的问题进行适当的解释，对处理经过的关键环节进行书面记录；在医院要求时间内组织医务人员、患者正式谈话，书写《谈话记录》，协助</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患办公室进行投诉或纠纷的协调解决。</w:t>
      </w:r>
    </w:p>
    <w:p w14:paraId="6C3795E8"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3</w:t>
      </w:r>
      <w:r w:rsidRPr="00694C5A">
        <w:rPr>
          <w:rFonts w:ascii="Arial" w:hAnsi="Arial" w:cs="Arial" w:hint="eastAsia"/>
          <w:bCs/>
          <w:sz w:val="24"/>
        </w:rPr>
        <w:t>）对于需要书面答复的患者或家属，协助完成书面意见的撰写，并在规定时间内完成答复工作。</w:t>
      </w:r>
    </w:p>
    <w:p w14:paraId="2B7ED78C"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4</w:t>
      </w:r>
      <w:r w:rsidRPr="00694C5A">
        <w:rPr>
          <w:rFonts w:ascii="Arial" w:hAnsi="Arial" w:cs="Arial" w:hint="eastAsia"/>
          <w:bCs/>
          <w:sz w:val="24"/>
        </w:rPr>
        <w:t>）引导患者或家属通过合理、合法途径解决医疗纠纷。</w:t>
      </w:r>
    </w:p>
    <w:p w14:paraId="3C1FEFD9" w14:textId="77777777" w:rsidR="003F57C9" w:rsidRPr="00694C5A" w:rsidRDefault="003F57C9" w:rsidP="003F57C9">
      <w:pPr>
        <w:spacing w:line="360" w:lineRule="auto"/>
        <w:ind w:firstLineChars="200" w:firstLine="482"/>
        <w:jc w:val="left"/>
        <w:rPr>
          <w:rFonts w:ascii="Arial" w:hAnsi="Arial" w:cs="Arial"/>
          <w:b/>
          <w:sz w:val="24"/>
        </w:rPr>
      </w:pPr>
      <w:r w:rsidRPr="00694C5A">
        <w:rPr>
          <w:rFonts w:ascii="Arial" w:hAnsi="Arial" w:cs="Arial" w:hint="eastAsia"/>
          <w:b/>
          <w:sz w:val="24"/>
        </w:rPr>
        <w:t>3.</w:t>
      </w:r>
      <w:r w:rsidRPr="00694C5A">
        <w:rPr>
          <w:rFonts w:ascii="Arial" w:hAnsi="Arial" w:cs="Arial" w:hint="eastAsia"/>
          <w:b/>
          <w:sz w:val="24"/>
        </w:rPr>
        <w:t>医疗投诉和纠纷的</w:t>
      </w:r>
      <w:r>
        <w:rPr>
          <w:rFonts w:ascii="Arial" w:hAnsi="Arial" w:cs="Arial" w:hint="eastAsia"/>
          <w:b/>
          <w:sz w:val="24"/>
        </w:rPr>
        <w:t>处理</w:t>
      </w:r>
    </w:p>
    <w:p w14:paraId="30413771"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）协助</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患办公室与北京市医疗纠纷人民调解委员会沟通，协助准备调解所需的相关病历资料等相关证据材料，组织院内科室的沟通会达成院内一致意见，完成纠纷陈述意见的撰写，并根据</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患办公室的要求代表医院与北京市医疗纠纷人民调解委员会和患方进行调解沟通，以及其他各项调解工作并签订三方调解协议书。</w:t>
      </w:r>
    </w:p>
    <w:p w14:paraId="50F8BB33"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）对于已签订调解协议书的医疗纠纷，经与</w:t>
      </w:r>
      <w:proofErr w:type="gramStart"/>
      <w:r w:rsidRPr="00694C5A">
        <w:rPr>
          <w:rFonts w:ascii="Arial" w:hAnsi="Arial" w:cs="Arial" w:hint="eastAsia"/>
          <w:bCs/>
          <w:sz w:val="24"/>
        </w:rPr>
        <w:t>医</w:t>
      </w:r>
      <w:proofErr w:type="gramEnd"/>
      <w:r w:rsidRPr="00694C5A">
        <w:rPr>
          <w:rFonts w:ascii="Arial" w:hAnsi="Arial" w:cs="Arial" w:hint="eastAsia"/>
          <w:bCs/>
          <w:sz w:val="24"/>
        </w:rPr>
        <w:t>患协商后，协助</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患办公室完成司法确认工作，作为医院代理完成司法确认书的签订。</w:t>
      </w:r>
    </w:p>
    <w:p w14:paraId="71326280" w14:textId="77777777" w:rsidR="003F57C9" w:rsidRPr="00694C5A" w:rsidRDefault="003F57C9" w:rsidP="003F57C9">
      <w:pPr>
        <w:spacing w:line="360" w:lineRule="auto"/>
        <w:ind w:firstLineChars="200" w:firstLine="482"/>
        <w:jc w:val="left"/>
        <w:rPr>
          <w:rFonts w:ascii="Arial" w:hAnsi="Arial" w:cs="Arial"/>
          <w:b/>
          <w:sz w:val="24"/>
        </w:rPr>
      </w:pPr>
      <w:r w:rsidRPr="00694C5A">
        <w:rPr>
          <w:rFonts w:ascii="Arial" w:hAnsi="Arial" w:cs="Arial" w:hint="eastAsia"/>
          <w:b/>
          <w:sz w:val="24"/>
        </w:rPr>
        <w:t>4.</w:t>
      </w:r>
      <w:r w:rsidRPr="00694C5A">
        <w:rPr>
          <w:rFonts w:ascii="Arial" w:hAnsi="Arial" w:cs="Arial" w:hint="eastAsia"/>
          <w:b/>
          <w:sz w:val="24"/>
        </w:rPr>
        <w:t>医疗（事故）鉴定处置</w:t>
      </w:r>
    </w:p>
    <w:p w14:paraId="34F9B393"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lastRenderedPageBreak/>
        <w:t>（</w:t>
      </w:r>
      <w:r w:rsidRPr="00694C5A">
        <w:rPr>
          <w:rFonts w:ascii="Arial" w:hAnsi="Arial" w:cs="Arial" w:hint="eastAsia"/>
          <w:bCs/>
          <w:sz w:val="24"/>
        </w:rPr>
        <w:t>1</w:t>
      </w:r>
      <w:r w:rsidRPr="00694C5A">
        <w:rPr>
          <w:rFonts w:ascii="Arial" w:hAnsi="Arial" w:cs="Arial" w:hint="eastAsia"/>
          <w:bCs/>
          <w:sz w:val="24"/>
        </w:rPr>
        <w:t>）代理医院参加各级医学会的医疗事故鉴定：负责鉴定前院内讨论、鉴定会院内专家组织、鉴定陈述材料准备，并代表医院完成鉴定的相关程序并随同院内专家一起参加鉴定会。</w:t>
      </w:r>
    </w:p>
    <w:p w14:paraId="6A6AD79B"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）在医疗纠纷诉讼过程中，负责鉴定前院内讨论、鉴定会院内专家组织、鉴定陈述材料准备，并代表医院完成鉴定的相关程序并随同院内专家一起参加鉴定会。</w:t>
      </w:r>
    </w:p>
    <w:p w14:paraId="1FDE40E8" w14:textId="77777777" w:rsidR="003F57C9" w:rsidRPr="00694C5A" w:rsidRDefault="003F57C9" w:rsidP="003F57C9">
      <w:pPr>
        <w:spacing w:line="360" w:lineRule="auto"/>
        <w:ind w:firstLineChars="200" w:firstLine="482"/>
        <w:jc w:val="left"/>
        <w:rPr>
          <w:rFonts w:ascii="Arial" w:hAnsi="Arial" w:cs="Arial"/>
          <w:b/>
          <w:sz w:val="24"/>
        </w:rPr>
      </w:pPr>
      <w:r w:rsidRPr="00694C5A">
        <w:rPr>
          <w:rFonts w:ascii="Arial" w:hAnsi="Arial" w:cs="Arial" w:hint="eastAsia"/>
          <w:b/>
          <w:sz w:val="24"/>
        </w:rPr>
        <w:t>5.</w:t>
      </w:r>
      <w:r w:rsidRPr="00694C5A">
        <w:rPr>
          <w:rFonts w:ascii="Arial" w:hAnsi="Arial" w:cs="Arial" w:hint="eastAsia"/>
          <w:b/>
          <w:sz w:val="24"/>
        </w:rPr>
        <w:t>统筹律师见证工作</w:t>
      </w:r>
    </w:p>
    <w:p w14:paraId="2C6CD7D4"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）负责院内各科室的律师见证工作。统一预约安排律师见证的管理工作，负责解答双方与见证业务相关法律咨询，并在见证结束后五个工作日内出具正式律师见证书。</w:t>
      </w:r>
    </w:p>
    <w:p w14:paraId="66A0A7CB" w14:textId="77777777" w:rsidR="003F57C9" w:rsidRPr="00694C5A" w:rsidRDefault="003F57C9" w:rsidP="003F57C9">
      <w:pPr>
        <w:spacing w:line="360" w:lineRule="auto"/>
        <w:ind w:firstLineChars="200" w:firstLine="482"/>
        <w:jc w:val="left"/>
        <w:rPr>
          <w:rFonts w:ascii="Arial" w:hAnsi="Arial" w:cs="Arial"/>
          <w:b/>
          <w:sz w:val="24"/>
        </w:rPr>
      </w:pPr>
      <w:r w:rsidRPr="00694C5A">
        <w:rPr>
          <w:rFonts w:ascii="Arial" w:hAnsi="Arial" w:cs="Arial" w:hint="eastAsia"/>
          <w:b/>
          <w:sz w:val="24"/>
        </w:rPr>
        <w:t>6.</w:t>
      </w:r>
      <w:r w:rsidRPr="00694C5A">
        <w:rPr>
          <w:rFonts w:ascii="Arial" w:hAnsi="Arial" w:cs="Arial" w:hint="eastAsia"/>
          <w:b/>
          <w:sz w:val="24"/>
        </w:rPr>
        <w:t>院内医疗安全风险防控</w:t>
      </w:r>
    </w:p>
    <w:p w14:paraId="3C521766"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）按医院要求参加重点纠纷隐患病例的院内多科会诊工作，必要时协助主管医师与患者或家属进行病情及治疗措施的告知，参加术前谈话。</w:t>
      </w:r>
    </w:p>
    <w:p w14:paraId="3458792D"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）负责院内法律培训工作。制定年度培训计划，培训内容以</w:t>
      </w:r>
      <w:proofErr w:type="gramStart"/>
      <w:r w:rsidRPr="00694C5A">
        <w:rPr>
          <w:rFonts w:ascii="Arial" w:hAnsi="Arial" w:cs="Arial" w:hint="eastAsia"/>
          <w:bCs/>
          <w:sz w:val="24"/>
        </w:rPr>
        <w:t>医</w:t>
      </w:r>
      <w:proofErr w:type="gramEnd"/>
      <w:r w:rsidRPr="00694C5A">
        <w:rPr>
          <w:rFonts w:ascii="Arial" w:hAnsi="Arial" w:cs="Arial" w:hint="eastAsia"/>
          <w:bCs/>
          <w:sz w:val="24"/>
        </w:rPr>
        <w:t>患纠纷、医疗风险防范、医疗法律普及、医疗政策宣传等相关法律法规知识为主，高风险科室每年至少完成</w:t>
      </w:r>
      <w:r w:rsidRPr="00694C5A">
        <w:rPr>
          <w:rFonts w:ascii="Arial" w:hAnsi="Arial" w:cs="Arial" w:hint="eastAsia"/>
          <w:bCs/>
          <w:sz w:val="24"/>
        </w:rPr>
        <w:t>3</w:t>
      </w:r>
      <w:r w:rsidRPr="00694C5A">
        <w:rPr>
          <w:rFonts w:ascii="Arial" w:hAnsi="Arial" w:cs="Arial" w:hint="eastAsia"/>
          <w:bCs/>
          <w:sz w:val="24"/>
        </w:rPr>
        <w:t>次相应的法律知识培训。</w:t>
      </w:r>
    </w:p>
    <w:p w14:paraId="412D7403"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3</w:t>
      </w:r>
      <w:r w:rsidRPr="00694C5A">
        <w:rPr>
          <w:rFonts w:ascii="Arial" w:hAnsi="Arial" w:cs="Arial" w:hint="eastAsia"/>
          <w:bCs/>
          <w:sz w:val="24"/>
        </w:rPr>
        <w:t>）随时为临床提出的医疗法律问题，提供法律咨询服务。</w:t>
      </w:r>
    </w:p>
    <w:p w14:paraId="07C86791"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4</w:t>
      </w:r>
      <w:r w:rsidRPr="00694C5A">
        <w:rPr>
          <w:rFonts w:ascii="Arial" w:hAnsi="Arial" w:cs="Arial" w:hint="eastAsia"/>
          <w:bCs/>
          <w:sz w:val="24"/>
        </w:rPr>
        <w:t>）协助医院处置涉</w:t>
      </w:r>
      <w:proofErr w:type="gramStart"/>
      <w:r w:rsidRPr="00694C5A">
        <w:rPr>
          <w:rFonts w:ascii="Arial" w:hAnsi="Arial" w:cs="Arial" w:hint="eastAsia"/>
          <w:bCs/>
          <w:sz w:val="24"/>
        </w:rPr>
        <w:t>医</w:t>
      </w:r>
      <w:proofErr w:type="gramEnd"/>
      <w:r w:rsidRPr="00694C5A">
        <w:rPr>
          <w:rFonts w:ascii="Arial" w:hAnsi="Arial" w:cs="Arial" w:hint="eastAsia"/>
          <w:bCs/>
          <w:sz w:val="24"/>
        </w:rPr>
        <w:t>安全（隐患）事件和重大突发事件。</w:t>
      </w:r>
    </w:p>
    <w:p w14:paraId="2E39DC4D" w14:textId="77777777" w:rsidR="003F57C9" w:rsidRPr="00694C5A" w:rsidRDefault="003F57C9" w:rsidP="003F57C9">
      <w:pPr>
        <w:spacing w:line="360" w:lineRule="auto"/>
        <w:ind w:firstLineChars="200" w:firstLine="482"/>
        <w:jc w:val="left"/>
        <w:rPr>
          <w:rFonts w:ascii="Arial" w:hAnsi="Arial" w:cs="Arial"/>
          <w:b/>
          <w:sz w:val="24"/>
        </w:rPr>
      </w:pPr>
      <w:r w:rsidRPr="00694C5A">
        <w:rPr>
          <w:rFonts w:ascii="Arial" w:hAnsi="Arial" w:cs="Arial" w:hint="eastAsia"/>
          <w:b/>
          <w:sz w:val="24"/>
        </w:rPr>
        <w:t>7.</w:t>
      </w:r>
      <w:r w:rsidRPr="00694C5A">
        <w:rPr>
          <w:rFonts w:ascii="Arial" w:hAnsi="Arial" w:cs="Arial" w:hint="eastAsia"/>
          <w:b/>
          <w:sz w:val="24"/>
        </w:rPr>
        <w:t>医学伦理事项的处置</w:t>
      </w:r>
    </w:p>
    <w:p w14:paraId="7CC53968"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）根据医院伦理委员会的要求，指派专业、专人参加伦理委员会会议，并出具意见。</w:t>
      </w:r>
    </w:p>
    <w:p w14:paraId="353836E7" w14:textId="77777777" w:rsidR="003F57C9" w:rsidRPr="00694C5A" w:rsidRDefault="003F57C9" w:rsidP="003F57C9">
      <w:pPr>
        <w:spacing w:line="360" w:lineRule="auto"/>
        <w:ind w:leftChars="200" w:left="42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）根据医院医务处、</w:t>
      </w:r>
      <w:proofErr w:type="gramStart"/>
      <w:r w:rsidRPr="00694C5A">
        <w:rPr>
          <w:rFonts w:ascii="Arial" w:hAnsi="Arial" w:cs="Arial" w:hint="eastAsia"/>
          <w:bCs/>
          <w:sz w:val="24"/>
        </w:rPr>
        <w:t>医</w:t>
      </w:r>
      <w:proofErr w:type="gramEnd"/>
      <w:r w:rsidRPr="00694C5A">
        <w:rPr>
          <w:rFonts w:ascii="Arial" w:hAnsi="Arial" w:cs="Arial" w:hint="eastAsia"/>
          <w:bCs/>
          <w:sz w:val="24"/>
        </w:rPr>
        <w:t>患办公室、药物临床试验机构或医院临床科室的要求，为医院解答、回复涉及医学伦理事项的问题，并出具书面意见。</w:t>
      </w:r>
    </w:p>
    <w:p w14:paraId="489F19F4" w14:textId="77777777" w:rsidR="003F57C9" w:rsidRPr="00694C5A" w:rsidRDefault="003F57C9" w:rsidP="003F57C9">
      <w:pPr>
        <w:spacing w:line="360" w:lineRule="auto"/>
        <w:ind w:firstLineChars="200" w:firstLine="482"/>
        <w:jc w:val="left"/>
        <w:rPr>
          <w:rFonts w:ascii="Arial" w:hAnsi="Arial" w:cs="Arial"/>
          <w:b/>
          <w:sz w:val="24"/>
        </w:rPr>
      </w:pPr>
      <w:r w:rsidRPr="00694C5A">
        <w:rPr>
          <w:rFonts w:ascii="Arial" w:hAnsi="Arial" w:cs="Arial" w:hint="eastAsia"/>
          <w:b/>
          <w:sz w:val="24"/>
        </w:rPr>
        <w:t>8.</w:t>
      </w:r>
      <w:r w:rsidRPr="00694C5A">
        <w:rPr>
          <w:rFonts w:ascii="Arial" w:hAnsi="Arial" w:cs="Arial" w:hint="eastAsia"/>
          <w:b/>
          <w:sz w:val="24"/>
        </w:rPr>
        <w:t>业务科研能力</w:t>
      </w:r>
    </w:p>
    <w:p w14:paraId="1AB37DE9"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1</w:t>
      </w:r>
      <w:r w:rsidRPr="00694C5A">
        <w:rPr>
          <w:rFonts w:ascii="Arial" w:hAnsi="Arial" w:cs="Arial" w:hint="eastAsia"/>
          <w:bCs/>
          <w:sz w:val="24"/>
        </w:rPr>
        <w:t>）具有医疗卫生立法及医学伦理研究的参与经验。</w:t>
      </w:r>
    </w:p>
    <w:p w14:paraId="72F20612"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2</w:t>
      </w:r>
      <w:r w:rsidRPr="00694C5A">
        <w:rPr>
          <w:rFonts w:ascii="Arial" w:hAnsi="Arial" w:cs="Arial" w:hint="eastAsia"/>
          <w:bCs/>
          <w:sz w:val="24"/>
        </w:rPr>
        <w:t>）具有丰富的各级</w:t>
      </w:r>
      <w:proofErr w:type="gramStart"/>
      <w:r w:rsidRPr="00694C5A">
        <w:rPr>
          <w:rFonts w:ascii="Arial" w:hAnsi="Arial" w:cs="Arial" w:hint="eastAsia"/>
          <w:bCs/>
          <w:sz w:val="24"/>
        </w:rPr>
        <w:t>各类涉医事</w:t>
      </w:r>
      <w:proofErr w:type="gramEnd"/>
      <w:r w:rsidRPr="00694C5A">
        <w:rPr>
          <w:rFonts w:ascii="Arial" w:hAnsi="Arial" w:cs="Arial" w:hint="eastAsia"/>
          <w:bCs/>
          <w:sz w:val="24"/>
        </w:rPr>
        <w:t>法律课题的研究经验。</w:t>
      </w:r>
    </w:p>
    <w:p w14:paraId="49DFC3BE" w14:textId="77777777" w:rsidR="003F57C9" w:rsidRPr="00694C5A" w:rsidRDefault="003F57C9" w:rsidP="003F57C9">
      <w:pPr>
        <w:tabs>
          <w:tab w:val="center" w:pos="4153"/>
        </w:tabs>
        <w:spacing w:line="360" w:lineRule="auto"/>
        <w:ind w:firstLineChars="200" w:firstLine="480"/>
        <w:jc w:val="left"/>
        <w:rPr>
          <w:rFonts w:ascii="Arial" w:hAnsi="Arial" w:cs="Arial"/>
          <w:bCs/>
          <w:sz w:val="24"/>
        </w:rPr>
      </w:pPr>
      <w:r w:rsidRPr="00694C5A">
        <w:rPr>
          <w:rFonts w:ascii="Arial" w:hAnsi="Arial" w:cs="Arial" w:hint="eastAsia"/>
          <w:bCs/>
          <w:sz w:val="24"/>
        </w:rPr>
        <w:t>（</w:t>
      </w:r>
      <w:r w:rsidRPr="00694C5A">
        <w:rPr>
          <w:rFonts w:ascii="Arial" w:hAnsi="Arial" w:cs="Arial" w:hint="eastAsia"/>
          <w:bCs/>
          <w:sz w:val="24"/>
        </w:rPr>
        <w:t>3</w:t>
      </w:r>
      <w:r w:rsidRPr="00694C5A">
        <w:rPr>
          <w:rFonts w:ascii="Arial" w:hAnsi="Arial" w:cs="Arial" w:hint="eastAsia"/>
          <w:bCs/>
          <w:sz w:val="24"/>
        </w:rPr>
        <w:t>）具有丰富的针对涉医事法律问题的理论研究经验。</w:t>
      </w:r>
    </w:p>
    <w:p w14:paraId="28653CBF" w14:textId="77777777" w:rsidR="003F57C9" w:rsidRPr="00694C5A" w:rsidRDefault="003F57C9" w:rsidP="003F57C9">
      <w:pPr>
        <w:spacing w:line="360" w:lineRule="auto"/>
        <w:ind w:firstLineChars="100" w:firstLine="241"/>
        <w:jc w:val="left"/>
        <w:rPr>
          <w:rFonts w:ascii="Arial" w:hAnsi="Arial" w:cs="Arial"/>
          <w:b/>
          <w:sz w:val="24"/>
        </w:rPr>
      </w:pPr>
      <w:r w:rsidRPr="00694C5A">
        <w:rPr>
          <w:rFonts w:ascii="Arial" w:hAnsi="Arial" w:cs="Arial" w:hint="eastAsia"/>
          <w:b/>
          <w:sz w:val="24"/>
        </w:rPr>
        <w:t>（二）诉讼类法律服务</w:t>
      </w:r>
    </w:p>
    <w:p w14:paraId="4ED8345E"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1.</w:t>
      </w:r>
      <w:r w:rsidRPr="00694C5A">
        <w:rPr>
          <w:rFonts w:ascii="Arial" w:hAnsi="Arial" w:cs="Arial" w:hint="eastAsia"/>
          <w:bCs/>
          <w:sz w:val="24"/>
        </w:rPr>
        <w:t>代理医疗类诉讼纠纷案件的一审、二审、再审和仲裁案件。</w:t>
      </w:r>
    </w:p>
    <w:p w14:paraId="575DD0D7"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lastRenderedPageBreak/>
        <w:t>2.</w:t>
      </w:r>
      <w:r w:rsidRPr="00694C5A">
        <w:rPr>
          <w:rFonts w:ascii="Arial" w:hAnsi="Arial" w:cs="Arial" w:hint="eastAsia"/>
          <w:bCs/>
          <w:sz w:val="24"/>
        </w:rPr>
        <w:t>代理行政诉讼案件的一审、二审、再审。</w:t>
      </w:r>
    </w:p>
    <w:p w14:paraId="4521A804"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3.</w:t>
      </w:r>
      <w:r w:rsidRPr="00694C5A">
        <w:rPr>
          <w:rFonts w:ascii="Arial" w:hAnsi="Arial" w:cs="Arial" w:hint="eastAsia"/>
          <w:bCs/>
          <w:sz w:val="24"/>
        </w:rPr>
        <w:t>代理医院为原告、被告、上诉人、被上诉人或第三人的非医疗类诉讼或仲裁案件。</w:t>
      </w:r>
    </w:p>
    <w:p w14:paraId="3737681D"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4.</w:t>
      </w:r>
      <w:r w:rsidRPr="00694C5A">
        <w:rPr>
          <w:rFonts w:ascii="Arial" w:hAnsi="Arial" w:cs="Arial" w:hint="eastAsia"/>
          <w:bCs/>
          <w:sz w:val="24"/>
        </w:rPr>
        <w:t>代理劳动仲裁案件。</w:t>
      </w:r>
    </w:p>
    <w:p w14:paraId="63A1DF06" w14:textId="77777777" w:rsidR="003F57C9" w:rsidRPr="00694C5A" w:rsidRDefault="003F57C9" w:rsidP="003F57C9">
      <w:pPr>
        <w:tabs>
          <w:tab w:val="center" w:pos="4153"/>
        </w:tabs>
        <w:spacing w:line="360" w:lineRule="auto"/>
        <w:ind w:firstLineChars="200" w:firstLine="482"/>
        <w:jc w:val="left"/>
        <w:rPr>
          <w:rFonts w:ascii="Arial" w:hAnsi="Arial" w:cs="Arial"/>
          <w:b/>
          <w:sz w:val="24"/>
        </w:rPr>
      </w:pPr>
      <w:r w:rsidRPr="00694C5A">
        <w:rPr>
          <w:rFonts w:ascii="Arial" w:hAnsi="Arial" w:cs="Arial" w:hint="eastAsia"/>
          <w:b/>
          <w:sz w:val="24"/>
        </w:rPr>
        <w:t>（三）其他法律服务</w:t>
      </w:r>
    </w:p>
    <w:p w14:paraId="53F5D5C0"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1.</w:t>
      </w:r>
      <w:r w:rsidRPr="00694C5A">
        <w:rPr>
          <w:rFonts w:ascii="Arial" w:hAnsi="Arial" w:cs="Arial" w:hint="eastAsia"/>
          <w:bCs/>
          <w:sz w:val="24"/>
        </w:rPr>
        <w:t>根据医院的要求，为医院解答法律问题。</w:t>
      </w:r>
    </w:p>
    <w:p w14:paraId="19160829"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2.</w:t>
      </w:r>
      <w:r w:rsidRPr="00694C5A">
        <w:rPr>
          <w:rFonts w:ascii="Arial" w:hAnsi="Arial" w:cs="Arial" w:hint="eastAsia"/>
          <w:bCs/>
          <w:sz w:val="24"/>
        </w:rPr>
        <w:t>根据医院的要求，</w:t>
      </w:r>
      <w:r w:rsidRPr="00694C5A">
        <w:rPr>
          <w:rFonts w:ascii="Arial" w:hAnsi="Arial" w:cs="Arial" w:hint="eastAsia"/>
          <w:bCs/>
          <w:sz w:val="24"/>
        </w:rPr>
        <w:t>2</w:t>
      </w:r>
      <w:r w:rsidRPr="00694C5A">
        <w:rPr>
          <w:rFonts w:ascii="Arial" w:hAnsi="Arial" w:cs="Arial" w:hint="eastAsia"/>
          <w:bCs/>
          <w:sz w:val="24"/>
        </w:rPr>
        <w:t>小时内或甲方要求的时间内指派专人到场处理医院突发法律事件。</w:t>
      </w:r>
    </w:p>
    <w:p w14:paraId="7D43C576"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3.</w:t>
      </w:r>
      <w:r w:rsidRPr="00694C5A">
        <w:rPr>
          <w:rFonts w:ascii="Arial" w:hAnsi="Arial" w:cs="Arial" w:hint="eastAsia"/>
          <w:bCs/>
          <w:sz w:val="24"/>
        </w:rPr>
        <w:t>根据医院的要求，协助医院处置人事和劳动纠纷。</w:t>
      </w:r>
    </w:p>
    <w:p w14:paraId="2BFB4564"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4.</w:t>
      </w:r>
      <w:r w:rsidRPr="00694C5A">
        <w:rPr>
          <w:rFonts w:ascii="Arial" w:hAnsi="Arial" w:cs="Arial" w:hint="eastAsia"/>
          <w:bCs/>
          <w:sz w:val="24"/>
        </w:rPr>
        <w:t>医务人员因</w:t>
      </w:r>
      <w:proofErr w:type="gramStart"/>
      <w:r w:rsidRPr="00694C5A">
        <w:rPr>
          <w:rFonts w:ascii="Arial" w:hAnsi="Arial" w:cs="Arial" w:hint="eastAsia"/>
          <w:bCs/>
          <w:sz w:val="24"/>
        </w:rPr>
        <w:t>医</w:t>
      </w:r>
      <w:proofErr w:type="gramEnd"/>
      <w:r w:rsidRPr="00694C5A">
        <w:rPr>
          <w:rFonts w:ascii="Arial" w:hAnsi="Arial" w:cs="Arial" w:hint="eastAsia"/>
          <w:bCs/>
          <w:sz w:val="24"/>
        </w:rPr>
        <w:t>患纠纷导致生命健康受损，为其提供免费的法律咨询、案件代理。</w:t>
      </w:r>
    </w:p>
    <w:p w14:paraId="61A1DB2D"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5.</w:t>
      </w:r>
      <w:r w:rsidRPr="00694C5A">
        <w:rPr>
          <w:rFonts w:ascii="Arial" w:hAnsi="Arial" w:cs="Arial" w:hint="eastAsia"/>
          <w:bCs/>
          <w:sz w:val="24"/>
        </w:rPr>
        <w:t>医务人员因</w:t>
      </w:r>
      <w:proofErr w:type="gramStart"/>
      <w:r w:rsidRPr="00694C5A">
        <w:rPr>
          <w:rFonts w:ascii="Arial" w:hAnsi="Arial" w:cs="Arial" w:hint="eastAsia"/>
          <w:bCs/>
          <w:sz w:val="24"/>
        </w:rPr>
        <w:t>医</w:t>
      </w:r>
      <w:proofErr w:type="gramEnd"/>
      <w:r w:rsidRPr="00694C5A">
        <w:rPr>
          <w:rFonts w:ascii="Arial" w:hAnsi="Arial" w:cs="Arial" w:hint="eastAsia"/>
          <w:bCs/>
          <w:sz w:val="24"/>
        </w:rPr>
        <w:t>患矛盾、患</w:t>
      </w:r>
      <w:proofErr w:type="gramStart"/>
      <w:r w:rsidRPr="00694C5A">
        <w:rPr>
          <w:rFonts w:ascii="Arial" w:hAnsi="Arial" w:cs="Arial" w:hint="eastAsia"/>
          <w:bCs/>
          <w:sz w:val="24"/>
        </w:rPr>
        <w:t>方投诉</w:t>
      </w:r>
      <w:proofErr w:type="gramEnd"/>
      <w:r w:rsidRPr="00694C5A">
        <w:rPr>
          <w:rFonts w:ascii="Arial" w:hAnsi="Arial" w:cs="Arial" w:hint="eastAsia"/>
          <w:bCs/>
          <w:sz w:val="24"/>
        </w:rPr>
        <w:t>导致被行政处罚、刑事公诉的，为其提供免费的法律咨询、听证会代理、法律帮助、辩护。</w:t>
      </w:r>
    </w:p>
    <w:p w14:paraId="196242FD"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6.</w:t>
      </w:r>
      <w:r w:rsidRPr="00694C5A">
        <w:rPr>
          <w:rFonts w:ascii="Arial" w:hAnsi="Arial" w:cs="Arial" w:hint="eastAsia"/>
          <w:bCs/>
          <w:sz w:val="24"/>
        </w:rPr>
        <w:t>医务人员或医务人员直系家属（配偶、父母、子女）需要提供法律服务的，为其提供免费咨询，依据律师事务所的收费标准减半收取代理费或代书费等。</w:t>
      </w:r>
      <w:r w:rsidRPr="00694C5A">
        <w:rPr>
          <w:rFonts w:ascii="Arial" w:hAnsi="Arial" w:cs="Arial" w:hint="eastAsia"/>
          <w:bCs/>
          <w:sz w:val="24"/>
        </w:rPr>
        <w:t xml:space="preserve"> </w:t>
      </w:r>
    </w:p>
    <w:p w14:paraId="69B09E21" w14:textId="77777777" w:rsidR="003F57C9" w:rsidRPr="00694C5A" w:rsidRDefault="003F57C9" w:rsidP="003F57C9">
      <w:pPr>
        <w:spacing w:line="360" w:lineRule="auto"/>
        <w:ind w:firstLineChars="200" w:firstLine="480"/>
        <w:jc w:val="left"/>
        <w:rPr>
          <w:rFonts w:ascii="Arial" w:hAnsi="Arial" w:cs="Arial"/>
          <w:bCs/>
          <w:sz w:val="24"/>
        </w:rPr>
      </w:pPr>
      <w:r w:rsidRPr="00694C5A">
        <w:rPr>
          <w:rFonts w:ascii="Arial" w:hAnsi="Arial" w:cs="Arial" w:hint="eastAsia"/>
          <w:bCs/>
          <w:sz w:val="24"/>
        </w:rPr>
        <w:t>7.</w:t>
      </w:r>
      <w:r w:rsidRPr="00694C5A">
        <w:rPr>
          <w:rFonts w:ascii="Arial" w:hAnsi="Arial" w:cs="Arial" w:hint="eastAsia"/>
          <w:bCs/>
          <w:sz w:val="24"/>
        </w:rPr>
        <w:t>根据国家涉医事法律、法规、部门规章或涉医事政策的变化，或根据具体司法实践向医院主动出具律师意见书。</w:t>
      </w:r>
    </w:p>
    <w:p w14:paraId="243DD3D4" w14:textId="77777777" w:rsidR="00AC2DB5" w:rsidRPr="003F57C9" w:rsidRDefault="00AC2DB5"/>
    <w:sectPr w:rsidR="00AC2DB5" w:rsidRPr="003F5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0DFE" w14:textId="77777777" w:rsidR="0048746B" w:rsidRDefault="0048746B" w:rsidP="003F57C9">
      <w:pPr>
        <w:rPr>
          <w:rFonts w:hint="eastAsia"/>
        </w:rPr>
      </w:pPr>
      <w:r>
        <w:separator/>
      </w:r>
    </w:p>
  </w:endnote>
  <w:endnote w:type="continuationSeparator" w:id="0">
    <w:p w14:paraId="59B57F44" w14:textId="77777777" w:rsidR="0048746B" w:rsidRDefault="0048746B" w:rsidP="003F57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18330" w14:textId="77777777" w:rsidR="0048746B" w:rsidRDefault="0048746B" w:rsidP="003F57C9">
      <w:pPr>
        <w:rPr>
          <w:rFonts w:hint="eastAsia"/>
        </w:rPr>
      </w:pPr>
      <w:r>
        <w:separator/>
      </w:r>
    </w:p>
  </w:footnote>
  <w:footnote w:type="continuationSeparator" w:id="0">
    <w:p w14:paraId="7140AEC2" w14:textId="77777777" w:rsidR="0048746B" w:rsidRDefault="0048746B" w:rsidP="003F57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437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B5"/>
    <w:rsid w:val="0021216D"/>
    <w:rsid w:val="003F57C9"/>
    <w:rsid w:val="0048746B"/>
    <w:rsid w:val="00AC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836484E-94A5-4039-9D39-6E710600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C9"/>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AC2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DB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DB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DB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C2DB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DB5"/>
    <w:rPr>
      <w:rFonts w:cstheme="majorBidi"/>
      <w:color w:val="2F5496" w:themeColor="accent1" w:themeShade="BF"/>
      <w:sz w:val="28"/>
      <w:szCs w:val="28"/>
    </w:rPr>
  </w:style>
  <w:style w:type="character" w:customStyle="1" w:styleId="50">
    <w:name w:val="标题 5 字符"/>
    <w:basedOn w:val="a0"/>
    <w:link w:val="5"/>
    <w:uiPriority w:val="9"/>
    <w:semiHidden/>
    <w:rsid w:val="00AC2DB5"/>
    <w:rPr>
      <w:rFonts w:cstheme="majorBidi"/>
      <w:color w:val="2F5496" w:themeColor="accent1" w:themeShade="BF"/>
      <w:sz w:val="24"/>
    </w:rPr>
  </w:style>
  <w:style w:type="character" w:customStyle="1" w:styleId="60">
    <w:name w:val="标题 6 字符"/>
    <w:basedOn w:val="a0"/>
    <w:link w:val="6"/>
    <w:uiPriority w:val="9"/>
    <w:semiHidden/>
    <w:rsid w:val="00AC2DB5"/>
    <w:rPr>
      <w:rFonts w:cstheme="majorBidi"/>
      <w:b/>
      <w:bCs/>
      <w:color w:val="2F5496" w:themeColor="accent1" w:themeShade="BF"/>
    </w:rPr>
  </w:style>
  <w:style w:type="character" w:customStyle="1" w:styleId="70">
    <w:name w:val="标题 7 字符"/>
    <w:basedOn w:val="a0"/>
    <w:link w:val="7"/>
    <w:uiPriority w:val="9"/>
    <w:semiHidden/>
    <w:rsid w:val="00AC2DB5"/>
    <w:rPr>
      <w:rFonts w:cstheme="majorBidi"/>
      <w:b/>
      <w:bCs/>
      <w:color w:val="595959" w:themeColor="text1" w:themeTint="A6"/>
    </w:rPr>
  </w:style>
  <w:style w:type="character" w:customStyle="1" w:styleId="80">
    <w:name w:val="标题 8 字符"/>
    <w:basedOn w:val="a0"/>
    <w:link w:val="8"/>
    <w:uiPriority w:val="9"/>
    <w:semiHidden/>
    <w:rsid w:val="00AC2DB5"/>
    <w:rPr>
      <w:rFonts w:cstheme="majorBidi"/>
      <w:color w:val="595959" w:themeColor="text1" w:themeTint="A6"/>
    </w:rPr>
  </w:style>
  <w:style w:type="character" w:customStyle="1" w:styleId="90">
    <w:name w:val="标题 9 字符"/>
    <w:basedOn w:val="a0"/>
    <w:link w:val="9"/>
    <w:uiPriority w:val="9"/>
    <w:semiHidden/>
    <w:rsid w:val="00AC2DB5"/>
    <w:rPr>
      <w:rFonts w:eastAsiaTheme="majorEastAsia" w:cstheme="majorBidi"/>
      <w:color w:val="595959" w:themeColor="text1" w:themeTint="A6"/>
    </w:rPr>
  </w:style>
  <w:style w:type="paragraph" w:styleId="a3">
    <w:name w:val="Title"/>
    <w:basedOn w:val="a"/>
    <w:next w:val="a"/>
    <w:link w:val="a4"/>
    <w:uiPriority w:val="10"/>
    <w:qFormat/>
    <w:rsid w:val="00AC2D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DB5"/>
    <w:pPr>
      <w:spacing w:before="160"/>
      <w:jc w:val="center"/>
    </w:pPr>
    <w:rPr>
      <w:i/>
      <w:iCs/>
      <w:color w:val="404040" w:themeColor="text1" w:themeTint="BF"/>
    </w:rPr>
  </w:style>
  <w:style w:type="character" w:customStyle="1" w:styleId="a8">
    <w:name w:val="引用 字符"/>
    <w:basedOn w:val="a0"/>
    <w:link w:val="a7"/>
    <w:uiPriority w:val="29"/>
    <w:rsid w:val="00AC2DB5"/>
    <w:rPr>
      <w:i/>
      <w:iCs/>
      <w:color w:val="404040" w:themeColor="text1" w:themeTint="BF"/>
    </w:rPr>
  </w:style>
  <w:style w:type="paragraph" w:styleId="a9">
    <w:name w:val="List Paragraph"/>
    <w:basedOn w:val="a"/>
    <w:uiPriority w:val="34"/>
    <w:qFormat/>
    <w:rsid w:val="00AC2DB5"/>
    <w:pPr>
      <w:ind w:left="720"/>
      <w:contextualSpacing/>
    </w:pPr>
  </w:style>
  <w:style w:type="character" w:styleId="aa">
    <w:name w:val="Intense Emphasis"/>
    <w:basedOn w:val="a0"/>
    <w:uiPriority w:val="21"/>
    <w:qFormat/>
    <w:rsid w:val="00AC2DB5"/>
    <w:rPr>
      <w:i/>
      <w:iCs/>
      <w:color w:val="2F5496" w:themeColor="accent1" w:themeShade="BF"/>
    </w:rPr>
  </w:style>
  <w:style w:type="paragraph" w:styleId="ab">
    <w:name w:val="Intense Quote"/>
    <w:basedOn w:val="a"/>
    <w:next w:val="a"/>
    <w:link w:val="ac"/>
    <w:uiPriority w:val="30"/>
    <w:qFormat/>
    <w:rsid w:val="00AC2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DB5"/>
    <w:rPr>
      <w:i/>
      <w:iCs/>
      <w:color w:val="2F5496" w:themeColor="accent1" w:themeShade="BF"/>
    </w:rPr>
  </w:style>
  <w:style w:type="character" w:styleId="ad">
    <w:name w:val="Intense Reference"/>
    <w:basedOn w:val="a0"/>
    <w:uiPriority w:val="32"/>
    <w:qFormat/>
    <w:rsid w:val="00AC2DB5"/>
    <w:rPr>
      <w:b/>
      <w:bCs/>
      <w:smallCaps/>
      <w:color w:val="2F5496" w:themeColor="accent1" w:themeShade="BF"/>
      <w:spacing w:val="5"/>
    </w:rPr>
  </w:style>
  <w:style w:type="paragraph" w:styleId="ae">
    <w:name w:val="header"/>
    <w:basedOn w:val="a"/>
    <w:link w:val="af"/>
    <w:uiPriority w:val="99"/>
    <w:unhideWhenUsed/>
    <w:rsid w:val="003F57C9"/>
    <w:pPr>
      <w:tabs>
        <w:tab w:val="center" w:pos="4153"/>
        <w:tab w:val="right" w:pos="8306"/>
      </w:tabs>
      <w:snapToGrid w:val="0"/>
      <w:jc w:val="center"/>
    </w:pPr>
    <w:rPr>
      <w:sz w:val="18"/>
      <w:szCs w:val="18"/>
    </w:rPr>
  </w:style>
  <w:style w:type="character" w:customStyle="1" w:styleId="af">
    <w:name w:val="页眉 字符"/>
    <w:basedOn w:val="a0"/>
    <w:link w:val="ae"/>
    <w:uiPriority w:val="99"/>
    <w:rsid w:val="003F57C9"/>
    <w:rPr>
      <w:sz w:val="18"/>
      <w:szCs w:val="18"/>
    </w:rPr>
  </w:style>
  <w:style w:type="paragraph" w:styleId="af0">
    <w:name w:val="footer"/>
    <w:basedOn w:val="a"/>
    <w:link w:val="af1"/>
    <w:uiPriority w:val="99"/>
    <w:unhideWhenUsed/>
    <w:rsid w:val="003F57C9"/>
    <w:pPr>
      <w:tabs>
        <w:tab w:val="center" w:pos="4153"/>
        <w:tab w:val="right" w:pos="8306"/>
      </w:tabs>
      <w:snapToGrid w:val="0"/>
    </w:pPr>
    <w:rPr>
      <w:sz w:val="18"/>
      <w:szCs w:val="18"/>
    </w:rPr>
  </w:style>
  <w:style w:type="character" w:customStyle="1" w:styleId="af1">
    <w:name w:val="页脚 字符"/>
    <w:basedOn w:val="a0"/>
    <w:link w:val="af0"/>
    <w:uiPriority w:val="99"/>
    <w:rsid w:val="003F57C9"/>
    <w:rPr>
      <w:sz w:val="18"/>
      <w:szCs w:val="18"/>
    </w:rPr>
  </w:style>
  <w:style w:type="table" w:styleId="af2">
    <w:name w:val="Table Grid"/>
    <w:basedOn w:val="a1"/>
    <w:uiPriority w:val="39"/>
    <w:qFormat/>
    <w:rsid w:val="003F57C9"/>
    <w:pPr>
      <w:spacing w:after="0" w:line="240" w:lineRule="auto"/>
    </w:pPr>
    <w:rPr>
      <w:rFonts w:ascii="Times New Roman" w:eastAsia="宋体"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列出段落1"/>
    <w:basedOn w:val="a"/>
    <w:link w:val="af3"/>
    <w:qFormat/>
    <w:rsid w:val="003F57C9"/>
    <w:pPr>
      <w:ind w:firstLineChars="200" w:firstLine="420"/>
    </w:pPr>
    <w:rPr>
      <w:rFonts w:ascii="Calibri" w:hAnsi="Calibri"/>
      <w:szCs w:val="22"/>
    </w:rPr>
  </w:style>
  <w:style w:type="character" w:customStyle="1" w:styleId="af3">
    <w:name w:val="列表段落 字符"/>
    <w:link w:val="11"/>
    <w:qFormat/>
    <w:rsid w:val="003F57C9"/>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1307</Characters>
  <Application>Microsoft Office Word</Application>
  <DocSecurity>0</DocSecurity>
  <Lines>50</Lines>
  <Paragraphs>64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张文浩</dc:creator>
  <cp:keywords/>
  <dc:description/>
  <cp:lastModifiedBy>张文浩</cp:lastModifiedBy>
  <cp:revision>2</cp:revision>
  <dcterms:created xsi:type="dcterms:W3CDTF">2025-05-30T04:44:00Z</dcterms:created>
  <dcterms:modified xsi:type="dcterms:W3CDTF">2025-05-30T04:45:00Z</dcterms:modified>
</cp:coreProperties>
</file>