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tabs>
          <w:tab w:val="left" w:pos="1630"/>
        </w:tabs>
        <w:spacing w:line="460" w:lineRule="exact"/>
        <w:ind w:left="8"/>
        <w:jc w:val="center"/>
        <w:rPr>
          <w:sz w:val="33"/>
        </w:rPr>
      </w:pPr>
      <w:r>
        <w:rPr>
          <w:b/>
          <w:bCs/>
        </w:rPr>
        <w:t>采购需求</w:t>
      </w:r>
    </w:p>
    <w:p>
      <w:pPr>
        <w:pStyle w:val="3"/>
        <w:spacing w:before="1"/>
        <w:ind w:left="121"/>
        <w:rPr>
          <w:b/>
          <w:bCs/>
        </w:rPr>
      </w:pPr>
      <w:r>
        <w:rPr>
          <w:b/>
          <w:bCs/>
        </w:rPr>
        <w:t>一、采购标的</w:t>
      </w:r>
    </w:p>
    <w:p>
      <w:pPr>
        <w:pStyle w:val="7"/>
        <w:tabs>
          <w:tab w:val="left" w:pos="470"/>
          <w:tab w:val="left" w:pos="7040"/>
        </w:tabs>
        <w:spacing w:before="154" w:line="338" w:lineRule="auto"/>
        <w:ind w:left="121" w:right="1830" w:firstLine="273" w:firstLineChars="100"/>
        <w:rPr>
          <w:sz w:val="24"/>
          <w:lang w:eastAsia="zh-CN"/>
        </w:rPr>
      </w:pPr>
      <w:r>
        <w:rPr>
          <w:rFonts w:ascii="Arial" w:hAnsi="Arial" w:eastAsia="Arial" w:cs="Arial"/>
          <w:w w:val="114"/>
          <w:sz w:val="24"/>
          <w:szCs w:val="24"/>
          <w:lang w:eastAsia="zh-CN"/>
        </w:rPr>
        <w:t>1.</w:t>
      </w:r>
      <w:r>
        <w:rPr>
          <w:sz w:val="24"/>
          <w:lang w:eastAsia="zh-CN"/>
        </w:rPr>
        <w:t xml:space="preserve">采购标的（货物需求一览表或简要服务内容及数量） </w:t>
      </w:r>
    </w:p>
    <w:tbl>
      <w:tblPr>
        <w:tblStyle w:val="6"/>
        <w:tblW w:w="8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125"/>
        <w:gridCol w:w="3635"/>
        <w:gridCol w:w="1091"/>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Align w:val="center"/>
          </w:tcPr>
          <w:p>
            <w:pPr>
              <w:jc w:val="center"/>
              <w:rPr>
                <w:b/>
                <w:bCs/>
                <w:sz w:val="24"/>
              </w:rPr>
            </w:pPr>
            <w:r>
              <w:rPr>
                <w:rFonts w:hint="eastAsia"/>
                <w:b/>
                <w:bCs/>
                <w:sz w:val="24"/>
              </w:rPr>
              <w:t>包号</w:t>
            </w:r>
          </w:p>
        </w:tc>
        <w:tc>
          <w:tcPr>
            <w:tcW w:w="1125" w:type="dxa"/>
            <w:vAlign w:val="center"/>
          </w:tcPr>
          <w:p>
            <w:pPr>
              <w:widowControl/>
              <w:jc w:val="center"/>
              <w:rPr>
                <w:b/>
                <w:bCs/>
                <w:sz w:val="24"/>
              </w:rPr>
            </w:pPr>
          </w:p>
        </w:tc>
        <w:tc>
          <w:tcPr>
            <w:tcW w:w="3635" w:type="dxa"/>
            <w:vAlign w:val="center"/>
          </w:tcPr>
          <w:p>
            <w:pPr>
              <w:widowControl/>
              <w:jc w:val="center"/>
              <w:rPr>
                <w:b/>
                <w:bCs/>
                <w:sz w:val="24"/>
              </w:rPr>
            </w:pPr>
            <w:r>
              <w:rPr>
                <w:rFonts w:hint="eastAsia"/>
                <w:b/>
                <w:bCs/>
                <w:sz w:val="24"/>
              </w:rPr>
              <w:t>采购内容</w:t>
            </w:r>
          </w:p>
        </w:tc>
        <w:tc>
          <w:tcPr>
            <w:tcW w:w="1091" w:type="dxa"/>
            <w:vAlign w:val="center"/>
          </w:tcPr>
          <w:p>
            <w:pPr>
              <w:widowControl/>
              <w:jc w:val="center"/>
              <w:rPr>
                <w:b/>
                <w:bCs/>
                <w:sz w:val="24"/>
                <w:lang w:eastAsia="zh-CN"/>
              </w:rPr>
            </w:pPr>
            <w:r>
              <w:rPr>
                <w:rFonts w:hint="eastAsia"/>
                <w:b/>
                <w:bCs/>
                <w:sz w:val="24"/>
                <w:lang w:eastAsia="zh-CN"/>
              </w:rPr>
              <w:t>数量</w:t>
            </w:r>
          </w:p>
        </w:tc>
        <w:tc>
          <w:tcPr>
            <w:tcW w:w="1851" w:type="dxa"/>
            <w:vAlign w:val="center"/>
          </w:tcPr>
          <w:p>
            <w:pPr>
              <w:widowControl/>
              <w:jc w:val="center"/>
              <w:rPr>
                <w:b/>
                <w:bCs/>
                <w:sz w:val="24"/>
                <w:lang w:eastAsia="zh-CN"/>
              </w:rPr>
            </w:pPr>
            <w:r>
              <w:rPr>
                <w:rFonts w:hint="eastAsia"/>
                <w:b/>
                <w:bCs/>
                <w:sz w:val="24"/>
                <w:lang w:eastAsia="zh-CN"/>
              </w:rPr>
              <w:t>是否允许采购进口产品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restart"/>
            <w:vAlign w:val="center"/>
          </w:tcPr>
          <w:p>
            <w:pPr>
              <w:widowControl/>
              <w:jc w:val="center"/>
              <w:textAlignment w:val="center"/>
              <w:rPr>
                <w:sz w:val="24"/>
                <w:szCs w:val="24"/>
                <w:lang w:eastAsia="zh-CN"/>
              </w:rPr>
            </w:pPr>
            <w:r>
              <w:rPr>
                <w:rFonts w:hint="eastAsia"/>
                <w:sz w:val="24"/>
                <w:szCs w:val="24"/>
                <w:lang w:eastAsia="zh-CN" w:bidi="ar"/>
              </w:rPr>
              <w:t>1</w:t>
            </w:r>
          </w:p>
        </w:tc>
        <w:tc>
          <w:tcPr>
            <w:tcW w:w="1125" w:type="dxa"/>
            <w:vAlign w:val="center"/>
          </w:tcPr>
          <w:p>
            <w:pPr>
              <w:widowControl/>
              <w:jc w:val="center"/>
              <w:textAlignment w:val="center"/>
              <w:rPr>
                <w:sz w:val="24"/>
                <w:szCs w:val="24"/>
              </w:rPr>
            </w:pPr>
            <w:r>
              <w:rPr>
                <w:rFonts w:hint="eastAsia"/>
                <w:color w:val="000000"/>
                <w:sz w:val="24"/>
                <w:szCs w:val="24"/>
                <w:lang w:eastAsia="zh-CN" w:bidi="ar"/>
              </w:rPr>
              <w:t>1-1</w:t>
            </w:r>
          </w:p>
        </w:tc>
        <w:tc>
          <w:tcPr>
            <w:tcW w:w="3635" w:type="dxa"/>
            <w:vAlign w:val="center"/>
          </w:tcPr>
          <w:p>
            <w:pPr>
              <w:widowControl/>
              <w:jc w:val="center"/>
              <w:textAlignment w:val="center"/>
              <w:rPr>
                <w:sz w:val="24"/>
                <w:szCs w:val="24"/>
                <w:lang w:eastAsia="zh-CN"/>
              </w:rPr>
            </w:pPr>
            <w:r>
              <w:rPr>
                <w:rFonts w:hint="eastAsia"/>
                <w:color w:val="000000"/>
                <w:sz w:val="24"/>
                <w:szCs w:val="24"/>
                <w:lang w:eastAsia="zh-CN" w:bidi="ar"/>
              </w:rPr>
              <w:t>流式分析、免疫荧光检测及TUNEL、引物合成、探针</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restart"/>
            <w:vAlign w:val="center"/>
          </w:tcPr>
          <w:p>
            <w:pPr>
              <w:widowControl/>
              <w:jc w:val="center"/>
              <w:textAlignment w:val="center"/>
              <w:rPr>
                <w:rFonts w:asciiTheme="minorEastAsia" w:hAnsiTheme="minorEastAsia" w:eastAsiaTheme="minorEastAsia" w:cstheme="minorEastAsia"/>
                <w:sz w:val="24"/>
                <w:szCs w:val="24"/>
                <w:lang w:eastAsia="zh-CN"/>
              </w:rPr>
            </w:pPr>
            <w:r>
              <w:rPr>
                <w:rFonts w:hint="eastAsia"/>
                <w:sz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sz w:val="24"/>
                <w:szCs w:val="24"/>
                <w:lang w:eastAsia="zh-CN"/>
              </w:rPr>
            </w:pPr>
            <w:r>
              <w:rPr>
                <w:rFonts w:hint="eastAsia"/>
                <w:color w:val="000000"/>
                <w:sz w:val="24"/>
                <w:szCs w:val="24"/>
                <w:lang w:eastAsia="zh-CN" w:bidi="ar"/>
              </w:rPr>
              <w:t>1-2</w:t>
            </w:r>
          </w:p>
        </w:tc>
        <w:tc>
          <w:tcPr>
            <w:tcW w:w="3635" w:type="dxa"/>
            <w:vAlign w:val="center"/>
          </w:tcPr>
          <w:p>
            <w:pPr>
              <w:widowControl/>
              <w:jc w:val="center"/>
              <w:textAlignment w:val="center"/>
              <w:rPr>
                <w:sz w:val="24"/>
                <w:szCs w:val="24"/>
                <w:lang w:eastAsia="zh-CN"/>
              </w:rPr>
            </w:pPr>
            <w:r>
              <w:rPr>
                <w:rFonts w:hint="eastAsia"/>
                <w:color w:val="000000"/>
                <w:sz w:val="24"/>
                <w:szCs w:val="24"/>
                <w:lang w:eastAsia="zh-CN" w:bidi="ar"/>
              </w:rPr>
              <w:t>电镜、Masson染色、EVG染色等</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sz w:val="24"/>
                <w:szCs w:val="24"/>
                <w:lang w:eastAsia="zh-CN"/>
              </w:rPr>
            </w:pPr>
            <w:r>
              <w:rPr>
                <w:rFonts w:hint="eastAsia"/>
                <w:color w:val="000000"/>
                <w:sz w:val="24"/>
                <w:szCs w:val="24"/>
                <w:lang w:eastAsia="zh-CN" w:bidi="ar"/>
              </w:rPr>
              <w:t>1-3</w:t>
            </w:r>
          </w:p>
        </w:tc>
        <w:tc>
          <w:tcPr>
            <w:tcW w:w="3635" w:type="dxa"/>
            <w:vAlign w:val="center"/>
          </w:tcPr>
          <w:p>
            <w:pPr>
              <w:widowControl/>
              <w:jc w:val="center"/>
              <w:textAlignment w:val="center"/>
              <w:rPr>
                <w:sz w:val="24"/>
                <w:szCs w:val="24"/>
                <w:lang w:eastAsia="zh-CN"/>
              </w:rPr>
            </w:pPr>
            <w:r>
              <w:rPr>
                <w:rFonts w:hint="eastAsia"/>
                <w:color w:val="000000"/>
                <w:sz w:val="24"/>
                <w:szCs w:val="24"/>
                <w:lang w:eastAsia="zh-CN" w:bidi="ar"/>
              </w:rPr>
              <w:t>基因芯片、蛋白芯片等筛选</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sz w:val="24"/>
                <w:szCs w:val="24"/>
                <w:lang w:eastAsia="zh-CN"/>
              </w:rPr>
            </w:pPr>
            <w:r>
              <w:rPr>
                <w:rFonts w:hint="eastAsia"/>
                <w:color w:val="000000"/>
                <w:sz w:val="24"/>
                <w:szCs w:val="24"/>
                <w:lang w:eastAsia="zh-CN" w:bidi="ar"/>
              </w:rPr>
              <w:t>1-4</w:t>
            </w:r>
          </w:p>
        </w:tc>
        <w:tc>
          <w:tcPr>
            <w:tcW w:w="3635" w:type="dxa"/>
            <w:vAlign w:val="center"/>
          </w:tcPr>
          <w:p>
            <w:pPr>
              <w:widowControl/>
              <w:jc w:val="center"/>
              <w:textAlignment w:val="center"/>
              <w:rPr>
                <w:sz w:val="24"/>
                <w:szCs w:val="24"/>
                <w:lang w:eastAsia="zh-CN"/>
              </w:rPr>
            </w:pPr>
            <w:r>
              <w:rPr>
                <w:rFonts w:hint="eastAsia"/>
                <w:color w:val="000000"/>
                <w:sz w:val="24"/>
                <w:szCs w:val="24"/>
                <w:lang w:eastAsia="zh-CN" w:bidi="ar"/>
              </w:rPr>
              <w:t>CHIP-seq</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sz w:val="24"/>
                <w:szCs w:val="24"/>
                <w:lang w:eastAsia="zh-CN"/>
              </w:rPr>
            </w:pPr>
            <w:r>
              <w:rPr>
                <w:rFonts w:hint="eastAsia"/>
                <w:color w:val="000000"/>
                <w:sz w:val="24"/>
                <w:szCs w:val="24"/>
                <w:lang w:eastAsia="zh-CN" w:bidi="ar"/>
              </w:rPr>
              <w:t>1-5</w:t>
            </w:r>
          </w:p>
        </w:tc>
        <w:tc>
          <w:tcPr>
            <w:tcW w:w="3635" w:type="dxa"/>
            <w:vAlign w:val="center"/>
          </w:tcPr>
          <w:p>
            <w:pPr>
              <w:widowControl/>
              <w:jc w:val="center"/>
              <w:textAlignment w:val="center"/>
              <w:rPr>
                <w:sz w:val="24"/>
                <w:szCs w:val="24"/>
                <w:lang w:eastAsia="zh-CN"/>
              </w:rPr>
            </w:pPr>
            <w:r>
              <w:rPr>
                <w:rFonts w:hint="eastAsia"/>
                <w:color w:val="000000"/>
                <w:sz w:val="24"/>
                <w:szCs w:val="24"/>
                <w:lang w:eastAsia="zh-CN" w:bidi="ar"/>
              </w:rPr>
              <w:t>蛋白组学</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rFonts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sz w:val="24"/>
                <w:szCs w:val="24"/>
                <w:lang w:eastAsia="zh-CN"/>
              </w:rPr>
            </w:pPr>
            <w:r>
              <w:rPr>
                <w:rFonts w:hint="eastAsia"/>
                <w:color w:val="000000"/>
                <w:sz w:val="24"/>
                <w:szCs w:val="24"/>
                <w:lang w:eastAsia="zh-CN" w:bidi="ar"/>
              </w:rPr>
              <w:t>1-6</w:t>
            </w:r>
          </w:p>
        </w:tc>
        <w:tc>
          <w:tcPr>
            <w:tcW w:w="3635" w:type="dxa"/>
            <w:vAlign w:val="center"/>
          </w:tcPr>
          <w:p>
            <w:pPr>
              <w:widowControl/>
              <w:jc w:val="center"/>
              <w:textAlignment w:val="center"/>
              <w:rPr>
                <w:sz w:val="24"/>
                <w:szCs w:val="24"/>
                <w:lang w:eastAsia="zh-CN"/>
              </w:rPr>
            </w:pPr>
            <w:r>
              <w:rPr>
                <w:rFonts w:hint="eastAsia"/>
                <w:color w:val="000000"/>
                <w:sz w:val="24"/>
                <w:szCs w:val="24"/>
                <w:lang w:eastAsia="zh-CN" w:bidi="ar"/>
              </w:rPr>
              <w:t>转录组学</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sz w:val="24"/>
                <w:szCs w:val="24"/>
                <w:lang w:eastAsia="zh-CN"/>
              </w:rPr>
            </w:pPr>
            <w:r>
              <w:rPr>
                <w:rFonts w:hint="eastAsia"/>
                <w:color w:val="000000"/>
                <w:sz w:val="24"/>
                <w:szCs w:val="24"/>
                <w:lang w:eastAsia="zh-CN" w:bidi="ar"/>
              </w:rPr>
              <w:t>1-7</w:t>
            </w:r>
          </w:p>
        </w:tc>
        <w:tc>
          <w:tcPr>
            <w:tcW w:w="3635" w:type="dxa"/>
            <w:vAlign w:val="center"/>
          </w:tcPr>
          <w:p>
            <w:pPr>
              <w:widowControl/>
              <w:jc w:val="center"/>
              <w:textAlignment w:val="center"/>
              <w:rPr>
                <w:sz w:val="24"/>
                <w:szCs w:val="24"/>
                <w:lang w:eastAsia="zh-CN"/>
              </w:rPr>
            </w:pPr>
            <w:r>
              <w:rPr>
                <w:rFonts w:hint="eastAsia"/>
                <w:color w:val="000000"/>
                <w:sz w:val="24"/>
                <w:szCs w:val="24"/>
                <w:lang w:eastAsia="zh-CN" w:bidi="ar"/>
              </w:rPr>
              <w:t>RNA-seq</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sz w:val="24"/>
                <w:szCs w:val="24"/>
                <w:lang w:eastAsia="zh-CN"/>
              </w:rPr>
            </w:pPr>
            <w:r>
              <w:rPr>
                <w:rFonts w:hint="eastAsia"/>
                <w:color w:val="000000"/>
                <w:sz w:val="24"/>
                <w:szCs w:val="24"/>
                <w:lang w:eastAsia="zh-CN" w:bidi="ar"/>
              </w:rPr>
              <w:t>1-8</w:t>
            </w:r>
          </w:p>
        </w:tc>
        <w:tc>
          <w:tcPr>
            <w:tcW w:w="3635" w:type="dxa"/>
            <w:vAlign w:val="center"/>
          </w:tcPr>
          <w:p>
            <w:pPr>
              <w:widowControl/>
              <w:jc w:val="center"/>
              <w:textAlignment w:val="center"/>
              <w:rPr>
                <w:sz w:val="24"/>
                <w:szCs w:val="24"/>
                <w:lang w:eastAsia="zh-CN"/>
              </w:rPr>
            </w:pPr>
            <w:r>
              <w:rPr>
                <w:rFonts w:hint="eastAsia"/>
                <w:color w:val="000000"/>
                <w:sz w:val="24"/>
                <w:szCs w:val="24"/>
                <w:lang w:eastAsia="zh-CN" w:bidi="ar"/>
              </w:rPr>
              <w:t>单细胞测序及空间转录组测序</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1-9</w:t>
            </w:r>
          </w:p>
        </w:tc>
        <w:tc>
          <w:tcPr>
            <w:tcW w:w="363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单细胞测序</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1-10</w:t>
            </w:r>
          </w:p>
        </w:tc>
        <w:tc>
          <w:tcPr>
            <w:tcW w:w="363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炎症及生长因子检测</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1-11</w:t>
            </w:r>
          </w:p>
        </w:tc>
        <w:tc>
          <w:tcPr>
            <w:tcW w:w="363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基因组、转录组测序</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1-12</w:t>
            </w:r>
          </w:p>
        </w:tc>
        <w:tc>
          <w:tcPr>
            <w:tcW w:w="363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蛋白组检测</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1-13</w:t>
            </w:r>
          </w:p>
        </w:tc>
        <w:tc>
          <w:tcPr>
            <w:tcW w:w="363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小鼠外周血及肺组织酶联免疫吸附试验</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2</w:t>
            </w:r>
          </w:p>
        </w:tc>
        <w:tc>
          <w:tcPr>
            <w:tcW w:w="1851" w:type="dxa"/>
            <w:vMerge w:val="continue"/>
            <w:vAlign w:val="center"/>
          </w:tcPr>
          <w:p>
            <w:pPr>
              <w:widowControl/>
              <w:jc w:val="center"/>
              <w:textAlignment w:val="center"/>
              <w:rPr>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1-14</w:t>
            </w:r>
          </w:p>
        </w:tc>
        <w:tc>
          <w:tcPr>
            <w:tcW w:w="363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人外周血酶联免疫吸附试验</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1-15</w:t>
            </w:r>
          </w:p>
        </w:tc>
        <w:tc>
          <w:tcPr>
            <w:tcW w:w="363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宏基因组、转录组学及代谢组学</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1-16</w:t>
            </w:r>
          </w:p>
        </w:tc>
        <w:tc>
          <w:tcPr>
            <w:tcW w:w="363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蛋白组学、转录组学</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1-17</w:t>
            </w:r>
          </w:p>
        </w:tc>
        <w:tc>
          <w:tcPr>
            <w:tcW w:w="363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组织切片多靶点病理检测</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94" w:type="dxa"/>
            <w:vMerge w:val="continue"/>
            <w:vAlign w:val="center"/>
          </w:tcPr>
          <w:p>
            <w:pPr>
              <w:widowControl/>
              <w:jc w:val="center"/>
              <w:textAlignment w:val="center"/>
              <w:rPr>
                <w:sz w:val="24"/>
                <w:szCs w:val="24"/>
                <w:lang w:eastAsia="zh-CN" w:bidi="ar"/>
              </w:rPr>
            </w:pPr>
          </w:p>
        </w:tc>
        <w:tc>
          <w:tcPr>
            <w:tcW w:w="112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1-18</w:t>
            </w:r>
          </w:p>
        </w:tc>
        <w:tc>
          <w:tcPr>
            <w:tcW w:w="3635"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吸入治疗监测</w:t>
            </w:r>
          </w:p>
        </w:tc>
        <w:tc>
          <w:tcPr>
            <w:tcW w:w="1091" w:type="dxa"/>
            <w:vAlign w:val="center"/>
          </w:tcPr>
          <w:p>
            <w:pPr>
              <w:widowControl/>
              <w:jc w:val="center"/>
              <w:textAlignment w:val="center"/>
              <w:rPr>
                <w:color w:val="000000"/>
                <w:sz w:val="24"/>
                <w:szCs w:val="24"/>
                <w:lang w:eastAsia="zh-CN" w:bidi="ar"/>
              </w:rPr>
            </w:pPr>
            <w:r>
              <w:rPr>
                <w:rFonts w:hint="eastAsia"/>
                <w:color w:val="000000"/>
                <w:sz w:val="24"/>
                <w:szCs w:val="24"/>
                <w:lang w:eastAsia="zh-CN" w:bidi="ar"/>
              </w:rPr>
              <w:t>1</w:t>
            </w:r>
          </w:p>
        </w:tc>
        <w:tc>
          <w:tcPr>
            <w:tcW w:w="1851" w:type="dxa"/>
            <w:vMerge w:val="continue"/>
            <w:vAlign w:val="center"/>
          </w:tcPr>
          <w:p>
            <w:pPr>
              <w:widowControl/>
              <w:jc w:val="center"/>
              <w:textAlignment w:val="center"/>
              <w:rPr>
                <w:color w:val="000000"/>
                <w:sz w:val="24"/>
                <w:szCs w:val="24"/>
                <w:lang w:eastAsia="zh-CN" w:bidi="ar"/>
              </w:rPr>
            </w:pPr>
          </w:p>
        </w:tc>
      </w:tr>
    </w:tbl>
    <w:p>
      <w:pPr>
        <w:pStyle w:val="8"/>
        <w:spacing w:before="240" w:beforeLines="100" w:line="360" w:lineRule="auto"/>
        <w:ind w:left="499" w:hanging="499" w:firstLineChars="0"/>
        <w:contextualSpacing/>
        <w:rPr>
          <w:b/>
          <w:sz w:val="24"/>
        </w:rPr>
      </w:pPr>
      <w:r>
        <w:rPr>
          <w:rFonts w:hint="eastAsia"/>
          <w:b/>
          <w:sz w:val="24"/>
        </w:rPr>
        <w:t>二</w:t>
      </w:r>
      <w:r>
        <w:rPr>
          <w:b/>
          <w:sz w:val="24"/>
        </w:rPr>
        <w:t>、商务要求</w:t>
      </w:r>
    </w:p>
    <w:p>
      <w:pPr>
        <w:spacing w:line="360" w:lineRule="auto"/>
        <w:contextualSpacing/>
        <w:rPr>
          <w:kern w:val="2"/>
          <w:sz w:val="24"/>
          <w:szCs w:val="24"/>
          <w:lang w:eastAsia="zh-CN"/>
        </w:rPr>
      </w:pPr>
      <w:r>
        <w:rPr>
          <w:rFonts w:ascii="Segoe UI Symbol" w:hAnsi="Segoe UI Symbol" w:cs="Segoe UI Symbol"/>
          <w:sz w:val="24"/>
        </w:rPr>
        <w:t>★</w:t>
      </w:r>
      <w:r>
        <w:rPr>
          <w:sz w:val="24"/>
        </w:rPr>
        <w:t>1.</w:t>
      </w:r>
      <w:r>
        <w:rPr>
          <w:rFonts w:hint="eastAsia"/>
          <w:kern w:val="2"/>
          <w:sz w:val="24"/>
          <w:szCs w:val="24"/>
          <w:lang w:eastAsia="zh-CN"/>
        </w:rPr>
        <w:t xml:space="preserve"> 实施的期限和地点</w:t>
      </w:r>
    </w:p>
    <w:p>
      <w:pPr>
        <w:pStyle w:val="4"/>
        <w:spacing w:line="360" w:lineRule="auto"/>
        <w:jc w:val="both"/>
        <w:outlineLvl w:val="9"/>
        <w:rPr>
          <w:b w:val="0"/>
          <w:kern w:val="2"/>
          <w:sz w:val="24"/>
          <w:szCs w:val="24"/>
          <w:lang w:eastAsia="zh-CN"/>
        </w:rPr>
      </w:pPr>
      <w:bookmarkStart w:id="0" w:name="_Toc30905"/>
      <w:bookmarkStart w:id="1" w:name="_Toc24426"/>
      <w:r>
        <w:rPr>
          <w:rFonts w:hint="eastAsia"/>
          <w:b w:val="0"/>
          <w:kern w:val="2"/>
          <w:sz w:val="24"/>
          <w:szCs w:val="24"/>
          <w:lang w:eastAsia="zh-CN"/>
        </w:rPr>
        <w:t>1.1采购项目（标的）交付的时间：</w:t>
      </w:r>
      <w:bookmarkEnd w:id="0"/>
      <w:bookmarkEnd w:id="1"/>
      <w:r>
        <w:rPr>
          <w:rFonts w:hint="eastAsia"/>
          <w:b w:val="0"/>
          <w:kern w:val="2"/>
          <w:sz w:val="24"/>
          <w:szCs w:val="24"/>
          <w:lang w:eastAsia="zh-CN"/>
        </w:rPr>
        <w:t>合同签订后3个月内</w:t>
      </w:r>
    </w:p>
    <w:p>
      <w:pPr>
        <w:pStyle w:val="4"/>
        <w:tabs>
          <w:tab w:val="left" w:pos="0"/>
        </w:tabs>
        <w:spacing w:line="360" w:lineRule="auto"/>
        <w:jc w:val="both"/>
        <w:outlineLvl w:val="9"/>
        <w:rPr>
          <w:b w:val="0"/>
          <w:kern w:val="2"/>
          <w:sz w:val="24"/>
          <w:szCs w:val="24"/>
          <w:lang w:eastAsia="zh-CN"/>
        </w:rPr>
      </w:pPr>
      <w:bookmarkStart w:id="2" w:name="_Toc24878"/>
      <w:bookmarkStart w:id="3" w:name="_Toc31467"/>
      <w:r>
        <w:rPr>
          <w:rFonts w:hint="eastAsia"/>
          <w:b w:val="0"/>
          <w:kern w:val="2"/>
          <w:sz w:val="24"/>
          <w:szCs w:val="24"/>
          <w:lang w:eastAsia="zh-CN"/>
        </w:rPr>
        <w:t>1.2采购项目（标的）交付的地点：</w:t>
      </w:r>
      <w:bookmarkEnd w:id="2"/>
      <w:bookmarkEnd w:id="3"/>
      <w:r>
        <w:rPr>
          <w:rFonts w:hint="eastAsia"/>
          <w:b w:val="0"/>
          <w:kern w:val="2"/>
          <w:sz w:val="24"/>
          <w:szCs w:val="24"/>
          <w:lang w:eastAsia="zh-CN"/>
        </w:rPr>
        <w:t>北京市朝阳区工体南路8号</w:t>
      </w:r>
    </w:p>
    <w:p>
      <w:pPr>
        <w:autoSpaceDE/>
        <w:autoSpaceDN/>
        <w:spacing w:line="360" w:lineRule="auto"/>
        <w:contextualSpacing/>
        <w:rPr>
          <w:kern w:val="2"/>
          <w:sz w:val="24"/>
          <w:szCs w:val="24"/>
          <w:lang w:eastAsia="zh-CN"/>
        </w:rPr>
      </w:pPr>
      <w:r>
        <w:rPr>
          <w:rFonts w:hint="eastAsia"/>
          <w:kern w:val="2"/>
          <w:sz w:val="24"/>
          <w:szCs w:val="24"/>
          <w:lang w:eastAsia="zh-CN"/>
        </w:rPr>
        <w:t>2. 付款条件（进度和方式）</w:t>
      </w:r>
    </w:p>
    <w:p>
      <w:pPr>
        <w:autoSpaceDE/>
        <w:autoSpaceDN/>
        <w:spacing w:line="360" w:lineRule="auto"/>
        <w:ind w:firstLine="360"/>
        <w:rPr>
          <w:sz w:val="24"/>
          <w:lang w:eastAsia="zh-CN"/>
        </w:rPr>
      </w:pPr>
      <w:r>
        <w:rPr>
          <w:rFonts w:hint="eastAsia"/>
          <w:sz w:val="24"/>
          <w:lang w:eastAsia="zh-CN"/>
        </w:rPr>
        <w:t>自合同签订生效后 15 个工作日内，支付本合同 70 %货款即人民币777,</w:t>
      </w:r>
      <w:r>
        <w:rPr>
          <w:rFonts w:hint="eastAsia"/>
          <w:sz w:val="24"/>
          <w:lang w:val="en-US" w:eastAsia="zh-CN"/>
        </w:rPr>
        <w:t>0</w:t>
      </w:r>
      <w:r>
        <w:rPr>
          <w:rFonts w:hint="eastAsia"/>
          <w:sz w:val="24"/>
          <w:lang w:eastAsia="zh-CN"/>
        </w:rPr>
        <w:t>00.00元；完成验收后30天内支付本合同 30 %货款即人民币333,</w:t>
      </w:r>
      <w:r>
        <w:rPr>
          <w:rFonts w:hint="eastAsia"/>
          <w:sz w:val="24"/>
          <w:lang w:val="en-US" w:eastAsia="zh-CN"/>
        </w:rPr>
        <w:t>0</w:t>
      </w:r>
      <w:r>
        <w:rPr>
          <w:rFonts w:hint="eastAsia"/>
          <w:sz w:val="24"/>
          <w:lang w:eastAsia="zh-CN"/>
        </w:rPr>
        <w:t>00.00元。</w:t>
      </w:r>
    </w:p>
    <w:p>
      <w:pPr>
        <w:numPr>
          <w:ilvl w:val="0"/>
          <w:numId w:val="1"/>
        </w:numPr>
        <w:spacing w:line="360" w:lineRule="auto"/>
        <w:ind w:left="240" w:hanging="240" w:hangingChars="100"/>
        <w:contextualSpacing/>
        <w:rPr>
          <w:sz w:val="24"/>
          <w:lang w:eastAsia="zh-CN"/>
        </w:rPr>
      </w:pPr>
      <w:r>
        <w:rPr>
          <w:sz w:val="24"/>
          <w:lang w:eastAsia="zh-CN"/>
        </w:rPr>
        <w:t>包装和运输（如适用，须满足《关于印发〈商品包装政府采购需求标准（试行）〉、〈快递包装政府采购需求标准〉</w:t>
      </w:r>
    </w:p>
    <w:p>
      <w:pPr>
        <w:numPr>
          <w:ilvl w:val="0"/>
          <w:numId w:val="1"/>
        </w:numPr>
        <w:spacing w:line="360" w:lineRule="auto"/>
        <w:ind w:left="240" w:hanging="240" w:hangingChars="100"/>
        <w:contextualSpacing/>
        <w:rPr>
          <w:sz w:val="24"/>
          <w:lang w:eastAsia="zh-CN"/>
        </w:rPr>
      </w:pPr>
      <w:r>
        <w:rPr>
          <w:rFonts w:hint="eastAsia"/>
          <w:sz w:val="24"/>
          <w:lang w:eastAsia="zh-CN"/>
        </w:rPr>
        <w:t>采购标的需实现的功能或者目标：</w:t>
      </w:r>
    </w:p>
    <w:p>
      <w:pPr>
        <w:numPr>
          <w:ilvl w:val="255"/>
          <w:numId w:val="0"/>
        </w:numPr>
        <w:autoSpaceDE/>
        <w:autoSpaceDN/>
        <w:spacing w:line="360" w:lineRule="auto"/>
        <w:ind w:left="0" w:firstLine="360" w:firstLineChars="0"/>
        <w:contextualSpacing w:val="0"/>
        <w:rPr>
          <w:sz w:val="24"/>
          <w:lang w:eastAsia="zh-CN"/>
        </w:rPr>
      </w:pPr>
      <w:r>
        <w:rPr>
          <w:rFonts w:hint="eastAsia"/>
          <w:sz w:val="24"/>
          <w:lang w:eastAsia="zh-CN"/>
        </w:rPr>
        <w:t>本次招标为北京市呼吸疾病研究所采购委托业务供应商，投标人应根据招标文件所提出的采购需求，制定具体服务方案，确保服务质量符合要求，以优良的服务和优惠的价格，充分显示自己的竞争实力。</w:t>
      </w:r>
    </w:p>
    <w:p>
      <w:pPr>
        <w:pStyle w:val="8"/>
        <w:spacing w:line="360" w:lineRule="auto"/>
        <w:ind w:left="500" w:hanging="500" w:firstLineChars="0"/>
        <w:contextualSpacing/>
        <w:rPr>
          <w:b/>
          <w:sz w:val="24"/>
        </w:rPr>
      </w:pPr>
      <w:r>
        <w:rPr>
          <w:rFonts w:hint="eastAsia"/>
          <w:b/>
          <w:sz w:val="24"/>
        </w:rPr>
        <w:t>三</w:t>
      </w:r>
      <w:r>
        <w:rPr>
          <w:b/>
          <w:sz w:val="24"/>
        </w:rPr>
        <w:t>、</w:t>
      </w:r>
      <w:r>
        <w:rPr>
          <w:rFonts w:hint="eastAsia"/>
          <w:b/>
          <w:sz w:val="24"/>
        </w:rPr>
        <w:t>采购标的需满足的服务标准、期限、效率等要求</w:t>
      </w:r>
    </w:p>
    <w:p>
      <w:pPr>
        <w:spacing w:line="360" w:lineRule="auto"/>
        <w:contextualSpacing/>
        <w:rPr>
          <w:rFonts w:ascii="Segoe UI Symbol" w:hAnsi="Segoe UI Symbol" w:eastAsia="宋体" w:cs="Segoe UI Symbol"/>
          <w:b w:val="0"/>
          <w:sz w:val="24"/>
          <w:lang w:eastAsia="zh-CN"/>
        </w:rPr>
      </w:pPr>
      <w:r>
        <w:rPr>
          <w:rFonts w:hint="eastAsia" w:ascii="Segoe UI Symbol" w:hAnsi="Segoe UI Symbol" w:cs="Segoe UI Symbol"/>
          <w:sz w:val="24"/>
          <w:lang w:eastAsia="zh-CN"/>
        </w:rPr>
        <w:t>1</w:t>
      </w:r>
      <w:r>
        <w:rPr>
          <w:rFonts w:ascii="Segoe UI Symbol" w:hAnsi="Segoe UI Symbol" w:cs="Segoe UI Symbol"/>
          <w:b w:val="0"/>
          <w:sz w:val="24"/>
          <w:szCs w:val="22"/>
          <w:lang w:eastAsia="zh-CN"/>
        </w:rPr>
        <w:t>.</w:t>
      </w:r>
      <w:r>
        <w:rPr>
          <w:rFonts w:hint="eastAsia" w:ascii="Segoe UI Symbol" w:hAnsi="Segoe UI Symbol" w:cs="Segoe UI Symbol"/>
          <w:sz w:val="24"/>
          <w:lang w:eastAsia="zh-CN"/>
        </w:rPr>
        <w:t xml:space="preserve"> </w:t>
      </w:r>
      <w:r>
        <w:rPr>
          <w:rFonts w:hint="eastAsia" w:ascii="Segoe UI Symbol" w:hAnsi="Segoe UI Symbol" w:eastAsia="宋体" w:cs="Segoe UI Symbol"/>
          <w:b w:val="0"/>
          <w:sz w:val="24"/>
          <w:lang w:eastAsia="zh-CN"/>
        </w:rPr>
        <w:t>采购标的需满足的服务标准、效率要求</w:t>
      </w:r>
    </w:p>
    <w:p>
      <w:pPr>
        <w:tabs>
          <w:tab w:val="left" w:pos="900"/>
        </w:tabs>
        <w:spacing w:line="360" w:lineRule="auto"/>
        <w:rPr>
          <w:rFonts w:ascii="宋体" w:hAnsi="宋体" w:eastAsia="宋体"/>
          <w:sz w:val="24"/>
          <w:szCs w:val="24"/>
          <w:lang w:eastAsia="zh-CN"/>
        </w:rPr>
      </w:pPr>
      <w:r>
        <w:rPr>
          <w:rFonts w:hint="eastAsia"/>
          <w:sz w:val="24"/>
          <w:szCs w:val="24"/>
          <w:lang w:eastAsia="zh-CN"/>
        </w:rPr>
        <w:t xml:space="preserve">1.1 </w:t>
      </w:r>
      <w:r>
        <w:rPr>
          <w:rFonts w:hint="eastAsia" w:ascii="宋体" w:hAnsi="宋体" w:eastAsia="宋体"/>
          <w:sz w:val="24"/>
          <w:szCs w:val="24"/>
          <w:lang w:eastAsia="zh-CN"/>
        </w:rPr>
        <w:t>配合北京市呼吸疾病研究所样本收取工作：根据实际收样情况，派遣冷链物流转运接收样本并做好样本交接及低温存储；</w:t>
      </w:r>
    </w:p>
    <w:p>
      <w:pPr>
        <w:tabs>
          <w:tab w:val="left" w:pos="900"/>
        </w:tabs>
        <w:spacing w:line="360" w:lineRule="auto"/>
        <w:rPr>
          <w:rFonts w:ascii="宋体" w:hAnsi="宋体" w:eastAsia="宋体"/>
          <w:sz w:val="24"/>
          <w:szCs w:val="24"/>
          <w:lang w:eastAsia="zh-CN"/>
        </w:rPr>
      </w:pPr>
      <w:r>
        <w:rPr>
          <w:rFonts w:hint="eastAsia"/>
          <w:sz w:val="24"/>
          <w:szCs w:val="24"/>
          <w:lang w:eastAsia="zh-CN"/>
        </w:rPr>
        <w:t xml:space="preserve">1.2 </w:t>
      </w:r>
      <w:r>
        <w:rPr>
          <w:rFonts w:hint="eastAsia" w:ascii="宋体" w:hAnsi="宋体" w:eastAsia="宋体"/>
          <w:sz w:val="24"/>
          <w:szCs w:val="24"/>
          <w:lang w:eastAsia="zh-CN"/>
        </w:rPr>
        <w:t>在单位要求的时间内完成实验工作和实验内容；</w:t>
      </w:r>
    </w:p>
    <w:p>
      <w:pPr>
        <w:tabs>
          <w:tab w:val="left" w:pos="900"/>
        </w:tabs>
        <w:spacing w:line="360" w:lineRule="auto"/>
        <w:rPr>
          <w:rFonts w:ascii="宋体" w:hAnsi="宋体" w:eastAsia="宋体"/>
          <w:sz w:val="24"/>
          <w:szCs w:val="24"/>
          <w:lang w:eastAsia="zh-CN"/>
        </w:rPr>
      </w:pPr>
      <w:r>
        <w:rPr>
          <w:rFonts w:hint="eastAsia"/>
          <w:sz w:val="24"/>
          <w:szCs w:val="24"/>
          <w:lang w:eastAsia="zh-CN"/>
        </w:rPr>
        <w:t xml:space="preserve">1.3 </w:t>
      </w:r>
      <w:r>
        <w:rPr>
          <w:rFonts w:hint="eastAsia" w:ascii="宋体" w:hAnsi="宋体" w:eastAsia="宋体"/>
          <w:sz w:val="24"/>
          <w:szCs w:val="24"/>
          <w:lang w:eastAsia="zh-CN"/>
        </w:rPr>
        <w:t>对实验数据结果分析使用中遇到的具体问题提供及时、专业的建议。</w:t>
      </w:r>
    </w:p>
    <w:p>
      <w:pPr>
        <w:tabs>
          <w:tab w:val="left" w:pos="900"/>
        </w:tabs>
        <w:spacing w:line="360" w:lineRule="auto"/>
        <w:rPr>
          <w:rFonts w:ascii="宋体" w:hAnsi="宋体" w:eastAsia="宋体"/>
          <w:sz w:val="24"/>
          <w:szCs w:val="24"/>
          <w:lang w:eastAsia="zh-CN"/>
        </w:rPr>
      </w:pPr>
      <w:r>
        <w:rPr>
          <w:rFonts w:hint="eastAsia"/>
          <w:sz w:val="24"/>
          <w:szCs w:val="24"/>
          <w:lang w:eastAsia="zh-CN"/>
        </w:rPr>
        <w:t xml:space="preserve">1.4 </w:t>
      </w:r>
      <w:r>
        <w:rPr>
          <w:rFonts w:hint="eastAsia" w:ascii="宋体" w:hAnsi="宋体" w:eastAsia="宋体"/>
          <w:sz w:val="24"/>
          <w:szCs w:val="24"/>
          <w:lang w:eastAsia="zh-CN"/>
        </w:rPr>
        <w:t>投标人须针对本项目提供人员配备方案和整体服务方案</w:t>
      </w:r>
    </w:p>
    <w:p>
      <w:pPr>
        <w:tabs>
          <w:tab w:val="left" w:pos="900"/>
        </w:tabs>
        <w:spacing w:line="360" w:lineRule="auto"/>
        <w:rPr>
          <w:rFonts w:ascii="宋体" w:hAnsi="宋体" w:eastAsia="宋体"/>
          <w:b/>
          <w:sz w:val="24"/>
          <w:szCs w:val="24"/>
          <w:lang w:eastAsia="zh-CN"/>
        </w:rPr>
      </w:pPr>
      <w:r>
        <w:rPr>
          <w:rFonts w:hint="eastAsia"/>
          <w:b/>
          <w:sz w:val="24"/>
          <w:szCs w:val="24"/>
          <w:lang w:eastAsia="zh-CN"/>
        </w:rPr>
        <w:t>2.</w:t>
      </w:r>
      <w:r>
        <w:rPr>
          <w:rFonts w:hint="eastAsia" w:ascii="宋体" w:hAnsi="宋体" w:eastAsia="宋体"/>
          <w:b/>
          <w:sz w:val="24"/>
          <w:szCs w:val="24"/>
          <w:lang w:eastAsia="zh-CN"/>
        </w:rPr>
        <w:t>采购标的需满足的服务期限要求</w:t>
      </w:r>
    </w:p>
    <w:p>
      <w:pPr>
        <w:tabs>
          <w:tab w:val="left" w:pos="900"/>
        </w:tabs>
        <w:spacing w:before="120" w:beforeLines="50" w:line="360" w:lineRule="auto"/>
        <w:rPr>
          <w:rFonts w:ascii="宋体" w:hAnsi="宋体" w:eastAsia="宋体"/>
          <w:sz w:val="24"/>
          <w:szCs w:val="24"/>
          <w:lang w:eastAsia="zh-CN"/>
        </w:rPr>
      </w:pPr>
      <w:r>
        <w:rPr>
          <w:rFonts w:hint="eastAsia" w:ascii="宋体" w:hAnsi="宋体" w:eastAsia="宋体"/>
          <w:sz w:val="24"/>
          <w:szCs w:val="24"/>
          <w:lang w:eastAsia="zh-CN"/>
        </w:rPr>
        <w:t>服务期限要求：合同生效之日起</w:t>
      </w:r>
      <w:r>
        <w:rPr>
          <w:rFonts w:ascii="宋体" w:hAnsi="宋体" w:eastAsia="宋体"/>
          <w:sz w:val="24"/>
          <w:szCs w:val="24"/>
          <w:lang w:eastAsia="zh-CN"/>
        </w:rPr>
        <w:t>5个月内</w:t>
      </w:r>
    </w:p>
    <w:p>
      <w:pPr>
        <w:pStyle w:val="9"/>
        <w:spacing w:beforeLines="50" w:line="360" w:lineRule="auto"/>
        <w:ind w:firstLine="0"/>
        <w:rPr>
          <w:rFonts w:ascii="宋体" w:hAnsi="宋体" w:eastAsia="宋体"/>
          <w:b/>
          <w:szCs w:val="24"/>
          <w:lang w:eastAsia="zh-CN"/>
        </w:rPr>
      </w:pPr>
      <w:r>
        <w:rPr>
          <w:rFonts w:hint="eastAsia" w:ascii="宋体" w:hAnsi="宋体"/>
          <w:b/>
          <w:szCs w:val="24"/>
          <w:lang w:eastAsia="zh-CN"/>
        </w:rPr>
        <w:t>3.</w:t>
      </w:r>
      <w:r>
        <w:rPr>
          <w:rFonts w:hint="eastAsia" w:ascii="宋体" w:hAnsi="宋体" w:eastAsia="宋体"/>
          <w:b/>
          <w:szCs w:val="24"/>
          <w:lang w:eastAsia="zh-CN"/>
        </w:rPr>
        <w:t>采购标的物验收标准</w:t>
      </w:r>
    </w:p>
    <w:p>
      <w:pPr>
        <w:tabs>
          <w:tab w:val="left" w:pos="900"/>
        </w:tabs>
        <w:spacing w:before="120" w:beforeLines="50" w:line="360" w:lineRule="auto"/>
        <w:rPr>
          <w:rFonts w:ascii="宋体" w:hAnsi="宋体" w:eastAsia="宋体"/>
          <w:sz w:val="24"/>
          <w:szCs w:val="24"/>
          <w:lang w:eastAsia="zh-CN"/>
        </w:rPr>
      </w:pPr>
      <w:r>
        <w:rPr>
          <w:rFonts w:ascii="宋体" w:hAnsi="宋体" w:eastAsia="宋体"/>
          <w:sz w:val="24"/>
          <w:szCs w:val="24"/>
          <w:lang w:eastAsia="zh-CN"/>
        </w:rPr>
        <w:t>根据实验报告及双方确定的验收标准</w:t>
      </w:r>
      <w:r>
        <w:rPr>
          <w:rFonts w:hint="eastAsia" w:ascii="宋体" w:hAnsi="宋体" w:eastAsia="宋体"/>
          <w:sz w:val="24"/>
          <w:szCs w:val="24"/>
          <w:lang w:eastAsia="zh-CN"/>
        </w:rPr>
        <w:t>，</w:t>
      </w:r>
      <w:r>
        <w:rPr>
          <w:rFonts w:ascii="宋体" w:hAnsi="宋体" w:eastAsia="宋体"/>
          <w:sz w:val="24"/>
          <w:szCs w:val="24"/>
          <w:lang w:eastAsia="zh-CN"/>
        </w:rPr>
        <w:t>详见采购合同</w:t>
      </w:r>
    </w:p>
    <w:p>
      <w:pPr>
        <w:tabs>
          <w:tab w:val="left" w:pos="900"/>
        </w:tabs>
        <w:spacing w:before="120" w:beforeLines="50" w:line="480" w:lineRule="exact"/>
        <w:rPr>
          <w:sz w:val="24"/>
          <w:lang w:eastAsia="zh-CN"/>
        </w:rPr>
      </w:pPr>
      <w:r>
        <w:rPr>
          <w:rFonts w:hint="eastAsia"/>
          <w:sz w:val="24"/>
          <w:lang w:eastAsia="zh-CN"/>
        </w:rPr>
        <w:t xml:space="preserve">4. </w:t>
      </w:r>
      <w:r>
        <w:rPr>
          <w:sz w:val="24"/>
          <w:lang w:eastAsia="zh-CN"/>
        </w:rPr>
        <w:t>为落实政府采购政策需满足的要求；</w:t>
      </w:r>
    </w:p>
    <w:p>
      <w:pPr>
        <w:tabs>
          <w:tab w:val="left" w:pos="900"/>
        </w:tabs>
        <w:spacing w:before="120" w:beforeLines="50" w:line="480" w:lineRule="exact"/>
        <w:rPr>
          <w:sz w:val="24"/>
          <w:lang w:eastAsia="zh-CN"/>
        </w:rPr>
      </w:pPr>
      <w:r>
        <w:rPr>
          <w:rFonts w:hint="eastAsia"/>
          <w:sz w:val="24"/>
          <w:lang w:eastAsia="zh-CN"/>
        </w:rPr>
        <w:t>（1）促进中小企业发展政策：根据《政府采购促进中小企业发展管理办法》的通知（财库〔2020〕46号）规定，本项目供应商所投产品为中小企业制造的，供应商应出具招标文件要求的《中小企业声明函》给予证明，否则评标时不予认可。供应商应对提交的中小企业声明函的真实性负责，提交的中小企业声明函不真实的，应承担相应的法律责任。</w:t>
      </w:r>
    </w:p>
    <w:p>
      <w:pPr>
        <w:tabs>
          <w:tab w:val="left" w:pos="900"/>
        </w:tabs>
        <w:spacing w:before="120" w:beforeLines="50" w:line="480" w:lineRule="exact"/>
        <w:rPr>
          <w:sz w:val="24"/>
          <w:lang w:eastAsia="zh-CN"/>
        </w:rPr>
      </w:pPr>
      <w:r>
        <w:rPr>
          <w:rFonts w:hint="eastAsia"/>
          <w:sz w:val="24"/>
          <w:lang w:eastAsia="zh-CN"/>
        </w:rPr>
        <w:t>（2）监狱企业扶持政策：供应商所投产品为监狱企业制造的，将视同为小型或微型企业，将对该投标产品的投标价给予10%的扣除。</w:t>
      </w:r>
      <w:r>
        <w:rPr>
          <w:rFonts w:hint="eastAsia"/>
          <w:iCs/>
          <w:sz w:val="24"/>
          <w:lang w:eastAsia="zh-CN"/>
        </w:rPr>
        <w:t>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r>
        <w:rPr>
          <w:rFonts w:hint="eastAsia"/>
          <w:sz w:val="24"/>
          <w:lang w:eastAsia="zh-CN"/>
        </w:rPr>
        <w:t>。（</w:t>
      </w:r>
      <w:r>
        <w:rPr>
          <w:sz w:val="24"/>
          <w:lang w:eastAsia="zh-CN"/>
        </w:rPr>
        <w:t>专门面向中小企业采购或预留份额的情况不适用）</w:t>
      </w:r>
    </w:p>
    <w:p>
      <w:pPr>
        <w:tabs>
          <w:tab w:val="left" w:pos="900"/>
        </w:tabs>
        <w:spacing w:before="120" w:beforeLines="50" w:line="480" w:lineRule="exact"/>
        <w:rPr>
          <w:sz w:val="24"/>
          <w:lang w:eastAsia="zh-CN"/>
        </w:rPr>
      </w:pPr>
      <w:r>
        <w:rPr>
          <w:rFonts w:hint="eastAsia"/>
          <w:sz w:val="24"/>
          <w:lang w:eastAsia="zh-CN"/>
        </w:rPr>
        <w:t>（3）促进残疾人就业政府采购政策：根据《三部门联合发布关于促进残疾人就业政府采购政策的通知》（财库〔2017〕141号）规定，符合条件的残疾人福利性单位在参加本项目政府采购活动时，供应商应出具招标文件要求的《残疾人福利性单位声明函》，并对声明的真实性承担法律责任。中标、成交供应商为残疾人福利性单位的，采购代理机构将随中标结果同时公告其《残疾人福利性单位声明函》，接受社会监督。残疾人福利性单位视同小型、微型企业。不重复享受政策。</w:t>
      </w:r>
      <w:r>
        <w:rPr>
          <w:sz w:val="24"/>
          <w:lang w:eastAsia="zh-CN"/>
        </w:rPr>
        <w:t>（专门面向中小企业采购或预留份额的情况不适用）</w:t>
      </w:r>
    </w:p>
    <w:p>
      <w:pPr>
        <w:tabs>
          <w:tab w:val="left" w:pos="900"/>
        </w:tabs>
        <w:spacing w:before="120" w:beforeLines="50" w:line="360" w:lineRule="auto"/>
        <w:rPr>
          <w:b/>
          <w:sz w:val="24"/>
          <w:lang w:eastAsia="zh-CN"/>
        </w:rPr>
      </w:pPr>
      <w:r>
        <w:rPr>
          <w:rFonts w:hint="eastAsia"/>
          <w:sz w:val="24"/>
          <w:lang w:eastAsia="zh-CN"/>
        </w:rPr>
        <w:t>（4）</w:t>
      </w:r>
      <w:r>
        <w:rPr>
          <w:sz w:val="24"/>
          <w:lang w:eastAsia="zh-CN"/>
        </w:rPr>
        <w:t>鼓励节能</w:t>
      </w:r>
      <w:r>
        <w:rPr>
          <w:rFonts w:hint="eastAsia"/>
          <w:sz w:val="24"/>
          <w:lang w:eastAsia="zh-CN"/>
        </w:rPr>
        <w:t>、环保</w:t>
      </w:r>
      <w:r>
        <w:rPr>
          <w:sz w:val="24"/>
          <w:lang w:eastAsia="zh-CN"/>
        </w:rPr>
        <w:t>政策：</w:t>
      </w:r>
      <w:r>
        <w:rPr>
          <w:rFonts w:hint="eastAsia"/>
          <w:sz w:val="24"/>
          <w:lang w:eastAsia="zh-CN"/>
        </w:rPr>
        <w:t>依据《财政部发展改革委生态环境部市场监管总局关于调整优化节能产品、环境标志产品政府采购执行机制的通知（财库（2019）9号）》执行</w:t>
      </w:r>
      <w:r>
        <w:rPr>
          <w:sz w:val="24"/>
          <w:lang w:eastAsia="zh-CN"/>
        </w:rPr>
        <w:t>。</w:t>
      </w:r>
    </w:p>
    <w:p>
      <w:pPr>
        <w:autoSpaceDE/>
        <w:autoSpaceDN/>
        <w:spacing w:before="20" w:line="360" w:lineRule="auto"/>
        <w:rPr>
          <w:sz w:val="24"/>
          <w:lang w:eastAsia="zh-CN"/>
        </w:rPr>
      </w:pPr>
      <w:r>
        <w:rPr>
          <w:rFonts w:hint="eastAsia"/>
          <w:sz w:val="24"/>
          <w:lang w:eastAsia="zh-CN"/>
        </w:rPr>
        <w:t xml:space="preserve">5. </w:t>
      </w:r>
      <w:r>
        <w:rPr>
          <w:sz w:val="24"/>
          <w:lang w:eastAsia="zh-CN"/>
        </w:rPr>
        <w:t>采购标的的其他技术、服务等要求；</w:t>
      </w:r>
    </w:p>
    <w:p>
      <w:pPr>
        <w:pStyle w:val="2"/>
        <w:tabs>
          <w:tab w:val="left" w:pos="1622"/>
        </w:tabs>
        <w:spacing w:line="360" w:lineRule="auto"/>
        <w:ind w:right="109"/>
        <w:jc w:val="both"/>
        <w:rPr>
          <w:b/>
          <w:bCs/>
          <w:sz w:val="24"/>
          <w:szCs w:val="24"/>
          <w:lang w:eastAsia="zh-CN"/>
        </w:rPr>
      </w:pPr>
      <w:bookmarkStart w:id="4" w:name="_Toc18872"/>
      <w:bookmarkStart w:id="5" w:name="_Toc13129"/>
      <w:r>
        <w:rPr>
          <w:rFonts w:hint="eastAsia"/>
          <w:b/>
          <w:bCs/>
          <w:sz w:val="24"/>
          <w:szCs w:val="24"/>
          <w:lang w:eastAsia="zh-CN"/>
        </w:rPr>
        <w:t>品目1-1：</w:t>
      </w:r>
      <w:bookmarkEnd w:id="4"/>
      <w:bookmarkEnd w:id="5"/>
      <w:r>
        <w:rPr>
          <w:rFonts w:hint="eastAsia"/>
          <w:b/>
          <w:bCs/>
          <w:sz w:val="24"/>
          <w:szCs w:val="24"/>
          <w:lang w:eastAsia="zh-CN"/>
        </w:rPr>
        <w:t>流式分析、免疫荧光检测及TUNEL、引物合成、探针</w:t>
      </w:r>
    </w:p>
    <w:p>
      <w:pPr>
        <w:tabs>
          <w:tab w:val="left" w:pos="900"/>
        </w:tabs>
        <w:spacing w:before="120" w:beforeLines="50" w:line="480" w:lineRule="exact"/>
        <w:rPr>
          <w:sz w:val="24"/>
          <w:lang w:eastAsia="zh-CN"/>
        </w:rPr>
      </w:pPr>
      <w:r>
        <w:rPr>
          <w:rFonts w:hint="eastAsia"/>
          <w:sz w:val="24"/>
          <w:lang w:eastAsia="zh-CN"/>
        </w:rPr>
        <w:t>（1）用途：150例心脏病/高血压患者样本进行流式细胞术分析，检测细胞表面标志物及细胞内因子表达；采用免疫荧光技术对样本中的目标蛋白进行定位和定量分析；利用 TUNEL 法检测细胞凋亡情况；根据实验设计合成特异性引物及探针，用于后续分子生物学实验（如 qPCR、荧光原位杂交等）研究。</w:t>
      </w:r>
    </w:p>
    <w:p>
      <w:pPr>
        <w:tabs>
          <w:tab w:val="left" w:pos="900"/>
        </w:tabs>
        <w:spacing w:before="120" w:beforeLines="50" w:line="480" w:lineRule="exact"/>
        <w:rPr>
          <w:sz w:val="24"/>
          <w:lang w:eastAsia="zh-CN"/>
        </w:rPr>
      </w:pPr>
      <w:r>
        <w:rPr>
          <w:rFonts w:hint="eastAsia"/>
          <w:sz w:val="24"/>
          <w:lang w:eastAsia="zh-CN"/>
        </w:rPr>
        <w:t>（2）需求：实验工作主要内容及要求：1. 流式分析：提供新鲜或冻存样本（细胞悬液或组织单细胞悬液）后，按照标准实验流程进行样本染色，上机检测，需提供检测细胞群比例、细胞表面及胞内分子表达水平等详细数据。2. 免疫荧光检测：接收石蜡切片或细胞爬片样本，进行抗原修复、封闭、一抗孵育、二抗孵育等操作，使用荧光显微镜观察并采集图像，需提供荧光强度分析数据及代表性图像。3. TUNEL 检测：针对组织切片或细胞样本，严格按照 TUNEL 试剂盒说明书进行操作，检测凋亡细胞，提供凋亡细胞百分比数据及染色图片。4. 引物及探针合成：根据委托方提供的基因序列信息，合成高纯度、特异性引物及探针，提供引物及探针的浓度、纯度报告，确保引物及探针质量符合后续实验要求。</w:t>
      </w:r>
    </w:p>
    <w:p>
      <w:pPr>
        <w:pStyle w:val="3"/>
        <w:rPr>
          <w:lang w:eastAsia="zh-CN"/>
        </w:rPr>
      </w:pPr>
    </w:p>
    <w:p>
      <w:pPr>
        <w:rPr>
          <w:b/>
          <w:bCs/>
          <w:sz w:val="24"/>
          <w:szCs w:val="24"/>
          <w:lang w:eastAsia="zh-CN"/>
        </w:rPr>
      </w:pPr>
      <w:r>
        <w:rPr>
          <w:rFonts w:hint="eastAsia"/>
          <w:b/>
          <w:bCs/>
          <w:sz w:val="24"/>
          <w:szCs w:val="24"/>
          <w:lang w:eastAsia="zh-CN"/>
        </w:rPr>
        <w:t>品目1-2：电镜、Masson染色、EVG染色等</w:t>
      </w:r>
    </w:p>
    <w:p>
      <w:pPr>
        <w:tabs>
          <w:tab w:val="left" w:pos="900"/>
        </w:tabs>
        <w:spacing w:before="120" w:beforeLines="50" w:line="480" w:lineRule="exact"/>
        <w:rPr>
          <w:sz w:val="24"/>
          <w:lang w:eastAsia="zh-CN"/>
        </w:rPr>
      </w:pPr>
      <w:r>
        <w:rPr>
          <w:rFonts w:hint="eastAsia"/>
          <w:sz w:val="24"/>
          <w:lang w:eastAsia="zh-CN"/>
        </w:rPr>
        <w:t>（1）用途：通过电子显微镜（透射电镜或扫描电镜）观察180例心脏病/高血压患者样本（如心肌组织细胞、细胞器等）的超微结构；运用 Masson 染色方法对组织样本中的胶原纤维进行染色，用于观察组织纤维化程度；采用 EVG 染色技术对弹性纤维进行染色，评估组织弹性纤维的变化情况，辅助研究相关疾病的病理过程。</w:t>
      </w:r>
    </w:p>
    <w:p>
      <w:pPr>
        <w:tabs>
          <w:tab w:val="left" w:pos="900"/>
        </w:tabs>
        <w:spacing w:before="120" w:beforeLines="50" w:line="480" w:lineRule="exact"/>
        <w:rPr>
          <w:sz w:val="24"/>
          <w:lang w:eastAsia="zh-CN"/>
        </w:rPr>
      </w:pPr>
      <w:r>
        <w:rPr>
          <w:rFonts w:hint="eastAsia"/>
          <w:sz w:val="24"/>
          <w:lang w:eastAsia="zh-CN"/>
        </w:rPr>
        <w:t>（2）需求：实验工作主要内容及要求：1. 电镜检测：对于透射电镜，样本需经过固定、脱水、包埋、切片等处理，切片厚度符合电镜观察要求，在透射电镜下观察并采集超微结构图像，提供细胞、细胞器等结构特征描述及图像。对于扫描电镜，样本进行前处理后喷金镀膜，观察样本表面形貌，提供表面结构图像及相关数据。2. Masson 染色：接收石蜡切片样本，进行脱蜡、水化、染色（包括苏木精染色、丽春红酸性品红染色、磷钼酸分化、苯胺蓝染色等步骤）、脱水、透明、封片，提供染色后的切片及胶原纤维染色结果分析（如胶原纤维分布、含量等数据）。3. EVG 染色：对石蜡切片进行脱蜡、水化，依次进行 EVG 染色液染色、分化、蓝化等操作，封片后观察弹性纤维，提供弹性纤维染色图像及弹性纤维含量、分布变化等分析数据。</w:t>
      </w:r>
    </w:p>
    <w:p>
      <w:pPr>
        <w:pStyle w:val="3"/>
        <w:rPr>
          <w:b/>
          <w:bCs/>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品目1-3：基因芯片、蛋白芯片等筛选</w:t>
      </w:r>
    </w:p>
    <w:p>
      <w:pPr>
        <w:tabs>
          <w:tab w:val="left" w:pos="900"/>
        </w:tabs>
        <w:spacing w:before="120" w:beforeLines="50" w:line="480" w:lineRule="exact"/>
        <w:rPr>
          <w:sz w:val="24"/>
          <w:lang w:eastAsia="zh-CN"/>
        </w:rPr>
      </w:pPr>
      <w:r>
        <w:rPr>
          <w:rFonts w:hint="eastAsia"/>
          <w:sz w:val="24"/>
          <w:lang w:eastAsia="zh-CN"/>
        </w:rPr>
        <w:t>（1）用途：运用基因芯片技术对30例心脏病/高血压患者样本的基因表达谱进行高通量检测，筛选差异表达基因；利用蛋白芯片技术对样本中的多种蛋白质进行同时检测，分析蛋白质表达水平、相互作用等情况，从而寻找疾病相关的潜在生物标志物及信号通路，为疾病诊断、治疗及发病机制研究提供依据。</w:t>
      </w:r>
    </w:p>
    <w:p>
      <w:pPr>
        <w:tabs>
          <w:tab w:val="left" w:pos="900"/>
        </w:tabs>
        <w:spacing w:before="120" w:beforeLines="50" w:line="480" w:lineRule="exact"/>
        <w:rPr>
          <w:sz w:val="24"/>
          <w:lang w:eastAsia="zh-CN"/>
        </w:rPr>
      </w:pPr>
      <w:r>
        <w:rPr>
          <w:rFonts w:hint="eastAsia"/>
          <w:sz w:val="24"/>
          <w:lang w:eastAsia="zh-CN"/>
        </w:rPr>
        <w:t>（2）需求：实验工作主要内容及要求：1. 基因芯片检测：提取样本 RNA，进行逆转录、荧光标记等操作，将标记后的样本与基因芯片进行杂交、洗片，扫描芯片获取基因表达数据。需提供原始数据文件、差异表达基因筛选结果（包括上调、下调基因列表及倍数变化等数据），并对差异基因进行功能注释及通路富集分析。2. 蛋白芯片检测：提取样本总蛋白，进行蛋白定量，按照芯片实验要求进行样本孵育、检测，获得蛋白质表达信号值。需提供原始数据、差异表达蛋白质分析结果（包括蛋白质名称、表达变化情况等），并进行蛋白质功能分类及相互作用网络分析。</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品目1-4：CHIP-seq</w:t>
      </w:r>
    </w:p>
    <w:p>
      <w:pPr>
        <w:tabs>
          <w:tab w:val="left" w:pos="900"/>
        </w:tabs>
        <w:spacing w:before="120" w:beforeLines="50" w:line="480" w:lineRule="exact"/>
        <w:rPr>
          <w:sz w:val="24"/>
          <w:lang w:eastAsia="zh-CN"/>
        </w:rPr>
      </w:pPr>
      <w:r>
        <w:rPr>
          <w:rFonts w:hint="eastAsia"/>
          <w:sz w:val="24"/>
          <w:lang w:eastAsia="zh-CN"/>
        </w:rPr>
        <w:t>（1）用途：6例小鼠肺CHIP-seq检测及分析</w:t>
      </w:r>
    </w:p>
    <w:p>
      <w:pPr>
        <w:tabs>
          <w:tab w:val="left" w:pos="900"/>
        </w:tabs>
        <w:spacing w:before="120" w:beforeLines="50" w:line="480" w:lineRule="exact"/>
        <w:rPr>
          <w:sz w:val="24"/>
          <w:lang w:eastAsia="zh-CN"/>
        </w:rPr>
      </w:pPr>
      <w:r>
        <w:rPr>
          <w:rFonts w:hint="eastAsia"/>
          <w:sz w:val="24"/>
          <w:lang w:eastAsia="zh-CN"/>
        </w:rPr>
        <w:t>（2）需求：实验工作主要内容及要求：取疾病造模后的6只小鼠肺组织样本，使用特异性抗体富集与目的蛋白结合的 DNA 片段，此过程需对细胞进行交联固定、超声破碎等操作。之后对富集的 DNA 片段进行末端修复、加A尾、连接测序接头等建库步骤，构建适用于高通量测序的文库，再利用二代测序技术获取 DNA 序列数据。分析流程方面，首先对测序数据进行质量控制与过滤，去除低质量 reads。接着将合格数据比对到参考基因组，然后识别 DNA 富集区域，即peaks，以确定目的蛋白的结合位点。最后结合基因注释信息，对结合位点所在区域进行功能注释与分析，探究目的蛋白在基因调控等生物学过程中的作用。</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品目1-5：蛋白组学</w:t>
      </w:r>
    </w:p>
    <w:p>
      <w:pPr>
        <w:tabs>
          <w:tab w:val="left" w:pos="900"/>
        </w:tabs>
        <w:spacing w:before="120" w:beforeLines="50" w:line="480" w:lineRule="exact"/>
        <w:rPr>
          <w:sz w:val="24"/>
          <w:lang w:eastAsia="zh-CN"/>
        </w:rPr>
      </w:pPr>
      <w:r>
        <w:rPr>
          <w:rFonts w:hint="eastAsia"/>
          <w:sz w:val="24"/>
          <w:lang w:eastAsia="zh-CN"/>
        </w:rPr>
        <w:t>（1）用途：60例受试样本蛋白提取，Deep-DIA质谱检测和数据分析</w:t>
      </w:r>
    </w:p>
    <w:p>
      <w:pPr>
        <w:tabs>
          <w:tab w:val="left" w:pos="900"/>
        </w:tabs>
        <w:spacing w:before="120" w:beforeLines="50" w:line="480" w:lineRule="exact"/>
        <w:rPr>
          <w:sz w:val="24"/>
          <w:lang w:eastAsia="zh-CN"/>
        </w:rPr>
      </w:pPr>
      <w:r>
        <w:rPr>
          <w:rFonts w:hint="eastAsia"/>
          <w:sz w:val="24"/>
          <w:lang w:eastAsia="zh-CN"/>
        </w:rPr>
        <w:t>（2）需求：实验工作主要内容及要求：针对提供的60例样本提取全蛋白并进行Deep-DIA深度蛋白定性检测和相对定量数据分析（有效检测时长不低于24min/样），获得蛋白样本按照委托方的分组要求进行检测和分析，生物信息分析要包括定量比值直方分布分析、火山图、样本表达模式聚类、GO分析、差异蛋白GO富集、pathway代谢通路注释、差异蛋白pathway富集和COG分析。需要在完成蛋白提取检测和分析后，为确保结果的真实性、准确性和清晰性，要求提供蛋白定量的原始数据值、质谱下机的原始数据和数据库序列。</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品目1-6：转录组学</w:t>
      </w:r>
    </w:p>
    <w:p>
      <w:pPr>
        <w:tabs>
          <w:tab w:val="left" w:pos="900"/>
        </w:tabs>
        <w:spacing w:before="120" w:beforeLines="50" w:line="480" w:lineRule="exact"/>
        <w:rPr>
          <w:sz w:val="24"/>
          <w:lang w:eastAsia="zh-CN"/>
        </w:rPr>
      </w:pPr>
      <w:r>
        <w:rPr>
          <w:rFonts w:hint="eastAsia"/>
          <w:sz w:val="24"/>
          <w:lang w:eastAsia="zh-CN"/>
        </w:rPr>
        <w:t>（1）用途：30例慢性气道疾病受试者外周血有核细胞深度转录组测序及分析</w:t>
      </w:r>
    </w:p>
    <w:p>
      <w:pPr>
        <w:tabs>
          <w:tab w:val="left" w:pos="900"/>
        </w:tabs>
        <w:spacing w:before="120" w:beforeLines="50" w:line="480" w:lineRule="exact"/>
        <w:rPr>
          <w:sz w:val="24"/>
          <w:lang w:eastAsia="zh-CN"/>
        </w:rPr>
      </w:pPr>
      <w:r>
        <w:rPr>
          <w:rFonts w:hint="eastAsia"/>
          <w:sz w:val="24"/>
          <w:lang w:eastAsia="zh-CN"/>
        </w:rPr>
        <w:t>（2）需求：实验工作主要内容及要求：将提供的30例样本提取RNA、文库构建合格后，采用 Novaseq 6000 测序平台对文库进行测序，并生成 150 bp 双端 reads。使用 R（v 3.2.0）对基因（counts）进行分析以及绘图，以评估样本生物学重复。实验中要求RNA使用Agilent Bioanalyzer质检RIN≥6 且 28S/18S≥0.7，Q30 碱基分布在 94.66~97.01%，比对率为 85.67~98.67 %。有效数据量：分布在 20.89~22.06 G。需要在完成实验后，提供原始数据。</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品目1-7：RNA-seq</w:t>
      </w:r>
    </w:p>
    <w:p>
      <w:pPr>
        <w:tabs>
          <w:tab w:val="left" w:pos="900"/>
        </w:tabs>
        <w:spacing w:before="120" w:beforeLines="50" w:line="480" w:lineRule="exact"/>
        <w:rPr>
          <w:sz w:val="24"/>
          <w:lang w:eastAsia="zh-CN"/>
        </w:rPr>
      </w:pPr>
      <w:r>
        <w:rPr>
          <w:rFonts w:hint="eastAsia"/>
          <w:sz w:val="24"/>
          <w:lang w:eastAsia="zh-CN"/>
        </w:rPr>
        <w:t>（1）用途：5例小鼠肺单细胞测序及分析</w:t>
      </w:r>
    </w:p>
    <w:p>
      <w:pPr>
        <w:tabs>
          <w:tab w:val="left" w:pos="900"/>
        </w:tabs>
        <w:spacing w:before="120" w:beforeLines="50" w:line="480" w:lineRule="exact"/>
        <w:rPr>
          <w:sz w:val="24"/>
          <w:lang w:eastAsia="zh-CN"/>
        </w:rPr>
      </w:pPr>
      <w:r>
        <w:rPr>
          <w:rFonts w:hint="eastAsia"/>
          <w:sz w:val="24"/>
          <w:lang w:eastAsia="zh-CN"/>
        </w:rPr>
        <w:t>（2）需求：实验工作主要内容及要求：针对提供的5例疾病造模后的小鼠，取肺组织消化成细胞悬液，将检测合格的细胞经洗涤、重悬，制备成合适浓度的单细胞悬液。根据目标细胞数进行相应的上样，上样后，若形成正常GEMs，则将GEMs吸出转移到PCR管中进行反转录及文库构建。库检合格后，上机测序。获得原始测序序列(Sequenced Reads)后，使用10X官方分析软件Cell Ranger对细胞进行分型和差异分析，后续对这些差异基因进行功能富集，从而鉴定亚群的功能特征。</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品目1-8：单细胞测序及空间转录组测序</w:t>
      </w:r>
    </w:p>
    <w:p>
      <w:pPr>
        <w:tabs>
          <w:tab w:val="left" w:pos="900"/>
        </w:tabs>
        <w:spacing w:before="120" w:beforeLines="50" w:line="480" w:lineRule="exact"/>
        <w:rPr>
          <w:sz w:val="24"/>
          <w:lang w:eastAsia="zh-CN"/>
        </w:rPr>
      </w:pPr>
      <w:r>
        <w:rPr>
          <w:rFonts w:hint="eastAsia"/>
          <w:sz w:val="24"/>
          <w:lang w:eastAsia="zh-CN"/>
        </w:rPr>
        <w:t>（1）用途：18例样本10X Genomics单细胞转录组建库测序</w:t>
      </w:r>
    </w:p>
    <w:p>
      <w:pPr>
        <w:tabs>
          <w:tab w:val="left" w:pos="900"/>
        </w:tabs>
        <w:spacing w:before="120" w:beforeLines="50" w:line="480" w:lineRule="exact"/>
        <w:rPr>
          <w:sz w:val="24"/>
          <w:lang w:eastAsia="zh-CN"/>
        </w:rPr>
      </w:pPr>
      <w:r>
        <w:rPr>
          <w:rFonts w:hint="eastAsia"/>
          <w:sz w:val="24"/>
          <w:lang w:eastAsia="zh-CN"/>
        </w:rPr>
        <w:t>（2）需求：实验工作主要内容及要求：蛋白质微阵列将少量的样品应用于“芯片”进行分析（有时是以玻璃片的形式，表面经过化学修饰）。特定的抗体可以被固定在芯片表面，用于捕获复杂样品中的目标蛋白。这被称为分析蛋白微阵列，这些类型的微阵列被用来测量样品中蛋白质的表达水平和结合亲和力。功能蛋白微阵列被用来描述蛋白功能，如蛋白-RNA相互作用和酶-底物周转。在反相蛋白质芯片中，来自例如健康与病变组织或未处理与处理过的细胞的蛋白质被结合到芯片上，然后用针对目标蛋白质的抗体对芯片进行检测。</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品目1-9：单细胞测序</w:t>
      </w:r>
    </w:p>
    <w:p>
      <w:pPr>
        <w:tabs>
          <w:tab w:val="left" w:pos="900"/>
        </w:tabs>
        <w:spacing w:before="120" w:beforeLines="50" w:line="480" w:lineRule="exact"/>
        <w:rPr>
          <w:sz w:val="24"/>
          <w:lang w:eastAsia="zh-CN"/>
        </w:rPr>
      </w:pPr>
      <w:r>
        <w:rPr>
          <w:rFonts w:hint="eastAsia"/>
          <w:sz w:val="24"/>
          <w:lang w:eastAsia="zh-CN"/>
        </w:rPr>
        <w:t>（1）用途：16例CMV再激活的ARDS患者肺泡灌洗液单细胞测序及分析</w:t>
      </w:r>
    </w:p>
    <w:p>
      <w:pPr>
        <w:tabs>
          <w:tab w:val="left" w:pos="900"/>
        </w:tabs>
        <w:spacing w:before="120" w:beforeLines="50" w:line="480" w:lineRule="exact"/>
        <w:rPr>
          <w:sz w:val="24"/>
          <w:lang w:eastAsia="zh-CN"/>
        </w:rPr>
      </w:pPr>
      <w:r>
        <w:rPr>
          <w:rFonts w:hint="eastAsia"/>
          <w:sz w:val="24"/>
          <w:lang w:eastAsia="zh-CN"/>
        </w:rPr>
        <w:t>（2）需求：单细胞测序将用于分析急性呼吸窘迫综合征（ARDS）患者肺泡灌洗液中CMV再激活相关基因表达变化。通过对ARDS患者和健康对照组的肺泡灌洗液样本进行单细胞测序，全面解析肺部细胞的转录组特征，识别出在ARDS发病过程中以及CMV再激活状态下，不同细胞类型（如肺泡上皮细胞、巨噬细胞、内皮细胞等）的差异表达基因。这些差异基因将有助于揭示CMV再激活在ARDS中的作用机制，特别是其如何通过调控特定细胞类型的基因表达影响炎症反应和肺部病理变化。此外，单细胞测序还将用于探索AIM2炎症小体通路在CMV再激活引发的炎症反应中的细胞特异性作用，为后续的靶点验证和治疗策略开发提供关键的分子基础。</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品目1-10：炎症及生长因子检测</w:t>
      </w:r>
    </w:p>
    <w:p>
      <w:pPr>
        <w:tabs>
          <w:tab w:val="left" w:pos="900"/>
        </w:tabs>
        <w:spacing w:before="120" w:beforeLines="50" w:line="480" w:lineRule="exact"/>
        <w:rPr>
          <w:sz w:val="24"/>
          <w:lang w:eastAsia="zh-CN"/>
        </w:rPr>
      </w:pPr>
      <w:r>
        <w:rPr>
          <w:rFonts w:hint="eastAsia"/>
          <w:sz w:val="24"/>
          <w:lang w:eastAsia="zh-CN"/>
        </w:rPr>
        <w:t>（1）用途：40例患者外周血样本中18种炎症因子浓度定量检测及分析。11种生长因子浓度定量检测及分析。</w:t>
      </w:r>
    </w:p>
    <w:p>
      <w:pPr>
        <w:tabs>
          <w:tab w:val="left" w:pos="900"/>
        </w:tabs>
        <w:spacing w:before="120" w:beforeLines="50" w:line="480" w:lineRule="exact"/>
        <w:rPr>
          <w:sz w:val="24"/>
          <w:lang w:eastAsia="zh-CN"/>
        </w:rPr>
      </w:pPr>
      <w:r>
        <w:rPr>
          <w:rFonts w:hint="eastAsia"/>
          <w:sz w:val="24"/>
          <w:lang w:eastAsia="zh-CN"/>
        </w:rPr>
        <w:t>（2）需求：针对提供的40例患者的外周血血清样本，用Luminex液相蛋白芯片方法检测40例病人血清中18种因子的浓度水平及变化。（细胞因子包括:GM-CSF, IFN-γ, IL-1β, IL-2, IL-4, IL-5, IL-6, IL-9, IL-10, IL-12 p70, IL-13, IL-17A, IL-18, IL-21, IL-22, IL-23, IL-27, TNF-α）。实验结果要保证真实性、准确性和清晰性，要求提供luminex 200蛋白；针对提供的40例患者的外周血血清样本，用Luminex液相蛋白芯片方法检测40例病人血清中11种因子的浓度水平及变化。（细胞因子包括:BDNF,NGFβ, EGF, FGF-basic, HGF, LIF, PDGF-BB, PlGF, SCF, VEGF-A, VEGF-D）。实验结果要保证真实性、准确性和清晰性，要求提供luminex 200蛋白定量检测仪的原始荧光数据值，试剂盒自带软件换算出来的浓度值和分析热图。</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品目1-11：基因组、转录组测序</w:t>
      </w:r>
    </w:p>
    <w:p>
      <w:pPr>
        <w:tabs>
          <w:tab w:val="left" w:pos="900"/>
        </w:tabs>
        <w:spacing w:before="120" w:beforeLines="50" w:line="480" w:lineRule="exact"/>
        <w:rPr>
          <w:sz w:val="24"/>
          <w:lang w:eastAsia="zh-CN"/>
        </w:rPr>
      </w:pPr>
      <w:r>
        <w:rPr>
          <w:rFonts w:hint="eastAsia"/>
          <w:sz w:val="24"/>
          <w:lang w:eastAsia="zh-CN"/>
        </w:rPr>
        <w:t>（1）用途：200例菌株进行DNA/RNA提取转录组建库测序</w:t>
      </w:r>
    </w:p>
    <w:p>
      <w:pPr>
        <w:tabs>
          <w:tab w:val="left" w:pos="900"/>
        </w:tabs>
        <w:spacing w:before="120" w:beforeLines="50" w:line="480" w:lineRule="exact"/>
        <w:rPr>
          <w:sz w:val="24"/>
          <w:lang w:eastAsia="zh-CN"/>
        </w:rPr>
      </w:pPr>
      <w:r>
        <w:rPr>
          <w:rFonts w:hint="eastAsia"/>
          <w:sz w:val="24"/>
          <w:lang w:eastAsia="zh-CN"/>
        </w:rPr>
        <w:t>（2）需求：实验工作主要内容及需求：针对提供的200个真菌样本进行链特异的mRNA测序。包括样本DNA/RNA提取、质量检测、建库及上机检测。每个样本的测序数据量不少于2G。</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品目1-12：蛋白组检测</w:t>
      </w:r>
    </w:p>
    <w:p>
      <w:pPr>
        <w:tabs>
          <w:tab w:val="left" w:pos="900"/>
        </w:tabs>
        <w:spacing w:before="120" w:beforeLines="50" w:line="480" w:lineRule="exact"/>
        <w:rPr>
          <w:sz w:val="24"/>
          <w:lang w:eastAsia="zh-CN"/>
        </w:rPr>
      </w:pPr>
      <w:r>
        <w:rPr>
          <w:rFonts w:hint="eastAsia"/>
          <w:sz w:val="24"/>
          <w:lang w:eastAsia="zh-CN"/>
        </w:rPr>
        <w:t>（1）用途：100例受试样本蛋白提取，DIA质谱检测和数据分析</w:t>
      </w:r>
    </w:p>
    <w:p>
      <w:pPr>
        <w:tabs>
          <w:tab w:val="left" w:pos="900"/>
        </w:tabs>
        <w:spacing w:before="120" w:beforeLines="50" w:line="480" w:lineRule="exact"/>
        <w:rPr>
          <w:sz w:val="24"/>
          <w:lang w:eastAsia="zh-CN"/>
        </w:rPr>
      </w:pPr>
      <w:r>
        <w:rPr>
          <w:rFonts w:hint="eastAsia"/>
          <w:sz w:val="24"/>
          <w:lang w:eastAsia="zh-CN"/>
        </w:rPr>
        <w:t>（2）需求：实验工作主要内容及要求：针对提供的100例样本提取全蛋白并进行DIA蛋白定性检测和相对定量数据分析，获得蛋白样本按照委托方的分组要求进行检测和分析，生物信息分析要包括定量比值直方分布分析、火山图、样本表达模式聚类、GO分析、差异蛋白GO富集、pathway代谢通路注释、差异蛋白pathway富集和COG分析。需要在完成蛋白提取检测和分析后，为确保结果的真实性、准确性和清晰性，要求提供蛋白定量的原始数据值、质谱下机的原始数据和数据库序列。</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品目1-13：小鼠外周血及肺组织酶联免疫吸附试验</w:t>
      </w:r>
    </w:p>
    <w:p>
      <w:pPr>
        <w:tabs>
          <w:tab w:val="left" w:pos="900"/>
        </w:tabs>
        <w:spacing w:before="120" w:beforeLines="50" w:line="480" w:lineRule="exact"/>
        <w:rPr>
          <w:sz w:val="24"/>
          <w:lang w:eastAsia="zh-CN"/>
        </w:rPr>
      </w:pPr>
      <w:r>
        <w:rPr>
          <w:rFonts w:hint="eastAsia"/>
          <w:sz w:val="24"/>
          <w:lang w:eastAsia="zh-CN"/>
        </w:rPr>
        <w:t>（1）用途：80例小鼠样本外周血和肺组织酶联免疫吸附试验</w:t>
      </w:r>
    </w:p>
    <w:p>
      <w:pPr>
        <w:tabs>
          <w:tab w:val="left" w:pos="900"/>
        </w:tabs>
        <w:spacing w:before="120" w:beforeLines="50" w:line="480" w:lineRule="exact"/>
        <w:rPr>
          <w:sz w:val="24"/>
          <w:lang w:eastAsia="zh-CN"/>
        </w:rPr>
      </w:pPr>
      <w:r>
        <w:rPr>
          <w:rFonts w:hint="eastAsia"/>
          <w:sz w:val="24"/>
          <w:lang w:eastAsia="zh-CN"/>
        </w:rPr>
        <w:t>（2）需求：实验工作内容及要求：采用双抗体夹心酶联免疫吸附试验（ELISA）。在预包被抗OPN、ERK、MEK5、ASMA、COL抗体（固相抗体）的微孔酶标板中，加入校准品和待测样本，再加入另一株酶标抗体，经过温育与充分洗涤，去除未结合的组分，在微孔板固相表面形成固相抗体-抗原-酶标抗体的夹心复合物。加底物 A 和 B，底物在 HRP 催化下，产生蓝色产物，在终 止液（2M 硫酸）作用下，最终转化为黄色，在酶标仪 450nm 波长上测定吸光度（OD 值），吸 光度（OD 值）与待测样品中的OPN、ERK、MEK5、ASMA、COL浓度正相关。拟合校准品 曲线，计算出样本中浓度。</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品目1-14：人外周血酶联免疫吸附试验</w:t>
      </w:r>
    </w:p>
    <w:p>
      <w:pPr>
        <w:tabs>
          <w:tab w:val="left" w:pos="900"/>
        </w:tabs>
        <w:spacing w:before="120" w:beforeLines="50" w:line="480" w:lineRule="exact"/>
        <w:rPr>
          <w:sz w:val="24"/>
          <w:lang w:eastAsia="zh-CN"/>
        </w:rPr>
      </w:pPr>
      <w:r>
        <w:rPr>
          <w:rFonts w:hint="eastAsia"/>
          <w:sz w:val="24"/>
          <w:lang w:eastAsia="zh-CN"/>
        </w:rPr>
        <w:t>（1）用途：40例人外周血酶联免疫吸附试验</w:t>
      </w:r>
    </w:p>
    <w:p>
      <w:pPr>
        <w:tabs>
          <w:tab w:val="left" w:pos="900"/>
        </w:tabs>
        <w:spacing w:before="120" w:beforeLines="50" w:line="480" w:lineRule="exact"/>
        <w:rPr>
          <w:sz w:val="24"/>
          <w:lang w:eastAsia="zh-CN"/>
        </w:rPr>
      </w:pPr>
      <w:r>
        <w:rPr>
          <w:rFonts w:hint="eastAsia"/>
          <w:sz w:val="24"/>
          <w:lang w:eastAsia="zh-CN"/>
        </w:rPr>
        <w:t>（2）需求：实验工作内容及要求：采用双抗体夹心酶联免疫吸附试验（ELISA）。在预包被抗OPN 、ERK5、MEK5、IL6、IL18抗体（固相抗体）的微孔酶标板中，加入校准品和待测样本，再加入另一株酶标抗体，经过温育与充分洗涤，去除未结合的组分，在微孔板固相表面形成固相抗体-抗原-酶标抗体的夹心复合物。加底物 A 和 B，底物在 HRP 催化下，产生蓝色产物，在终 止液（2M 硫酸）作用下，最终转化为黄色，在酶标仪 450nm 波长上测定吸光度（OD 值），吸 光度（OD 值）与待测样品中的OPN 、ERK5、MEK5、IL6、IL8浓度正相关。拟合校准品 曲线，计算出样本中浓度。</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品目1-15：宏基因组、转录组学及代谢组学</w:t>
      </w:r>
    </w:p>
    <w:p>
      <w:pPr>
        <w:tabs>
          <w:tab w:val="left" w:pos="900"/>
        </w:tabs>
        <w:spacing w:before="120" w:beforeLines="50" w:line="480" w:lineRule="exact"/>
        <w:rPr>
          <w:sz w:val="24"/>
          <w:lang w:eastAsia="zh-CN"/>
        </w:rPr>
      </w:pPr>
      <w:r>
        <w:rPr>
          <w:rFonts w:hint="eastAsia"/>
          <w:sz w:val="24"/>
          <w:lang w:eastAsia="zh-CN"/>
        </w:rPr>
        <w:t>（1）用途：30例0-5周PCP小鼠肠道菌群检测、10例小鼠肺组织转录组测序-用与PCP造模第3周粪菌移植实验、60例0-5周PCP小鼠肺组织及外周血非靶代谢组学检测</w:t>
      </w:r>
    </w:p>
    <w:p>
      <w:pPr>
        <w:tabs>
          <w:tab w:val="left" w:pos="900"/>
        </w:tabs>
        <w:spacing w:before="120" w:beforeLines="50" w:line="480" w:lineRule="exact"/>
        <w:rPr>
          <w:sz w:val="24"/>
          <w:lang w:eastAsia="zh-CN"/>
        </w:rPr>
      </w:pPr>
      <w:r>
        <w:rPr>
          <w:rFonts w:hint="eastAsia"/>
          <w:sz w:val="24"/>
          <w:lang w:eastAsia="zh-CN"/>
        </w:rPr>
        <w:t>（2）需求：实验工作主要内容及要求：针对提供的30例0-5周PCP小鼠的粪便样本，提取DNA，检测合格的DNA样品用Covaris超声波破碎仪随机打断成长度约为350bp的片段，经末端修复、加 A尾、加测序接头、纯化、PCR 扩增等步骤完成整个文库制备。库检合格后，把不同文库按照有效浓度及目标下机数据量的需求pooling后进行高通量测序。测序获得原始数据后进行数据分析，包括数据质控，物种注释，功能注释，差异分析等。对比不同时间点的菌群特征差异；针对提供的10例PCP造模小鼠肺组织样本，从样本中提取RNA.完成质检后进行文库构建，通过mRNA富集，片段化与反转录、末端修复与接头连接，PCR扩增等步骤完成文库构建，文库质检合格后进行上机测序。测序完成后，进行数据分析，包括数据预处理、序列比对、基因表达定量、差异表达分析、功能注释与富集分析；针对提供的60例PCP小鼠肺组织和外周血样本进行代谢组检测；组织样本经过加入提取液匀浆、离心等步骤收集上清液。血浆样本加入提取液进行蛋白沉淀后移取上清液。所有样本采用两种液相色谱 / 质谱联用方法。一份样品采用正离子模式条件进行分析，使用 T3 色谱柱进行梯度洗脱，另一份样品采用负离子模式条件，洗脱梯度与正离子模式相同。数据采集采用信息依赖采集（IDA）模式，通过 Analyst TF 1.7.1 软件操作。获得定量和定性结果后进行数据分析，包括PCA,PLS-DA,差异代谢物，KEGG分析等。</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品目1-16：蛋白组学、转录组学</w:t>
      </w:r>
    </w:p>
    <w:p>
      <w:pPr>
        <w:tabs>
          <w:tab w:val="left" w:pos="900"/>
        </w:tabs>
        <w:spacing w:before="120" w:beforeLines="50" w:line="480" w:lineRule="exact"/>
        <w:rPr>
          <w:sz w:val="24"/>
          <w:lang w:eastAsia="zh-CN"/>
        </w:rPr>
      </w:pPr>
      <w:r>
        <w:rPr>
          <w:rFonts w:hint="eastAsia"/>
          <w:sz w:val="24"/>
          <w:lang w:eastAsia="zh-CN"/>
        </w:rPr>
        <w:t>（1）用途： 14例小鼠来源巨噬细胞培养液上清蛋白检测、20例小鼠肺组织转录组测序</w:t>
      </w:r>
    </w:p>
    <w:p>
      <w:pPr>
        <w:tabs>
          <w:tab w:val="left" w:pos="900"/>
        </w:tabs>
        <w:spacing w:before="120" w:beforeLines="50" w:line="480" w:lineRule="exact"/>
        <w:rPr>
          <w:sz w:val="24"/>
          <w:lang w:eastAsia="zh-CN"/>
        </w:rPr>
      </w:pPr>
      <w:r>
        <w:rPr>
          <w:rFonts w:hint="eastAsia"/>
          <w:sz w:val="24"/>
          <w:lang w:eastAsia="zh-CN"/>
        </w:rPr>
        <w:t>（2）需求：实验工作主要内容及要求：针对提供的14例小鼠来源保存在干冰中的巨噬细胞培养液上清样品基于Olink技术检测92种蛋白的表达水平。基本数据分析包括：蛋白质定性检测；差异蛋白分析（样本数不少于2；默认筛选Fold Change&gt;1.5或&lt;0.667的蛋白作为差异蛋白）；差异蛋白富集分析；针对提供的20例人血小板样本，从样本中提取RNA，完成质检后进行文库构建，通过mRNA富集，片段化与反转录、末端修复与接头连接，PCR扩增等步骤完成文库构建，文库质检合格后进行上机测序。测序完成后，进行数据分析，包括数据预处理、序列比对、基因表达定量、差异表达分析、功能注释与富集分析。</w:t>
      </w:r>
    </w:p>
    <w:p>
      <w:pPr>
        <w:pStyle w:val="3"/>
        <w:rPr>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品目1-17：组织切片多靶点病理检测</w:t>
      </w:r>
    </w:p>
    <w:p>
      <w:pPr>
        <w:tabs>
          <w:tab w:val="left" w:pos="900"/>
        </w:tabs>
        <w:spacing w:before="120" w:beforeLines="50" w:line="480" w:lineRule="exact"/>
        <w:rPr>
          <w:sz w:val="24"/>
          <w:lang w:eastAsia="zh-CN"/>
        </w:rPr>
      </w:pPr>
      <w:r>
        <w:rPr>
          <w:rFonts w:hint="eastAsia"/>
          <w:sz w:val="24"/>
          <w:lang w:eastAsia="zh-CN"/>
        </w:rPr>
        <w:t>（1）用途：20例肿瘤样本多重免疫组化染色、成像和分析</w:t>
      </w:r>
    </w:p>
    <w:p>
      <w:pPr>
        <w:tabs>
          <w:tab w:val="left" w:pos="900"/>
        </w:tabs>
        <w:spacing w:before="120" w:beforeLines="50" w:line="480" w:lineRule="exact"/>
        <w:rPr>
          <w:sz w:val="24"/>
          <w:lang w:eastAsia="zh-CN"/>
        </w:rPr>
      </w:pPr>
      <w:r>
        <w:rPr>
          <w:rFonts w:hint="eastAsia"/>
          <w:sz w:val="24"/>
          <w:lang w:eastAsia="zh-CN"/>
        </w:rPr>
        <w:t>（2）需求：针对提供的20例肿瘤样本进行多重免疫组化染色。通过标记多种抗体，实现对组织样本中多个目标抗原的精准定位；利用切片扫描设备，将染色后的样本转化为高分辨率图像，清晰呈现各抗原分布；分析过程借助专业软件，对成像结果进行量化解读，统计各类细胞在切片上分布的数据、深度挖掘其中蕴含的生物学信息。</w:t>
      </w:r>
    </w:p>
    <w:p>
      <w:pPr>
        <w:pStyle w:val="2"/>
        <w:tabs>
          <w:tab w:val="left" w:pos="1622"/>
        </w:tabs>
        <w:spacing w:line="360" w:lineRule="auto"/>
        <w:ind w:right="109"/>
        <w:jc w:val="both"/>
        <w:rPr>
          <w:b/>
          <w:bCs/>
          <w:sz w:val="24"/>
          <w:szCs w:val="24"/>
          <w:lang w:eastAsia="zh-CN"/>
        </w:rPr>
      </w:pPr>
    </w:p>
    <w:p>
      <w:pPr>
        <w:pStyle w:val="2"/>
        <w:tabs>
          <w:tab w:val="left" w:pos="1622"/>
        </w:tabs>
        <w:spacing w:line="360" w:lineRule="auto"/>
        <w:ind w:right="109"/>
        <w:jc w:val="both"/>
        <w:rPr>
          <w:b/>
          <w:bCs/>
          <w:sz w:val="24"/>
          <w:szCs w:val="24"/>
          <w:lang w:eastAsia="zh-CN"/>
        </w:rPr>
      </w:pPr>
      <w:r>
        <w:rPr>
          <w:rFonts w:hint="eastAsia"/>
          <w:b/>
          <w:bCs/>
          <w:sz w:val="24"/>
          <w:szCs w:val="24"/>
          <w:lang w:eastAsia="zh-CN"/>
        </w:rPr>
        <w:t>品目1-18：吸入治疗监测</w:t>
      </w:r>
    </w:p>
    <w:p>
      <w:pPr>
        <w:tabs>
          <w:tab w:val="left" w:pos="900"/>
        </w:tabs>
        <w:spacing w:before="120" w:beforeLines="50" w:line="480" w:lineRule="exact"/>
        <w:rPr>
          <w:sz w:val="24"/>
          <w:lang w:eastAsia="zh-CN"/>
        </w:rPr>
      </w:pPr>
      <w:r>
        <w:rPr>
          <w:rFonts w:hint="eastAsia"/>
          <w:sz w:val="24"/>
          <w:lang w:eastAsia="zh-CN"/>
        </w:rPr>
        <w:t>（1）用途：为受试者提供192次吸入治疗监测</w:t>
      </w:r>
    </w:p>
    <w:p>
      <w:pPr>
        <w:tabs>
          <w:tab w:val="left" w:pos="900"/>
        </w:tabs>
        <w:spacing w:before="120" w:beforeLines="50" w:line="480" w:lineRule="exact"/>
        <w:rPr>
          <w:sz w:val="24"/>
          <w:lang w:eastAsia="zh-CN"/>
        </w:rPr>
      </w:pPr>
      <w:r>
        <w:rPr>
          <w:rFonts w:hint="eastAsia"/>
          <w:sz w:val="24"/>
          <w:lang w:eastAsia="zh-CN"/>
        </w:rPr>
        <w:t>（2）需求：吸入治疗监测，需要提供吸气开始时间，吸气结束时间，有效吸气时长，吸气峰流速等项目值。</w:t>
      </w:r>
    </w:p>
    <w:p>
      <w:pPr/>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Trebuchet MS">
    <w:panose1 w:val="020B0603020202020204"/>
    <w:charset w:val="00"/>
    <w:family w:val="swiss"/>
    <w:pitch w:val="default"/>
    <w:sig w:usb0="00000687" w:usb1="00000000" w:usb2="00000000" w:usb3="00000000" w:csb0="2000009F" w:csb1="00000000"/>
  </w:font>
  <w:font w:name="Arial Narrow">
    <w:panose1 w:val="020B0606020202030204"/>
    <w:charset w:val="00"/>
    <w:family w:val="swiss"/>
    <w:pitch w:val="default"/>
    <w:sig w:usb0="00000287" w:usb1="00000800" w:usb2="00000000" w:usb3="00000000" w:csb0="2000009F" w:csb1="DFD70000"/>
  </w:font>
  <w:font w:name="Lucida Sans">
    <w:panose1 w:val="020B0602030504020204"/>
    <w:charset w:val="00"/>
    <w:family w:val="swiss"/>
    <w:pitch w:val="default"/>
    <w:sig w:usb0="00000003" w:usb1="00000000" w:usb2="00000000" w:usb3="00000000" w:csb0="20000001" w:csb1="00000000"/>
  </w:font>
  <w:font w:name="Century">
    <w:panose1 w:val="02040604050505020304"/>
    <w:charset w:val="00"/>
    <w:family w:val="roman"/>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Verdana">
    <w:panose1 w:val="020B0604030504040204"/>
    <w:charset w:val="00"/>
    <w:family w:val="swiss"/>
    <w:pitch w:val="default"/>
    <w:sig w:usb0="A00006FF" w:usb1="4000205B" w:usb2="00000010" w:usb3="00000000" w:csb0="2000019F" w:csb1="00000000"/>
  </w:font>
  <w:font w:name="Bookman Old Style">
    <w:panose1 w:val="02050604050505020204"/>
    <w:charset w:val="00"/>
    <w:family w:val="roman"/>
    <w:pitch w:val="default"/>
    <w:sig w:usb0="00000287" w:usb1="00000000" w:usb2="00000000" w:usb3="00000000" w:csb0="2000009F" w:csb1="DFD7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Century Gothic">
    <w:panose1 w:val="020B0502020202020204"/>
    <w:charset w:val="00"/>
    <w:family w:val="decorative"/>
    <w:pitch w:val="default"/>
    <w:sig w:usb0="00000287" w:usb1="00000000" w:usb2="00000000" w:usb3="00000000" w:csb0="2000009F" w:csb1="DFD70000"/>
  </w:font>
  <w:font w:name="Trebuchet MS">
    <w:panose1 w:val="020B0603020202020204"/>
    <w:charset w:val="00"/>
    <w:family w:val="decorative"/>
    <w:pitch w:val="default"/>
    <w:sig w:usb0="00000687" w:usb1="00000000" w:usb2="00000000" w:usb3="00000000" w:csb0="2000009F" w:csb1="00000000"/>
  </w:font>
  <w:font w:name="Arial Narrow">
    <w:panose1 w:val="020B0606020202030204"/>
    <w:charset w:val="00"/>
    <w:family w:val="decorative"/>
    <w:pitch w:val="default"/>
    <w:sig w:usb0="00000287" w:usb1="00000800" w:usb2="00000000" w:usb3="00000000" w:csb0="2000009F" w:csb1="DFD70000"/>
  </w:font>
  <w:font w:name="Lucida Sans">
    <w:panose1 w:val="020B0602030504020204"/>
    <w:charset w:val="00"/>
    <w:family w:val="decorative"/>
    <w:pitch w:val="default"/>
    <w:sig w:usb0="00000003" w:usb1="00000000" w:usb2="00000000" w:usb3="00000000" w:csb0="20000001" w:csb1="00000000"/>
  </w:font>
  <w:font w:name="Century">
    <w:panose1 w:val="02040604050505020304"/>
    <w:charset w:val="00"/>
    <w:family w:val="modern"/>
    <w:pitch w:val="default"/>
    <w:sig w:usb0="00000287" w:usb1="00000000" w:usb2="00000000" w:usb3="00000000" w:csb0="2000009F" w:csb1="DFD70000"/>
  </w:font>
  <w:font w:name="Segoe UI Symbol">
    <w:panose1 w:val="020B0502040204020203"/>
    <w:charset w:val="00"/>
    <w:family w:val="decorative"/>
    <w:pitch w:val="default"/>
    <w:sig w:usb0="800001E3" w:usb1="1200FFEF" w:usb2="00040000" w:usb3="04000000" w:csb0="00000001" w:csb1="40000000"/>
  </w:font>
  <w:font w:name="Verdana">
    <w:panose1 w:val="020B0604030504040204"/>
    <w:charset w:val="00"/>
    <w:family w:val="decorative"/>
    <w:pitch w:val="default"/>
    <w:sig w:usb0="A00006FF" w:usb1="4000205B" w:usb2="00000010" w:usb3="00000000" w:csb0="2000019F" w:csb1="00000000"/>
  </w:font>
  <w:font w:name="Bookman Old Style">
    <w:panose1 w:val="02050604050505020204"/>
    <w:charset w:val="00"/>
    <w:family w:val="modern"/>
    <w:pitch w:val="default"/>
    <w:sig w:usb0="00000287" w:usb1="00000000" w:usb2="00000000" w:usb3="00000000" w:csb0="2000009F" w:csb1="DFD70000"/>
  </w:font>
  <w:font w:name="Arial Black">
    <w:panose1 w:val="020B0A04020102020204"/>
    <w:charset w:val="00"/>
    <w:family w:val="decorative"/>
    <w:pitch w:val="default"/>
    <w:sig w:usb0="A00002AF" w:usb1="400078FB" w:usb2="00000000" w:usb3="00000000" w:csb0="6000009F" w:csb1="DFD70000"/>
  </w:font>
  <w:font w:name="仿宋_GB2312">
    <w:altName w:val="仿宋"/>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Century Gothic">
    <w:panose1 w:val="020B0502020202020204"/>
    <w:charset w:val="00"/>
    <w:family w:val="roman"/>
    <w:pitch w:val="default"/>
    <w:sig w:usb0="00000287" w:usb1="00000000" w:usb2="00000000" w:usb3="00000000" w:csb0="2000009F" w:csb1="DFD70000"/>
  </w:font>
  <w:font w:name="Trebuchet MS">
    <w:panose1 w:val="020B0603020202020204"/>
    <w:charset w:val="00"/>
    <w:family w:val="roman"/>
    <w:pitch w:val="default"/>
    <w:sig w:usb0="00000687" w:usb1="00000000" w:usb2="00000000" w:usb3="00000000" w:csb0="2000009F" w:csb1="00000000"/>
  </w:font>
  <w:font w:name="Arial Narrow">
    <w:panose1 w:val="020B0606020202030204"/>
    <w:charset w:val="00"/>
    <w:family w:val="roman"/>
    <w:pitch w:val="default"/>
    <w:sig w:usb0="00000287" w:usb1="00000800" w:usb2="00000000" w:usb3="00000000" w:csb0="2000009F" w:csb1="DFD70000"/>
  </w:font>
  <w:font w:name="Lucida Sans">
    <w:panose1 w:val="020B0602030504020204"/>
    <w:charset w:val="00"/>
    <w:family w:val="roman"/>
    <w:pitch w:val="default"/>
    <w:sig w:usb0="00000003" w:usb1="00000000" w:usb2="00000000" w:usb3="00000000" w:csb0="20000001" w:csb1="00000000"/>
  </w:font>
  <w:font w:name="Century">
    <w:panose1 w:val="02040604050505020304"/>
    <w:charset w:val="00"/>
    <w:family w:val="swiss"/>
    <w:pitch w:val="default"/>
    <w:sig w:usb0="00000287" w:usb1="00000000" w:usb2="00000000" w:usb3="00000000" w:csb0="2000009F" w:csb1="DFD70000"/>
  </w:font>
  <w:font w:name="Segoe UI Symbol">
    <w:panose1 w:val="020B0502040204020203"/>
    <w:charset w:val="00"/>
    <w:family w:val="roman"/>
    <w:pitch w:val="default"/>
    <w:sig w:usb0="800001E3" w:usb1="1200FFEF" w:usb2="00040000" w:usb3="04000000" w:csb0="00000001" w:csb1="40000000"/>
  </w:font>
  <w:font w:name="Verdana">
    <w:panose1 w:val="020B0604030504040204"/>
    <w:charset w:val="00"/>
    <w:family w:val="roman"/>
    <w:pitch w:val="default"/>
    <w:sig w:usb0="A00006FF" w:usb1="4000205B" w:usb2="00000010" w:usb3="00000000" w:csb0="2000019F" w:csb1="00000000"/>
  </w:font>
  <w:font w:name="Bookman Old Style">
    <w:panose1 w:val="02050604050505020204"/>
    <w:charset w:val="00"/>
    <w:family w:val="swiss"/>
    <w:pitch w:val="default"/>
    <w:sig w:usb0="00000287" w:usb1="00000000" w:usb2="00000000" w:usb3="00000000" w:csb0="2000009F" w:csb1="DFD70000"/>
  </w:font>
  <w:font w:name="Arial Black">
    <w:panose1 w:val="020B0A04020102020204"/>
    <w:charset w:val="00"/>
    <w:family w:val="roman"/>
    <w:pitch w:val="default"/>
    <w:sig w:usb0="A00002AF" w:usb1="400078FB" w:usb2="00000000" w:usb3="00000000" w:csb0="6000009F" w:csb1="DFD7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decorative"/>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w:panose1 w:val="02040604050505020304"/>
    <w:charset w:val="00"/>
    <w:family w:val="decorative"/>
    <w:pitch w:val="default"/>
    <w:sig w:usb0="00000287" w:usb1="00000000" w:usb2="00000000" w:usb3="00000000" w:csb0="2000009F" w:csb1="DFD70000"/>
  </w:font>
  <w:font w:name="Lucida Sans">
    <w:panose1 w:val="020B0602030504020204"/>
    <w:charset w:val="00"/>
    <w:family w:val="modern"/>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Arial">
    <w:panose1 w:val="020B0604020202020204"/>
    <w:charset w:val="00"/>
    <w:family w:val="auto"/>
    <w:pitch w:val="default"/>
    <w:sig w:usb0="E0002EFF" w:usb1="C000785B" w:usb2="00000009" w:usb3="00000000" w:csb0="400001FF" w:csb1="FFFF0000"/>
  </w:font>
  <w:font w:name="Calibri Light">
    <w:panose1 w:val="020F0302020204030204"/>
    <w:charset w:val="00"/>
    <w:family w:val="auto"/>
    <w:pitch w:val="default"/>
    <w:sig w:usb0="E4002EFF" w:usb1="C200247B" w:usb2="00000009" w:usb3="00000000" w:csb0="200001FF" w:csb1="00000000"/>
  </w:font>
  <w:font w:name="PMingLiU">
    <w:altName w:val="PMingLiU-ExtB"/>
    <w:panose1 w:val="02020500000000000000"/>
    <w:charset w:val="88"/>
    <w:family w:val="swiss"/>
    <w:pitch w:val="default"/>
    <w:sig w:usb0="00000000" w:usb1="00000000" w:usb2="00000016" w:usb3="00000000" w:csb0="00100001" w:csb1="00000000"/>
  </w:font>
  <w:font w:name="PMingLiU">
    <w:altName w:val="PMingLiU-ExtB"/>
    <w:panose1 w:val="02020500000000000000"/>
    <w:charset w:val="88"/>
    <w:family w:val="modern"/>
    <w:pitch w:val="default"/>
    <w:sig w:usb0="00000000" w:usb1="0000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4695802">
    <w:nsid w:val="67FDF1FA"/>
    <w:multiLevelType w:val="singleLevel"/>
    <w:tmpl w:val="67FDF1FA"/>
    <w:lvl w:ilvl="0" w:tentative="1">
      <w:start w:val="3"/>
      <w:numFmt w:val="decimal"/>
      <w:suff w:val="space"/>
      <w:lvlText w:val="%1."/>
      <w:lvlJc w:val="left"/>
    </w:lvl>
  </w:abstractNum>
  <w:num w:numId="1">
    <w:abstractNumId w:val="17446958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E7E3D"/>
    <w:rsid w:val="71EE7E3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0"/>
    <w:pPr>
      <w:outlineLvl w:val="0"/>
    </w:pPr>
    <w:rPr>
      <w:sz w:val="36"/>
      <w:szCs w:val="36"/>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rPr>
      <w:sz w:val="24"/>
      <w:szCs w:val="24"/>
    </w:rPr>
  </w:style>
  <w:style w:type="paragraph" w:styleId="4">
    <w:name w:val="Title"/>
    <w:basedOn w:val="1"/>
    <w:qFormat/>
    <w:uiPriority w:val="0"/>
    <w:pPr>
      <w:jc w:val="center"/>
      <w:outlineLvl w:val="0"/>
    </w:pPr>
    <w:rPr>
      <w:b/>
      <w:sz w:val="32"/>
      <w:szCs w:val="20"/>
    </w:rPr>
  </w:style>
  <w:style w:type="paragraph" w:customStyle="1" w:styleId="7">
    <w:name w:val="列出段落1"/>
    <w:basedOn w:val="1"/>
    <w:qFormat/>
    <w:uiPriority w:val="1"/>
    <w:pPr>
      <w:spacing w:before="134"/>
      <w:ind w:left="1196" w:hanging="720"/>
    </w:pPr>
    <w:rPr>
      <w:sz w:val="20"/>
    </w:rPr>
  </w:style>
  <w:style w:type="paragraph" w:customStyle="1" w:styleId="8">
    <w:name w:val="列出段落2"/>
    <w:basedOn w:val="1"/>
    <w:unhideWhenUsed/>
    <w:qFormat/>
    <w:uiPriority w:val="99"/>
    <w:pPr>
      <w:ind w:firstLine="420" w:firstLineChars="200"/>
      <w:jc w:val="both"/>
    </w:pPr>
    <w:rPr>
      <w:rFonts w:ascii="Times New Roman" w:hAnsi="Times New Roman" w:cs="Times New Roman"/>
      <w:kern w:val="2"/>
      <w:sz w:val="21"/>
      <w:szCs w:val="24"/>
      <w:lang w:eastAsia="zh-CN"/>
    </w:rPr>
  </w:style>
  <w:style w:type="paragraph" w:customStyle="1" w:styleId="9">
    <w:name w:val="SOW正文"/>
    <w:basedOn w:val="1"/>
    <w:qFormat/>
    <w:uiPriority w:val="0"/>
    <w:pPr>
      <w:snapToGrid w:val="0"/>
      <w:spacing w:before="120" w:line="400" w:lineRule="exact"/>
      <w:ind w:firstLine="425"/>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2025-05-08T07:57:00Z</dcterms:created>
  <dc:creator>wangjingxuan</dc:creator>
  <cp:lastModifiedBy>wangjingxuan</cp:lastModifiedBy>
  <dcterms:modified xsi:type="dcterms:W3CDTF">2025-05-08T07:57:54Z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