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66" w:rsidRDefault="00234C66" w:rsidP="00234C66">
      <w:pPr>
        <w:snapToGrid w:val="0"/>
        <w:spacing w:line="540" w:lineRule="exact"/>
        <w:jc w:val="center"/>
        <w:outlineLvl w:val="0"/>
        <w:rPr>
          <w:b/>
          <w:sz w:val="36"/>
          <w:szCs w:val="36"/>
        </w:rPr>
      </w:pPr>
      <w:bookmarkStart w:id="0" w:name="_Toc119569274"/>
      <w:bookmarkStart w:id="1" w:name="_GoBack"/>
      <w:bookmarkEnd w:id="1"/>
      <w:r>
        <w:rPr>
          <w:rFonts w:hint="eastAsia"/>
          <w:b/>
          <w:sz w:val="36"/>
          <w:szCs w:val="36"/>
        </w:rPr>
        <w:t>采购需求</w:t>
      </w:r>
      <w:bookmarkEnd w:id="0"/>
    </w:p>
    <w:p w:rsidR="00234C66" w:rsidRDefault="00234C66" w:rsidP="00234C66">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一、采购标的需实现的功能或者目标，以及为落实政府采购政策需满足的要求：</w:t>
      </w:r>
    </w:p>
    <w:p w:rsidR="00234C66" w:rsidRDefault="00234C66" w:rsidP="00234C66">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234C66" w:rsidRDefault="00234C66" w:rsidP="00234C66">
      <w:pPr>
        <w:spacing w:line="540" w:lineRule="exact"/>
        <w:ind w:firstLineChars="200" w:firstLine="480"/>
        <w:rPr>
          <w:rFonts w:ascii="仿宋" w:eastAsia="仿宋" w:hAnsi="仿宋"/>
          <w:sz w:val="24"/>
        </w:rPr>
      </w:pPr>
      <w:r>
        <w:rPr>
          <w:rFonts w:ascii="仿宋" w:eastAsia="仿宋" w:hAnsi="仿宋" w:hint="eastAsia"/>
          <w:sz w:val="24"/>
        </w:rPr>
        <w:t xml:space="preserve">本次招标采购主要是承担本市一万余家医疗机构的医疗纠纷调解服务，供应 商应根据招标文件所提出的技术规格和服务要求，选择需要最佳性能价格比的服 </w:t>
      </w:r>
      <w:proofErr w:type="gramStart"/>
      <w:r>
        <w:rPr>
          <w:rFonts w:ascii="仿宋" w:eastAsia="仿宋" w:hAnsi="仿宋" w:hint="eastAsia"/>
          <w:sz w:val="24"/>
        </w:rPr>
        <w:t>务</w:t>
      </w:r>
      <w:proofErr w:type="gramEnd"/>
      <w:r>
        <w:rPr>
          <w:rFonts w:ascii="仿宋" w:eastAsia="仿宋" w:hAnsi="仿宋" w:hint="eastAsia"/>
          <w:sz w:val="24"/>
        </w:rPr>
        <w:t>前来投标。供应商应以优良的服务和优惠的价格，充分显示自己的竞争实力。</w:t>
      </w:r>
    </w:p>
    <w:p w:rsidR="00234C66" w:rsidRDefault="00234C66" w:rsidP="00234C66">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234C66" w:rsidRDefault="00234C66" w:rsidP="00234C66">
      <w:pPr>
        <w:numPr>
          <w:ilvl w:val="0"/>
          <w:numId w:val="1"/>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234C66" w:rsidRDefault="00234C66" w:rsidP="00234C66">
      <w:pPr>
        <w:numPr>
          <w:ilvl w:val="0"/>
          <w:numId w:val="1"/>
        </w:numPr>
        <w:spacing w:line="540" w:lineRule="exact"/>
        <w:rPr>
          <w:rFonts w:ascii="仿宋" w:eastAsia="仿宋" w:hAnsi="仿宋" w:cs="宋体"/>
          <w:sz w:val="24"/>
        </w:rPr>
      </w:pPr>
      <w:r>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234C66" w:rsidRDefault="00234C66" w:rsidP="00234C66">
      <w:pPr>
        <w:numPr>
          <w:ilvl w:val="0"/>
          <w:numId w:val="1"/>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234C66" w:rsidRDefault="00234C66" w:rsidP="00234C66">
      <w:pPr>
        <w:numPr>
          <w:ilvl w:val="0"/>
          <w:numId w:val="1"/>
        </w:numPr>
        <w:spacing w:line="540" w:lineRule="exact"/>
        <w:rPr>
          <w:rFonts w:ascii="仿宋" w:eastAsia="仿宋" w:hAnsi="仿宋" w:cs="宋体"/>
          <w:sz w:val="24"/>
        </w:rPr>
      </w:pPr>
      <w:r>
        <w:rPr>
          <w:rFonts w:ascii="仿宋" w:eastAsia="仿宋" w:hAnsi="仿宋" w:cs="宋体" w:hint="eastAsia"/>
          <w:sz w:val="24"/>
        </w:rPr>
        <w:t>鼓励节能政策：投标人的投标产品属于财政部、发展改革委公布的“节能产品政府采购品目清单”范围的，投标人需提供国家确定的认证机构出具的、处于有效期之内的</w:t>
      </w:r>
      <w:r>
        <w:rPr>
          <w:rFonts w:ascii="仿宋" w:eastAsia="仿宋" w:hAnsi="仿宋" w:cs="宋体" w:hint="eastAsia"/>
          <w:sz w:val="24"/>
        </w:rPr>
        <w:lastRenderedPageBreak/>
        <w:t>节能产品认证证书。国家确定的认证机构和节能产品获证产品信息可从市场监管总局组建的节能产品、环境标志产品认证结果信息发布平台或中国政府采购网（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234C66" w:rsidRDefault="00234C66" w:rsidP="00234C66">
      <w:pPr>
        <w:numPr>
          <w:ilvl w:val="0"/>
          <w:numId w:val="1"/>
        </w:numPr>
        <w:spacing w:line="540" w:lineRule="exact"/>
        <w:rPr>
          <w:rFonts w:ascii="仿宋" w:eastAsia="仿宋" w:hAnsi="仿宋" w:cs="宋体"/>
          <w:sz w:val="24"/>
        </w:rPr>
      </w:pPr>
      <w:r>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234C66" w:rsidRDefault="00234C66" w:rsidP="00234C66">
      <w:pPr>
        <w:spacing w:line="540" w:lineRule="exact"/>
        <w:ind w:left="361" w:hangingChars="150" w:hanging="361"/>
        <w:rPr>
          <w:rFonts w:ascii="仿宋" w:eastAsia="仿宋" w:hAnsi="仿宋" w:cs="宋体"/>
          <w:b/>
          <w:bCs/>
          <w:sz w:val="24"/>
          <w:lang w:val="zh-TW" w:eastAsia="zh-TW"/>
        </w:rPr>
      </w:pPr>
      <w:r>
        <w:rPr>
          <w:rFonts w:ascii="仿宋" w:eastAsia="仿宋" w:hAnsi="仿宋" w:cs="宋体" w:hint="eastAsia"/>
          <w:b/>
          <w:bCs/>
          <w:sz w:val="24"/>
          <w:lang w:val="zh-TW" w:eastAsia="zh-TW"/>
        </w:rPr>
        <w:t>二、采购标的需执行的国家相关标准、行业标准、地方标准或者其他标准、规范：</w:t>
      </w:r>
    </w:p>
    <w:p w:rsidR="00234C66" w:rsidRDefault="00234C66" w:rsidP="00234C66">
      <w:pPr>
        <w:spacing w:line="540" w:lineRule="exact"/>
        <w:rPr>
          <w:rFonts w:ascii="仿宋" w:eastAsia="仿宋" w:hAnsi="仿宋" w:cs="宋体"/>
          <w:bCs/>
          <w:sz w:val="24"/>
        </w:rPr>
      </w:pPr>
      <w:r>
        <w:rPr>
          <w:rFonts w:ascii="仿宋" w:eastAsia="仿宋" w:hAnsi="仿宋" w:cs="宋体" w:hint="eastAsia"/>
          <w:bCs/>
          <w:sz w:val="24"/>
        </w:rPr>
        <w:t>无</w:t>
      </w:r>
    </w:p>
    <w:p w:rsidR="00234C66" w:rsidRDefault="00234C66" w:rsidP="00234C66">
      <w:pPr>
        <w:spacing w:line="540" w:lineRule="exact"/>
        <w:rPr>
          <w:rFonts w:ascii="仿宋" w:eastAsia="仿宋" w:hAnsi="仿宋" w:cs="宋体"/>
          <w:sz w:val="24"/>
          <w:lang w:val="zh-TW" w:eastAsia="zh-TW"/>
        </w:rPr>
      </w:pPr>
      <w:r>
        <w:rPr>
          <w:rFonts w:ascii="仿宋" w:eastAsia="仿宋" w:hAnsi="仿宋" w:cs="宋体" w:hint="eastAsia"/>
          <w:b/>
          <w:bCs/>
          <w:sz w:val="24"/>
          <w:lang w:val="zh-TW" w:eastAsia="zh-TW"/>
        </w:rPr>
        <w:t>三、采购标的的数量、采购项目交付或者实施的时间和地点：</w:t>
      </w:r>
    </w:p>
    <w:p w:rsidR="00234C66" w:rsidRDefault="00234C66" w:rsidP="00234C66">
      <w:pPr>
        <w:spacing w:line="540" w:lineRule="exact"/>
        <w:rPr>
          <w:rFonts w:ascii="仿宋" w:eastAsia="仿宋" w:hAnsi="仿宋" w:cs="宋体"/>
          <w:sz w:val="24"/>
          <w:lang w:val="zh-TW"/>
        </w:rPr>
      </w:pPr>
      <w:r>
        <w:rPr>
          <w:rFonts w:ascii="仿宋" w:eastAsia="仿宋" w:hAnsi="仿宋" w:cs="宋体" w:hint="eastAsia"/>
          <w:b/>
          <w:bCs/>
          <w:sz w:val="24"/>
          <w:lang w:val="zh-TW" w:eastAsia="zh-TW"/>
        </w:rPr>
        <w:t>（一）采购标的的数量</w:t>
      </w:r>
      <w:r>
        <w:rPr>
          <w:rFonts w:ascii="仿宋" w:eastAsia="仿宋" w:hAnsi="仿宋" w:cs="宋体" w:hint="eastAsia"/>
          <w:b/>
          <w:bCs/>
          <w:sz w:val="24"/>
        </w:rPr>
        <w:t xml:space="preserve"> </w:t>
      </w:r>
      <w:r>
        <w:rPr>
          <w:rFonts w:ascii="仿宋" w:eastAsia="仿宋" w:hAnsi="仿宋" w:cs="宋体" w:hint="eastAsia"/>
          <w:b/>
          <w:bCs/>
          <w:sz w:val="24"/>
          <w:lang w:val="zh-TW" w:eastAsia="zh-TW"/>
        </w:rPr>
        <w:t>：</w:t>
      </w:r>
    </w:p>
    <w:tbl>
      <w:tblPr>
        <w:tblW w:w="472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15"/>
        <w:gridCol w:w="3226"/>
        <w:gridCol w:w="1405"/>
        <w:gridCol w:w="3127"/>
      </w:tblGrid>
      <w:tr w:rsidR="00234C66" w:rsidTr="003C6A58">
        <w:trPr>
          <w:trHeight w:val="599"/>
        </w:trPr>
        <w:tc>
          <w:tcPr>
            <w:tcW w:w="628" w:type="pct"/>
            <w:shd w:val="clear" w:color="auto" w:fill="auto"/>
            <w:vAlign w:val="center"/>
          </w:tcPr>
          <w:p w:rsidR="00234C66" w:rsidRDefault="00234C66" w:rsidP="003C6A58">
            <w:pPr>
              <w:widowControl/>
              <w:jc w:val="center"/>
              <w:rPr>
                <w:rFonts w:ascii="仿宋" w:eastAsia="仿宋" w:hAnsi="仿宋"/>
                <w:b/>
                <w:sz w:val="24"/>
              </w:rPr>
            </w:pPr>
            <w:proofErr w:type="gramStart"/>
            <w:r>
              <w:rPr>
                <w:rFonts w:ascii="仿宋" w:eastAsia="仿宋" w:hAnsi="仿宋" w:hint="eastAsia"/>
                <w:b/>
                <w:sz w:val="24"/>
              </w:rPr>
              <w:t>包号</w:t>
            </w:r>
            <w:proofErr w:type="gramEnd"/>
          </w:p>
        </w:tc>
        <w:tc>
          <w:tcPr>
            <w:tcW w:w="1818" w:type="pct"/>
            <w:shd w:val="clear" w:color="000000" w:fill="FFFFFF"/>
            <w:vAlign w:val="center"/>
          </w:tcPr>
          <w:p w:rsidR="00234C66" w:rsidRDefault="00234C66" w:rsidP="003C6A58">
            <w:pPr>
              <w:widowControl/>
              <w:jc w:val="center"/>
              <w:rPr>
                <w:rFonts w:ascii="仿宋" w:eastAsia="仿宋" w:hAnsi="仿宋"/>
                <w:b/>
                <w:sz w:val="24"/>
              </w:rPr>
            </w:pPr>
            <w:r>
              <w:rPr>
                <w:rFonts w:ascii="仿宋" w:eastAsia="仿宋" w:hAnsi="仿宋" w:hint="eastAsia"/>
                <w:b/>
                <w:sz w:val="24"/>
              </w:rPr>
              <w:t>标的名称</w:t>
            </w:r>
          </w:p>
        </w:tc>
        <w:tc>
          <w:tcPr>
            <w:tcW w:w="792" w:type="pct"/>
            <w:shd w:val="clear" w:color="000000" w:fill="FFFFFF"/>
            <w:vAlign w:val="center"/>
          </w:tcPr>
          <w:p w:rsidR="00234C66" w:rsidRDefault="00234C66" w:rsidP="003C6A58">
            <w:pPr>
              <w:widowControl/>
              <w:jc w:val="center"/>
              <w:rPr>
                <w:rFonts w:ascii="仿宋" w:eastAsia="仿宋" w:hAnsi="仿宋"/>
                <w:b/>
                <w:sz w:val="24"/>
              </w:rPr>
            </w:pPr>
            <w:r>
              <w:rPr>
                <w:rFonts w:ascii="仿宋" w:eastAsia="仿宋" w:hAnsi="仿宋"/>
                <w:b/>
                <w:sz w:val="24"/>
              </w:rPr>
              <w:t>数量</w:t>
            </w:r>
          </w:p>
        </w:tc>
        <w:tc>
          <w:tcPr>
            <w:tcW w:w="1762" w:type="pct"/>
            <w:shd w:val="clear" w:color="000000" w:fill="FFFFFF"/>
            <w:vAlign w:val="center"/>
          </w:tcPr>
          <w:p w:rsidR="00234C66" w:rsidRDefault="00234C66" w:rsidP="003C6A58">
            <w:pPr>
              <w:widowControl/>
              <w:jc w:val="center"/>
              <w:rPr>
                <w:rFonts w:ascii="仿宋" w:eastAsia="仿宋" w:hAnsi="仿宋"/>
                <w:b/>
                <w:sz w:val="24"/>
              </w:rPr>
            </w:pPr>
            <w:r>
              <w:rPr>
                <w:rFonts w:ascii="仿宋" w:eastAsia="仿宋" w:hAnsi="仿宋" w:hint="eastAsia"/>
                <w:b/>
                <w:sz w:val="24"/>
              </w:rPr>
              <w:t>是否接受进口产品</w:t>
            </w:r>
          </w:p>
        </w:tc>
      </w:tr>
      <w:tr w:rsidR="00234C66" w:rsidTr="003C6A58">
        <w:trPr>
          <w:trHeight w:val="603"/>
        </w:trPr>
        <w:tc>
          <w:tcPr>
            <w:tcW w:w="628" w:type="pct"/>
            <w:shd w:val="clear" w:color="auto" w:fill="auto"/>
            <w:vAlign w:val="center"/>
          </w:tcPr>
          <w:p w:rsidR="00234C66" w:rsidRDefault="00234C66" w:rsidP="003C6A58">
            <w:pPr>
              <w:widowControl/>
              <w:jc w:val="center"/>
              <w:rPr>
                <w:rFonts w:ascii="仿宋" w:eastAsia="仿宋" w:hAnsi="仿宋"/>
                <w:sz w:val="24"/>
              </w:rPr>
            </w:pPr>
            <w:r>
              <w:rPr>
                <w:rFonts w:ascii="仿宋" w:eastAsia="仿宋" w:hAnsi="仿宋" w:hint="eastAsia"/>
                <w:sz w:val="24"/>
              </w:rPr>
              <w:t>1</w:t>
            </w:r>
          </w:p>
        </w:tc>
        <w:tc>
          <w:tcPr>
            <w:tcW w:w="1818" w:type="pct"/>
            <w:shd w:val="clear" w:color="000000" w:fill="FFFFFF"/>
            <w:vAlign w:val="center"/>
          </w:tcPr>
          <w:p w:rsidR="00234C66" w:rsidRDefault="00234C66" w:rsidP="003C6A58">
            <w:pPr>
              <w:widowControl/>
              <w:jc w:val="center"/>
              <w:rPr>
                <w:rFonts w:ascii="仿宋" w:eastAsia="仿宋" w:hAnsi="仿宋"/>
                <w:sz w:val="24"/>
              </w:rPr>
            </w:pPr>
            <w:r>
              <w:rPr>
                <w:rFonts w:ascii="仿宋" w:eastAsia="仿宋" w:hAnsi="仿宋" w:cs="宋体" w:hint="eastAsia"/>
                <w:color w:val="000000"/>
                <w:kern w:val="0"/>
                <w:sz w:val="24"/>
              </w:rPr>
              <w:t>医疗纠纷人民调解服务</w:t>
            </w:r>
          </w:p>
        </w:tc>
        <w:tc>
          <w:tcPr>
            <w:tcW w:w="792" w:type="pct"/>
            <w:shd w:val="clear" w:color="000000" w:fill="FFFFFF"/>
            <w:vAlign w:val="center"/>
          </w:tcPr>
          <w:p w:rsidR="00234C66" w:rsidRDefault="00234C66" w:rsidP="003C6A58">
            <w:pPr>
              <w:widowControl/>
              <w:jc w:val="center"/>
              <w:rPr>
                <w:rFonts w:ascii="仿宋" w:eastAsia="仿宋" w:hAnsi="仿宋"/>
                <w:sz w:val="24"/>
              </w:rPr>
            </w:pPr>
            <w:r>
              <w:rPr>
                <w:rFonts w:ascii="仿宋" w:eastAsia="仿宋" w:hAnsi="仿宋" w:hint="eastAsia"/>
                <w:sz w:val="24"/>
              </w:rPr>
              <w:t>1项</w:t>
            </w:r>
          </w:p>
        </w:tc>
        <w:tc>
          <w:tcPr>
            <w:tcW w:w="1762" w:type="pct"/>
            <w:shd w:val="clear" w:color="000000" w:fill="FFFFFF"/>
            <w:vAlign w:val="center"/>
          </w:tcPr>
          <w:p w:rsidR="00234C66" w:rsidRDefault="00234C66" w:rsidP="003C6A58">
            <w:pPr>
              <w:widowControl/>
              <w:jc w:val="center"/>
              <w:rPr>
                <w:rFonts w:ascii="仿宋" w:eastAsia="仿宋" w:hAnsi="仿宋"/>
                <w:sz w:val="24"/>
              </w:rPr>
            </w:pPr>
            <w:r>
              <w:rPr>
                <w:rFonts w:ascii="仿宋" w:eastAsia="仿宋" w:hAnsi="仿宋" w:hint="eastAsia"/>
                <w:sz w:val="24"/>
              </w:rPr>
              <w:t>否</w:t>
            </w:r>
          </w:p>
        </w:tc>
      </w:tr>
    </w:tbl>
    <w:p w:rsidR="00234C66" w:rsidRDefault="00234C66" w:rsidP="00234C66">
      <w:pPr>
        <w:tabs>
          <w:tab w:val="left" w:pos="900"/>
        </w:tabs>
        <w:spacing w:line="540" w:lineRule="exact"/>
        <w:rPr>
          <w:rFonts w:ascii="仿宋" w:eastAsia="仿宋" w:hAnsi="仿宋"/>
          <w:b/>
          <w:bCs/>
          <w:sz w:val="24"/>
        </w:rPr>
      </w:pPr>
      <w:r>
        <w:rPr>
          <w:rFonts w:ascii="仿宋" w:eastAsia="仿宋" w:hAnsi="仿宋" w:cs="宋体" w:hint="eastAsia"/>
          <w:b/>
          <w:bCs/>
          <w:sz w:val="24"/>
        </w:rPr>
        <w:t>（二）采购项目交付或者实施的时间和地点</w:t>
      </w:r>
    </w:p>
    <w:p w:rsidR="00234C66" w:rsidRDefault="00234C66" w:rsidP="00234C66">
      <w:pPr>
        <w:numPr>
          <w:ilvl w:val="0"/>
          <w:numId w:val="2"/>
        </w:numPr>
        <w:tabs>
          <w:tab w:val="left" w:pos="900"/>
        </w:tabs>
        <w:spacing w:line="540" w:lineRule="exact"/>
        <w:rPr>
          <w:rFonts w:ascii="仿宋" w:eastAsia="仿宋" w:hAnsi="仿宋"/>
          <w:sz w:val="24"/>
        </w:rPr>
      </w:pPr>
      <w:r>
        <w:rPr>
          <w:rFonts w:ascii="仿宋" w:eastAsia="仿宋" w:hAnsi="仿宋" w:hint="eastAsia"/>
          <w:sz w:val="24"/>
        </w:rPr>
        <w:t>采购项目（标的）实施的时间：</w:t>
      </w:r>
      <w:r>
        <w:rPr>
          <w:rFonts w:ascii="仿宋" w:eastAsia="仿宋" w:hAnsi="仿宋" w:cs="宋体" w:hint="eastAsia"/>
          <w:sz w:val="24"/>
        </w:rPr>
        <w:t>自签订合同之日起 1 年。</w:t>
      </w:r>
      <w:r>
        <w:rPr>
          <w:rFonts w:ascii="仿宋" w:eastAsia="仿宋" w:hAnsi="仿宋"/>
          <w:sz w:val="24"/>
        </w:rPr>
        <w:t xml:space="preserve"> </w:t>
      </w:r>
    </w:p>
    <w:p w:rsidR="00234C66" w:rsidRDefault="00234C66" w:rsidP="00234C66">
      <w:pPr>
        <w:numPr>
          <w:ilvl w:val="0"/>
          <w:numId w:val="2"/>
        </w:numPr>
        <w:tabs>
          <w:tab w:val="left" w:pos="900"/>
        </w:tabs>
        <w:spacing w:line="540" w:lineRule="exact"/>
        <w:rPr>
          <w:rFonts w:ascii="仿宋" w:eastAsia="仿宋" w:hAnsi="仿宋"/>
          <w:sz w:val="24"/>
          <w:u w:val="single"/>
        </w:rPr>
      </w:pPr>
      <w:r>
        <w:rPr>
          <w:rFonts w:ascii="仿宋" w:eastAsia="仿宋" w:hAnsi="仿宋" w:hint="eastAsia"/>
          <w:sz w:val="24"/>
        </w:rPr>
        <w:t>采购项目（标的）实施的地点：北京市卫生健康委员会指定地点。</w:t>
      </w:r>
    </w:p>
    <w:p w:rsidR="00234C66" w:rsidRDefault="00234C66" w:rsidP="00234C66">
      <w:pPr>
        <w:tabs>
          <w:tab w:val="left" w:pos="900"/>
        </w:tabs>
        <w:spacing w:line="540" w:lineRule="exact"/>
        <w:rPr>
          <w:rFonts w:ascii="仿宋" w:eastAsia="仿宋" w:hAnsi="仿宋"/>
          <w:b/>
          <w:bCs/>
          <w:sz w:val="24"/>
        </w:rPr>
      </w:pPr>
      <w:r>
        <w:rPr>
          <w:rFonts w:ascii="仿宋" w:eastAsia="仿宋" w:hAnsi="仿宋" w:cs="宋体" w:hint="eastAsia"/>
          <w:b/>
          <w:bCs/>
          <w:sz w:val="24"/>
        </w:rPr>
        <w:t>四、采购招标的需满足的服务标准、期限、效率等要求</w:t>
      </w:r>
    </w:p>
    <w:p w:rsidR="00234C66" w:rsidRDefault="00234C66" w:rsidP="00234C66">
      <w:pPr>
        <w:tabs>
          <w:tab w:val="left" w:pos="900"/>
        </w:tabs>
        <w:spacing w:line="540" w:lineRule="exact"/>
        <w:rPr>
          <w:rFonts w:ascii="仿宋" w:eastAsia="仿宋" w:hAnsi="仿宋" w:cs="宋体"/>
          <w:sz w:val="24"/>
        </w:rPr>
      </w:pPr>
      <w:r>
        <w:rPr>
          <w:rFonts w:ascii="仿宋" w:eastAsia="仿宋" w:hAnsi="仿宋" w:cs="等线" w:hint="eastAsia"/>
          <w:bCs/>
          <w:sz w:val="24"/>
          <w:lang w:val="zh-TW" w:eastAsia="zh-TW"/>
        </w:rPr>
        <w:t>质量保证期（保修期）及服务要求： 自签订合同之日起 1 年。</w:t>
      </w:r>
    </w:p>
    <w:p w:rsidR="00234C66" w:rsidRDefault="00234C66" w:rsidP="00234C66">
      <w:pPr>
        <w:tabs>
          <w:tab w:val="left" w:pos="900"/>
        </w:tabs>
        <w:spacing w:line="540" w:lineRule="exact"/>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234C66" w:rsidRDefault="00234C66" w:rsidP="00234C66">
      <w:pPr>
        <w:tabs>
          <w:tab w:val="left" w:pos="900"/>
        </w:tabs>
        <w:spacing w:line="540" w:lineRule="exact"/>
        <w:rPr>
          <w:rFonts w:ascii="仿宋" w:eastAsia="仿宋" w:hAnsi="仿宋"/>
          <w:sz w:val="24"/>
        </w:rPr>
      </w:pPr>
      <w:bookmarkStart w:id="2" w:name="OLE_LINK10"/>
      <w:bookmarkStart w:id="3" w:name="OLE_LINK8"/>
      <w:bookmarkStart w:id="4" w:name="OLE_LINK5"/>
      <w:r>
        <w:rPr>
          <w:rFonts w:ascii="仿宋" w:eastAsia="仿宋" w:hAnsi="仿宋" w:hint="eastAsia"/>
          <w:sz w:val="24"/>
        </w:rPr>
        <w:t>1</w:t>
      </w:r>
      <w:bookmarkStart w:id="5" w:name="OLE_LINK11"/>
      <w:bookmarkStart w:id="6" w:name="OLE_LINK12"/>
      <w:r>
        <w:rPr>
          <w:rFonts w:ascii="仿宋" w:eastAsia="仿宋" w:hAnsi="仿宋" w:hint="eastAsia"/>
          <w:sz w:val="24"/>
        </w:rPr>
        <w:t>、受理医疗纠纷调解案件数：1700件以上，医疗纠纷调解结案数：1200件以上，调解成功率90%以上，医疗纠纷紧急出现场率:90%以上，协议履行率：98%，</w:t>
      </w:r>
      <w:proofErr w:type="gramStart"/>
      <w:r>
        <w:rPr>
          <w:rFonts w:ascii="仿宋" w:eastAsia="仿宋" w:hAnsi="仿宋" w:hint="eastAsia"/>
          <w:sz w:val="24"/>
        </w:rPr>
        <w:t>医患满意</w:t>
      </w:r>
      <w:proofErr w:type="gramEnd"/>
      <w:r>
        <w:rPr>
          <w:rFonts w:ascii="仿宋" w:eastAsia="仿宋" w:hAnsi="仿宋" w:hint="eastAsia"/>
          <w:sz w:val="24"/>
        </w:rPr>
        <w:t>度:90%以上。</w:t>
      </w:r>
      <w:bookmarkEnd w:id="5"/>
      <w:bookmarkEnd w:id="6"/>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2、每月提供工作情况小结；每季度提供经费支出情况报告；提交项目终期工作报告；通过采购人项目审计和质量考核。</w:t>
      </w:r>
    </w:p>
    <w:bookmarkEnd w:id="2"/>
    <w:bookmarkEnd w:id="3"/>
    <w:bookmarkEnd w:id="4"/>
    <w:p w:rsidR="00234C66" w:rsidRDefault="00234C66" w:rsidP="00234C66">
      <w:pPr>
        <w:tabs>
          <w:tab w:val="left" w:pos="900"/>
        </w:tabs>
        <w:spacing w:line="540" w:lineRule="exact"/>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234C66" w:rsidRDefault="00234C66" w:rsidP="00234C66">
      <w:pPr>
        <w:spacing w:before="204" w:line="222" w:lineRule="auto"/>
        <w:ind w:left="618"/>
        <w:rPr>
          <w:rFonts w:ascii="仿宋" w:eastAsia="仿宋" w:hAnsi="仿宋"/>
          <w:sz w:val="24"/>
        </w:rPr>
      </w:pPr>
      <w:r>
        <w:rPr>
          <w:rFonts w:ascii="仿宋" w:eastAsia="仿宋" w:hAnsi="仿宋"/>
          <w:sz w:val="24"/>
        </w:rPr>
        <w:t>1、培训费要求</w:t>
      </w:r>
    </w:p>
    <w:p w:rsidR="00234C66" w:rsidRDefault="00234C66" w:rsidP="00234C66">
      <w:pPr>
        <w:spacing w:before="310" w:line="360" w:lineRule="auto"/>
        <w:ind w:left="128" w:right="47" w:firstLine="480"/>
        <w:rPr>
          <w:rFonts w:ascii="仿宋" w:eastAsia="仿宋" w:hAnsi="仿宋"/>
          <w:sz w:val="24"/>
        </w:rPr>
      </w:pPr>
      <w:r>
        <w:rPr>
          <w:rFonts w:ascii="仿宋" w:eastAsia="仿宋" w:hAnsi="仿宋"/>
          <w:sz w:val="24"/>
        </w:rPr>
        <w:t>依据《北京市市级党政机关事业单位培训费管理办法》第八条，除师资费外， 培训费实行分类综合定额标准，分项核定、总额控制，各项费用之间可以调剂使用。</w:t>
      </w:r>
    </w:p>
    <w:p w:rsidR="00234C66" w:rsidRDefault="00234C66" w:rsidP="00234C66">
      <w:pPr>
        <w:spacing w:before="155" w:line="446" w:lineRule="auto"/>
        <w:ind w:right="85" w:firstLineChars="177" w:firstLine="425"/>
        <w:rPr>
          <w:rFonts w:ascii="仿宋" w:eastAsia="仿宋" w:hAnsi="仿宋"/>
          <w:sz w:val="24"/>
        </w:rPr>
      </w:pPr>
      <w:r>
        <w:rPr>
          <w:rFonts w:ascii="仿宋" w:eastAsia="仿宋" w:hAnsi="仿宋"/>
          <w:sz w:val="24"/>
        </w:rPr>
        <w:t>住宿费是指参训人员及工作人员培训期间发生的租住房间的费用。伙食费是指参训人员及工作人员培训期间发生的用餐费用。</w:t>
      </w:r>
    </w:p>
    <w:p w:rsidR="00234C66" w:rsidRDefault="00234C66" w:rsidP="00234C66">
      <w:pPr>
        <w:spacing w:before="41" w:line="222" w:lineRule="auto"/>
        <w:ind w:left="609"/>
        <w:rPr>
          <w:rFonts w:ascii="仿宋" w:eastAsia="仿宋" w:hAnsi="仿宋"/>
          <w:sz w:val="24"/>
        </w:rPr>
      </w:pPr>
      <w:r>
        <w:rPr>
          <w:rFonts w:ascii="仿宋" w:eastAsia="仿宋" w:hAnsi="仿宋"/>
          <w:sz w:val="24"/>
        </w:rPr>
        <w:t>培训场地费是指用于培训的会议室或教室租金。</w:t>
      </w:r>
    </w:p>
    <w:p w:rsidR="00234C66" w:rsidRDefault="00234C66" w:rsidP="00234C66">
      <w:pPr>
        <w:spacing w:before="312" w:line="220" w:lineRule="auto"/>
        <w:ind w:left="609"/>
        <w:rPr>
          <w:rFonts w:ascii="仿宋" w:eastAsia="仿宋" w:hAnsi="仿宋"/>
          <w:sz w:val="24"/>
        </w:rPr>
      </w:pPr>
      <w:r>
        <w:rPr>
          <w:rFonts w:ascii="仿宋" w:eastAsia="仿宋" w:hAnsi="仿宋"/>
          <w:sz w:val="24"/>
        </w:rPr>
        <w:t>培训资料费是</w:t>
      </w:r>
      <w:proofErr w:type="gramStart"/>
      <w:r>
        <w:rPr>
          <w:rFonts w:ascii="仿宋" w:eastAsia="仿宋" w:hAnsi="仿宋"/>
          <w:sz w:val="24"/>
        </w:rPr>
        <w:t>指培训</w:t>
      </w:r>
      <w:proofErr w:type="gramEnd"/>
      <w:r>
        <w:rPr>
          <w:rFonts w:ascii="仿宋" w:eastAsia="仿宋" w:hAnsi="仿宋"/>
          <w:sz w:val="24"/>
        </w:rPr>
        <w:t>期间必要的资料及办公用品费。</w:t>
      </w:r>
    </w:p>
    <w:p w:rsidR="00234C66" w:rsidRDefault="00234C66" w:rsidP="00234C66">
      <w:pPr>
        <w:spacing w:before="314" w:line="355" w:lineRule="auto"/>
        <w:ind w:left="127" w:right="112" w:firstLine="486"/>
        <w:rPr>
          <w:rFonts w:ascii="仿宋" w:eastAsia="仿宋" w:hAnsi="仿宋"/>
          <w:sz w:val="24"/>
        </w:rPr>
      </w:pPr>
      <w:r>
        <w:rPr>
          <w:rFonts w:ascii="仿宋" w:eastAsia="仿宋" w:hAnsi="仿宋"/>
          <w:sz w:val="24"/>
        </w:rPr>
        <w:t>交通费是指用于培训所需的人员接送以及统一组织的与培训有关的考察、调研等发生的交通支出。</w:t>
      </w:r>
    </w:p>
    <w:p w:rsidR="00234C66" w:rsidRDefault="00234C66" w:rsidP="00234C66">
      <w:pPr>
        <w:spacing w:before="157" w:line="354" w:lineRule="auto"/>
        <w:ind w:left="142" w:right="114" w:firstLine="467"/>
        <w:rPr>
          <w:rFonts w:ascii="仿宋" w:eastAsia="仿宋" w:hAnsi="仿宋"/>
          <w:sz w:val="24"/>
        </w:rPr>
      </w:pPr>
      <w:r>
        <w:rPr>
          <w:rFonts w:ascii="仿宋" w:eastAsia="仿宋" w:hAnsi="仿宋"/>
          <w:sz w:val="24"/>
        </w:rPr>
        <w:t>其他费用是指现场教学费、设备租赁费、文体活动费、医药费等与培训有关的其他支出。</w:t>
      </w:r>
    </w:p>
    <w:p w:rsidR="00234C66" w:rsidRDefault="00234C66" w:rsidP="00234C66">
      <w:pPr>
        <w:spacing w:before="160" w:line="222" w:lineRule="auto"/>
        <w:ind w:left="609"/>
        <w:rPr>
          <w:rFonts w:ascii="仿宋" w:eastAsia="仿宋" w:hAnsi="仿宋"/>
          <w:sz w:val="24"/>
        </w:rPr>
      </w:pPr>
      <w:r>
        <w:rPr>
          <w:rFonts w:ascii="仿宋" w:eastAsia="仿宋" w:hAnsi="仿宋"/>
          <w:sz w:val="24"/>
        </w:rPr>
        <w:t>本项目属于二类培训，综合定额标准如下：</w:t>
      </w:r>
    </w:p>
    <w:p w:rsidR="00234C66" w:rsidRDefault="00234C66" w:rsidP="00234C66">
      <w:pPr>
        <w:spacing w:line="132" w:lineRule="exact"/>
        <w:rPr>
          <w:rFonts w:ascii="仿宋" w:eastAsia="仿宋" w:hAnsi="仿宋"/>
          <w:sz w:val="24"/>
        </w:rPr>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6"/>
        <w:gridCol w:w="1427"/>
        <w:gridCol w:w="1427"/>
        <w:gridCol w:w="1411"/>
        <w:gridCol w:w="1412"/>
        <w:gridCol w:w="1433"/>
      </w:tblGrid>
      <w:tr w:rsidR="00234C66" w:rsidTr="003C6A58">
        <w:trPr>
          <w:trHeight w:val="1087"/>
        </w:trPr>
        <w:tc>
          <w:tcPr>
            <w:tcW w:w="1416" w:type="dxa"/>
            <w:vAlign w:val="center"/>
          </w:tcPr>
          <w:p w:rsidR="00234C66" w:rsidRDefault="00234C66" w:rsidP="003C6A58">
            <w:pPr>
              <w:pStyle w:val="TableText"/>
              <w:spacing w:before="183" w:line="223" w:lineRule="auto"/>
              <w:ind w:left="143"/>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培训类别</w:t>
            </w:r>
          </w:p>
        </w:tc>
        <w:tc>
          <w:tcPr>
            <w:tcW w:w="1427" w:type="dxa"/>
            <w:vAlign w:val="center"/>
          </w:tcPr>
          <w:p w:rsidR="00234C66" w:rsidRDefault="00234C66" w:rsidP="003C6A58">
            <w:pPr>
              <w:pStyle w:val="TableText"/>
              <w:spacing w:before="182" w:line="222"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住宿费</w:t>
            </w:r>
          </w:p>
        </w:tc>
        <w:tc>
          <w:tcPr>
            <w:tcW w:w="1427" w:type="dxa"/>
            <w:vAlign w:val="center"/>
          </w:tcPr>
          <w:p w:rsidR="00234C66" w:rsidRDefault="00234C66" w:rsidP="003C6A58">
            <w:pPr>
              <w:pStyle w:val="TableText"/>
              <w:spacing w:before="183" w:line="222"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伙食费</w:t>
            </w:r>
          </w:p>
        </w:tc>
        <w:tc>
          <w:tcPr>
            <w:tcW w:w="1411" w:type="dxa"/>
            <w:vAlign w:val="center"/>
          </w:tcPr>
          <w:p w:rsidR="00234C66" w:rsidRDefault="00234C66" w:rsidP="003C6A58">
            <w:pPr>
              <w:pStyle w:val="TableText"/>
              <w:spacing w:before="182" w:line="344" w:lineRule="auto"/>
              <w:ind w:left="133" w:right="103" w:hanging="7"/>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场地、资料、交通</w:t>
            </w:r>
          </w:p>
        </w:tc>
        <w:tc>
          <w:tcPr>
            <w:tcW w:w="1412" w:type="dxa"/>
            <w:vAlign w:val="center"/>
          </w:tcPr>
          <w:p w:rsidR="00234C66" w:rsidRDefault="00234C66" w:rsidP="003C6A58">
            <w:pPr>
              <w:pStyle w:val="TableText"/>
              <w:spacing w:before="182" w:line="222"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其他费用</w:t>
            </w:r>
          </w:p>
        </w:tc>
        <w:tc>
          <w:tcPr>
            <w:tcW w:w="1433" w:type="dxa"/>
            <w:vAlign w:val="center"/>
          </w:tcPr>
          <w:p w:rsidR="00234C66" w:rsidRDefault="00234C66" w:rsidP="003C6A58">
            <w:pPr>
              <w:pStyle w:val="TableText"/>
              <w:spacing w:before="183" w:line="222"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合计</w:t>
            </w:r>
          </w:p>
        </w:tc>
      </w:tr>
      <w:tr w:rsidR="00234C66" w:rsidTr="003C6A58">
        <w:trPr>
          <w:trHeight w:val="1087"/>
        </w:trPr>
        <w:tc>
          <w:tcPr>
            <w:tcW w:w="1416" w:type="dxa"/>
          </w:tcPr>
          <w:p w:rsidR="00234C66" w:rsidRDefault="00234C66" w:rsidP="003C6A58">
            <w:pPr>
              <w:pStyle w:val="TableText"/>
              <w:spacing w:before="181" w:line="224"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二类培训</w:t>
            </w:r>
          </w:p>
        </w:tc>
        <w:tc>
          <w:tcPr>
            <w:tcW w:w="1427" w:type="dxa"/>
            <w:vAlign w:val="center"/>
          </w:tcPr>
          <w:p w:rsidR="00234C66" w:rsidRDefault="00234C66" w:rsidP="003C6A58">
            <w:pPr>
              <w:pStyle w:val="TableText"/>
              <w:spacing w:before="222" w:line="180" w:lineRule="auto"/>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340</w:t>
            </w:r>
          </w:p>
        </w:tc>
        <w:tc>
          <w:tcPr>
            <w:tcW w:w="1427" w:type="dxa"/>
            <w:vAlign w:val="center"/>
          </w:tcPr>
          <w:p w:rsidR="00234C66" w:rsidRDefault="00234C66" w:rsidP="003C6A58">
            <w:pPr>
              <w:pStyle w:val="TableText"/>
              <w:spacing w:before="221" w:line="181" w:lineRule="auto"/>
              <w:ind w:left="135"/>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130</w:t>
            </w:r>
          </w:p>
        </w:tc>
        <w:tc>
          <w:tcPr>
            <w:tcW w:w="1411" w:type="dxa"/>
            <w:vAlign w:val="center"/>
          </w:tcPr>
          <w:p w:rsidR="00234C66" w:rsidRDefault="00234C66" w:rsidP="003C6A58">
            <w:pPr>
              <w:pStyle w:val="TableText"/>
              <w:spacing w:before="222" w:line="180" w:lineRule="auto"/>
              <w:ind w:left="126"/>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50</w:t>
            </w:r>
          </w:p>
        </w:tc>
        <w:tc>
          <w:tcPr>
            <w:tcW w:w="1412" w:type="dxa"/>
            <w:vAlign w:val="center"/>
          </w:tcPr>
          <w:p w:rsidR="00234C66" w:rsidRDefault="00234C66" w:rsidP="003C6A58">
            <w:pPr>
              <w:pStyle w:val="TableText"/>
              <w:spacing w:before="222" w:line="180" w:lineRule="auto"/>
              <w:ind w:left="132"/>
              <w:jc w:val="center"/>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30</w:t>
            </w:r>
          </w:p>
        </w:tc>
        <w:tc>
          <w:tcPr>
            <w:tcW w:w="1433" w:type="dxa"/>
          </w:tcPr>
          <w:p w:rsidR="00234C66" w:rsidRDefault="00234C66" w:rsidP="003C6A58">
            <w:pPr>
              <w:pStyle w:val="TableText"/>
              <w:spacing w:before="180" w:line="345" w:lineRule="auto"/>
              <w:ind w:left="114" w:right="106" w:firstLine="24"/>
              <w:rPr>
                <w:rFonts w:ascii="仿宋" w:eastAsia="仿宋" w:hAnsi="仿宋" w:cs="Times New Roman"/>
                <w:snapToGrid/>
                <w:color w:val="auto"/>
                <w:kern w:val="2"/>
                <w:sz w:val="24"/>
                <w:szCs w:val="24"/>
                <w:lang w:eastAsia="zh-CN"/>
              </w:rPr>
            </w:pPr>
            <w:r>
              <w:rPr>
                <w:rFonts w:ascii="仿宋" w:eastAsia="仿宋" w:hAnsi="仿宋" w:cs="Times New Roman"/>
                <w:snapToGrid/>
                <w:color w:val="auto"/>
                <w:kern w:val="2"/>
                <w:sz w:val="24"/>
                <w:szCs w:val="24"/>
                <w:lang w:eastAsia="zh-CN"/>
              </w:rPr>
              <w:t>550元/人天</w:t>
            </w:r>
          </w:p>
        </w:tc>
      </w:tr>
    </w:tbl>
    <w:p w:rsidR="00234C66" w:rsidRDefault="00234C66" w:rsidP="00234C66">
      <w:pPr>
        <w:tabs>
          <w:tab w:val="left" w:pos="900"/>
        </w:tabs>
        <w:spacing w:line="540" w:lineRule="exact"/>
        <w:rPr>
          <w:rFonts w:ascii="仿宋" w:eastAsia="仿宋" w:hAnsi="仿宋"/>
          <w:sz w:val="24"/>
        </w:rPr>
      </w:pPr>
      <w:r>
        <w:rPr>
          <w:rFonts w:ascii="仿宋" w:eastAsia="仿宋" w:hAnsi="仿宋"/>
          <w:sz w:val="24"/>
        </w:rPr>
        <w:t>★投标人所报培训费用不能超过二类培训规定的 550 元/人天，如超过则</w:t>
      </w:r>
      <w:proofErr w:type="gramStart"/>
      <w:r>
        <w:rPr>
          <w:rFonts w:ascii="仿宋" w:eastAsia="仿宋" w:hAnsi="仿宋"/>
          <w:sz w:val="24"/>
        </w:rPr>
        <w:t>做废</w:t>
      </w:r>
      <w:proofErr w:type="gramEnd"/>
      <w:r>
        <w:rPr>
          <w:rFonts w:ascii="仿宋" w:eastAsia="仿宋" w:hAnsi="仿宋"/>
          <w:sz w:val="24"/>
        </w:rPr>
        <w:t>标处理。（投标人须提供承诺函，格式自拟）</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2、师资费</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师资费是指聘请师资授课发生的费用，包括授课老师讲课费、住宿费、伙食费、城市间交通费等。</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师资费在综合定额标准外单独核算。讲课费（税后）执行以下标准：副高级技术职称专业人员每学时最高不超过 500 元；正高级技术职称专业人员每学时最高不超过 1000 元；院士、全国知名专家每学时一般不超过 1500 元。</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讲课费按实际发生的学时计算，每半天最多按 4 学时计算。</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其他人员讲课，经单位主要负责同志书面批准后，参照上述标准执行。会议等其他活动中聘请专业人员或专家学者讲课可参照该标准。</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同时为多班次一并授课的，不重复计算讲课费。</w:t>
      </w:r>
    </w:p>
    <w:p w:rsidR="00234C66" w:rsidRDefault="00234C66" w:rsidP="00234C66">
      <w:pPr>
        <w:tabs>
          <w:tab w:val="left" w:pos="900"/>
        </w:tabs>
        <w:spacing w:line="540" w:lineRule="exact"/>
        <w:rPr>
          <w:rFonts w:ascii="仿宋" w:eastAsia="仿宋" w:hAnsi="仿宋"/>
          <w:sz w:val="24"/>
        </w:rPr>
      </w:pPr>
      <w:r>
        <w:rPr>
          <w:rFonts w:ascii="仿宋" w:eastAsia="仿宋" w:hAnsi="仿宋" w:hint="eastAsia"/>
          <w:sz w:val="24"/>
        </w:rPr>
        <w:t>★3、投标单位</w:t>
      </w:r>
      <w:proofErr w:type="gramStart"/>
      <w:r>
        <w:rPr>
          <w:rFonts w:ascii="仿宋" w:eastAsia="仿宋" w:hAnsi="仿宋" w:hint="eastAsia"/>
          <w:sz w:val="24"/>
        </w:rPr>
        <w:t>需承诺</w:t>
      </w:r>
      <w:proofErr w:type="gramEnd"/>
      <w:r>
        <w:rPr>
          <w:rFonts w:ascii="仿宋" w:eastAsia="仿宋" w:hAnsi="仿宋" w:hint="eastAsia"/>
          <w:sz w:val="24"/>
        </w:rPr>
        <w:t>遵守党政机关的培训管理规定，内容及格式自拟并加盖单位公章。</w:t>
      </w:r>
    </w:p>
    <w:p w:rsidR="00234C66" w:rsidRDefault="00234C66" w:rsidP="00234C66">
      <w:pPr>
        <w:tabs>
          <w:tab w:val="left" w:pos="900"/>
        </w:tabs>
        <w:spacing w:line="540" w:lineRule="exact"/>
        <w:rPr>
          <w:rFonts w:ascii="仿宋" w:eastAsia="仿宋" w:hAnsi="仿宋"/>
          <w:b/>
          <w:sz w:val="24"/>
        </w:rPr>
      </w:pPr>
      <w:r>
        <w:rPr>
          <w:rFonts w:ascii="仿宋" w:eastAsia="仿宋" w:hAnsi="仿宋" w:hint="eastAsia"/>
          <w:b/>
          <w:sz w:val="24"/>
        </w:rPr>
        <w:t>七</w:t>
      </w:r>
      <w:r>
        <w:rPr>
          <w:rFonts w:ascii="仿宋" w:eastAsia="仿宋" w:hAnsi="仿宋"/>
          <w:b/>
          <w:sz w:val="24"/>
        </w:rPr>
        <w:t>、采购标的需满足的质量、安全、技术规格、物理特性等要求</w:t>
      </w:r>
    </w:p>
    <w:p w:rsidR="00234C66" w:rsidRDefault="00234C66" w:rsidP="00234C66">
      <w:pPr>
        <w:spacing w:before="78" w:line="222" w:lineRule="auto"/>
        <w:ind w:left="500"/>
        <w:rPr>
          <w:rFonts w:ascii="仿宋" w:eastAsia="仿宋" w:hAnsi="仿宋" w:cs="FangSong"/>
          <w:sz w:val="24"/>
        </w:rPr>
      </w:pPr>
      <w:r>
        <w:rPr>
          <w:rFonts w:ascii="仿宋" w:eastAsia="仿宋" w:hAnsi="仿宋" w:cs="FangSong"/>
          <w:spacing w:val="-2"/>
          <w:sz w:val="24"/>
        </w:rPr>
        <w:t>（一）项目主要任务、数量及技术要求：</w:t>
      </w:r>
    </w:p>
    <w:p w:rsidR="00234C66" w:rsidRDefault="00234C66" w:rsidP="00234C66">
      <w:pPr>
        <w:spacing w:before="174" w:line="360" w:lineRule="auto"/>
        <w:ind w:left="15" w:right="62" w:firstLine="490"/>
        <w:rPr>
          <w:rFonts w:ascii="仿宋" w:eastAsia="仿宋" w:hAnsi="仿宋" w:cs="FangSong"/>
          <w:sz w:val="24"/>
        </w:rPr>
      </w:pPr>
      <w:r>
        <w:rPr>
          <w:rFonts w:ascii="仿宋" w:eastAsia="仿宋" w:hAnsi="仿宋" w:cs="FangSong"/>
          <w:spacing w:val="-1"/>
          <w:sz w:val="24"/>
        </w:rPr>
        <w:t>1.主要任务：根据《关于加强医疗纠纷人民调解工作的意见》</w:t>
      </w:r>
      <w:proofErr w:type="gramStart"/>
      <w:r>
        <w:rPr>
          <w:rFonts w:ascii="仿宋" w:eastAsia="仿宋" w:hAnsi="仿宋" w:cs="FangSong"/>
          <w:spacing w:val="-1"/>
          <w:sz w:val="24"/>
        </w:rPr>
        <w:t>京司发</w:t>
      </w:r>
      <w:proofErr w:type="gramEnd"/>
      <w:r>
        <w:rPr>
          <w:rFonts w:ascii="仿宋" w:eastAsia="仿宋" w:hAnsi="仿宋" w:cs="FangSong"/>
          <w:spacing w:val="-1"/>
          <w:sz w:val="24"/>
        </w:rPr>
        <w:t>〔2019〕10</w:t>
      </w:r>
      <w:r>
        <w:rPr>
          <w:rFonts w:ascii="仿宋" w:eastAsia="仿宋" w:hAnsi="仿宋" w:cs="FangSong"/>
          <w:spacing w:val="-3"/>
          <w:sz w:val="24"/>
        </w:rPr>
        <w:t>号规定，调解北京市医疗纠纷，防止医疗纠纷激化；通过调解工作宣传法律法规和</w:t>
      </w:r>
      <w:r>
        <w:rPr>
          <w:rFonts w:ascii="仿宋" w:eastAsia="仿宋" w:hAnsi="仿宋" w:cs="FangSong"/>
          <w:spacing w:val="-4"/>
          <w:sz w:val="24"/>
        </w:rPr>
        <w:t>医学</w:t>
      </w:r>
      <w:r>
        <w:rPr>
          <w:rFonts w:ascii="仿宋" w:eastAsia="仿宋" w:hAnsi="仿宋" w:cs="FangSong"/>
          <w:spacing w:val="-3"/>
          <w:sz w:val="24"/>
        </w:rPr>
        <w:t>知识，引导</w:t>
      </w:r>
      <w:proofErr w:type="gramStart"/>
      <w:r>
        <w:rPr>
          <w:rFonts w:ascii="仿宋" w:eastAsia="仿宋" w:hAnsi="仿宋" w:cs="FangSong"/>
          <w:spacing w:val="-3"/>
          <w:sz w:val="24"/>
        </w:rPr>
        <w:t>医</w:t>
      </w:r>
      <w:proofErr w:type="gramEnd"/>
      <w:r>
        <w:rPr>
          <w:rFonts w:ascii="仿宋" w:eastAsia="仿宋" w:hAnsi="仿宋" w:cs="FangSong"/>
          <w:spacing w:val="-3"/>
          <w:sz w:val="24"/>
        </w:rPr>
        <w:t>患双方当事人依据事实和法律公平解决纠纷；向医疗机构提出防范医</w:t>
      </w:r>
      <w:r>
        <w:rPr>
          <w:rFonts w:ascii="仿宋" w:eastAsia="仿宋" w:hAnsi="仿宋" w:cs="FangSong"/>
          <w:spacing w:val="-4"/>
          <w:sz w:val="24"/>
        </w:rPr>
        <w:t>疗纠</w:t>
      </w:r>
      <w:r>
        <w:rPr>
          <w:rFonts w:ascii="仿宋" w:eastAsia="仿宋" w:hAnsi="仿宋" w:cs="FangSong"/>
          <w:spacing w:val="-3"/>
          <w:sz w:val="24"/>
        </w:rPr>
        <w:t>纷的意见、建议，帮助医疗机构加强医疗风险管理；经调解解决的医疗纠纷，制作</w:t>
      </w:r>
      <w:r>
        <w:rPr>
          <w:rFonts w:ascii="仿宋" w:eastAsia="仿宋" w:hAnsi="仿宋" w:cs="FangSong"/>
          <w:spacing w:val="-4"/>
          <w:sz w:val="24"/>
        </w:rPr>
        <w:t>书面</w:t>
      </w:r>
      <w:r>
        <w:rPr>
          <w:rFonts w:ascii="仿宋" w:eastAsia="仿宋" w:hAnsi="仿宋" w:cs="FangSong"/>
          <w:spacing w:val="-3"/>
          <w:sz w:val="24"/>
        </w:rPr>
        <w:t>调解协议；向患者及其家属或者医疗机构提供医疗纠纷调解咨询和服务；统计医疗</w:t>
      </w:r>
      <w:r>
        <w:rPr>
          <w:rFonts w:ascii="仿宋" w:eastAsia="仿宋" w:hAnsi="仿宋" w:cs="FangSong"/>
          <w:spacing w:val="-4"/>
          <w:sz w:val="24"/>
        </w:rPr>
        <w:t>纠纷</w:t>
      </w:r>
      <w:r>
        <w:rPr>
          <w:rFonts w:ascii="仿宋" w:eastAsia="仿宋" w:hAnsi="仿宋" w:cs="FangSong"/>
          <w:spacing w:val="-3"/>
          <w:sz w:val="24"/>
        </w:rPr>
        <w:t>人民调解工作的相关信息；向指导委员会报告医疗纠纷和调解工作的情况；完成指</w:t>
      </w:r>
      <w:r>
        <w:rPr>
          <w:rFonts w:ascii="仿宋" w:eastAsia="仿宋" w:hAnsi="仿宋" w:cs="FangSong"/>
          <w:spacing w:val="-4"/>
          <w:sz w:val="24"/>
        </w:rPr>
        <w:t>导委</w:t>
      </w:r>
      <w:r>
        <w:rPr>
          <w:rFonts w:ascii="仿宋" w:eastAsia="仿宋" w:hAnsi="仿宋" w:cs="FangSong"/>
          <w:spacing w:val="-2"/>
          <w:sz w:val="24"/>
        </w:rPr>
        <w:t>员会交办的其他工作。</w:t>
      </w:r>
    </w:p>
    <w:p w:rsidR="00234C66" w:rsidRDefault="00234C66" w:rsidP="00234C66">
      <w:pPr>
        <w:spacing w:line="360" w:lineRule="auto"/>
        <w:ind w:firstLineChars="200" w:firstLine="468"/>
        <w:rPr>
          <w:rFonts w:ascii="仿宋" w:eastAsia="仿宋" w:hAnsi="仿宋" w:cs="FangSong"/>
          <w:spacing w:val="-3"/>
          <w:sz w:val="24"/>
        </w:rPr>
      </w:pPr>
      <w:r>
        <w:rPr>
          <w:rFonts w:ascii="仿宋" w:eastAsia="仿宋" w:hAnsi="仿宋" w:cs="FangSong"/>
          <w:spacing w:val="-3"/>
          <w:sz w:val="24"/>
        </w:rPr>
        <w:t>2.数量：承担本市一万余家医疗机构的医疗纠纷调解。在合同期内项目医疗纠纷调</w:t>
      </w:r>
      <w:r>
        <w:rPr>
          <w:rFonts w:ascii="仿宋" w:eastAsia="仿宋" w:hAnsi="仿宋" w:cs="FangSong"/>
          <w:spacing w:val="2"/>
          <w:sz w:val="24"/>
        </w:rPr>
        <w:t>解结案数大于1</w:t>
      </w:r>
      <w:r>
        <w:rPr>
          <w:rFonts w:ascii="仿宋" w:eastAsia="仿宋" w:hAnsi="仿宋" w:cs="FangSong" w:hint="eastAsia"/>
          <w:spacing w:val="2"/>
          <w:sz w:val="24"/>
        </w:rPr>
        <w:t>7</w:t>
      </w:r>
      <w:r>
        <w:rPr>
          <w:rFonts w:ascii="仿宋" w:eastAsia="仿宋" w:hAnsi="仿宋" w:cs="FangSong"/>
          <w:spacing w:val="2"/>
          <w:sz w:val="24"/>
        </w:rPr>
        <w:t>00</w:t>
      </w:r>
      <w:r>
        <w:rPr>
          <w:rFonts w:ascii="仿宋" w:eastAsia="仿宋" w:hAnsi="仿宋" w:cs="FangSong"/>
          <w:spacing w:val="-44"/>
          <w:sz w:val="24"/>
        </w:rPr>
        <w:t xml:space="preserve"> </w:t>
      </w:r>
      <w:r>
        <w:rPr>
          <w:rFonts w:ascii="仿宋" w:eastAsia="仿宋" w:hAnsi="仿宋" w:cs="FangSong"/>
          <w:spacing w:val="2"/>
          <w:sz w:val="24"/>
        </w:rPr>
        <w:t>件，调解成功率大于90%，协议履</w:t>
      </w:r>
      <w:r>
        <w:rPr>
          <w:rFonts w:ascii="仿宋" w:eastAsia="仿宋" w:hAnsi="仿宋" w:cs="FangSong"/>
          <w:spacing w:val="1"/>
          <w:sz w:val="24"/>
        </w:rPr>
        <w:t>行率大于98%，</w:t>
      </w:r>
      <w:proofErr w:type="gramStart"/>
      <w:r>
        <w:rPr>
          <w:rFonts w:ascii="仿宋" w:eastAsia="仿宋" w:hAnsi="仿宋" w:cs="FangSong"/>
          <w:spacing w:val="1"/>
          <w:sz w:val="24"/>
        </w:rPr>
        <w:t>医患满意</w:t>
      </w:r>
      <w:proofErr w:type="gramEnd"/>
      <w:r>
        <w:rPr>
          <w:rFonts w:ascii="仿宋" w:eastAsia="仿宋" w:hAnsi="仿宋" w:cs="FangSong"/>
          <w:spacing w:val="1"/>
          <w:sz w:val="24"/>
        </w:rPr>
        <w:t>度大于</w:t>
      </w:r>
      <w:r>
        <w:rPr>
          <w:rFonts w:ascii="仿宋" w:eastAsia="仿宋" w:hAnsi="仿宋" w:cs="FangSong"/>
          <w:spacing w:val="-3"/>
          <w:sz w:val="24"/>
        </w:rPr>
        <w:t>9</w:t>
      </w:r>
      <w:r>
        <w:rPr>
          <w:rFonts w:ascii="仿宋" w:eastAsia="仿宋" w:hAnsi="仿宋" w:cs="FangSong" w:hint="eastAsia"/>
          <w:spacing w:val="-3"/>
          <w:sz w:val="24"/>
        </w:rPr>
        <w:t>0</w:t>
      </w:r>
      <w:r>
        <w:rPr>
          <w:rFonts w:ascii="仿宋" w:eastAsia="仿宋" w:hAnsi="仿宋" w:cs="FangSong"/>
          <w:spacing w:val="-3"/>
          <w:sz w:val="24"/>
        </w:rPr>
        <w:t>%。</w:t>
      </w:r>
    </w:p>
    <w:p w:rsidR="00234C66" w:rsidRDefault="00234C66" w:rsidP="00234C66">
      <w:pPr>
        <w:spacing w:before="24" w:line="360" w:lineRule="auto"/>
        <w:ind w:left="492"/>
        <w:rPr>
          <w:rFonts w:ascii="仿宋" w:eastAsia="仿宋" w:hAnsi="仿宋" w:cs="FangSong"/>
          <w:sz w:val="24"/>
        </w:rPr>
      </w:pPr>
      <w:r>
        <w:rPr>
          <w:rFonts w:ascii="仿宋" w:eastAsia="仿宋" w:hAnsi="仿宋" w:cs="FangSong"/>
          <w:spacing w:val="-2"/>
          <w:sz w:val="24"/>
        </w:rPr>
        <w:t>3.技术要求：</w:t>
      </w:r>
    </w:p>
    <w:p w:rsidR="00234C66" w:rsidRDefault="00234C66" w:rsidP="00234C66">
      <w:pPr>
        <w:spacing w:before="179" w:line="360" w:lineRule="auto"/>
        <w:ind w:left="500"/>
        <w:rPr>
          <w:rFonts w:ascii="仿宋" w:eastAsia="仿宋" w:hAnsi="仿宋" w:cs="FangSong"/>
          <w:sz w:val="24"/>
        </w:rPr>
      </w:pPr>
      <w:r>
        <w:rPr>
          <w:rFonts w:ascii="仿宋" w:eastAsia="仿宋" w:hAnsi="仿宋" w:cs="FangSong"/>
          <w:spacing w:val="-1"/>
          <w:sz w:val="24"/>
        </w:rPr>
        <w:t>（1）制定章程，具备规范的调解工作流程和健全的调解工作制度；</w:t>
      </w:r>
    </w:p>
    <w:p w:rsidR="00234C66" w:rsidRDefault="00234C66" w:rsidP="00234C66">
      <w:pPr>
        <w:spacing w:before="179" w:line="360" w:lineRule="auto"/>
        <w:ind w:left="14" w:right="84" w:firstLine="485"/>
        <w:rPr>
          <w:rFonts w:ascii="仿宋" w:eastAsia="仿宋" w:hAnsi="仿宋" w:cs="FangSong"/>
          <w:sz w:val="24"/>
        </w:rPr>
      </w:pPr>
      <w:r>
        <w:rPr>
          <w:rFonts w:ascii="仿宋" w:eastAsia="仿宋" w:hAnsi="仿宋" w:cs="FangSong"/>
          <w:spacing w:val="-1"/>
          <w:sz w:val="24"/>
        </w:rPr>
        <w:t>（2）调解医疗纠纷应当公平、公正，依据过错赔偿原则，提出客观公正的调解建议，做好</w:t>
      </w:r>
      <w:proofErr w:type="gramStart"/>
      <w:r>
        <w:rPr>
          <w:rFonts w:ascii="仿宋" w:eastAsia="仿宋" w:hAnsi="仿宋" w:cs="FangSong"/>
          <w:spacing w:val="-1"/>
          <w:sz w:val="24"/>
        </w:rPr>
        <w:t>医</w:t>
      </w:r>
      <w:proofErr w:type="gramEnd"/>
      <w:r>
        <w:rPr>
          <w:rFonts w:ascii="仿宋" w:eastAsia="仿宋" w:hAnsi="仿宋" w:cs="FangSong"/>
          <w:spacing w:val="-1"/>
          <w:sz w:val="24"/>
        </w:rPr>
        <w:t>患双方的沟通与协商，促进医疗纠纷的和解；</w:t>
      </w:r>
    </w:p>
    <w:p w:rsidR="00234C66" w:rsidRDefault="00234C66" w:rsidP="00234C66">
      <w:pPr>
        <w:spacing w:before="177" w:line="360" w:lineRule="auto"/>
        <w:ind w:right="232" w:firstLineChars="200" w:firstLine="476"/>
        <w:jc w:val="left"/>
        <w:rPr>
          <w:rFonts w:ascii="仿宋" w:eastAsia="仿宋" w:hAnsi="仿宋" w:cs="FangSong"/>
          <w:spacing w:val="-1"/>
          <w:sz w:val="24"/>
        </w:rPr>
      </w:pPr>
      <w:r>
        <w:rPr>
          <w:rFonts w:ascii="仿宋" w:eastAsia="仿宋" w:hAnsi="仿宋" w:cs="FangSong"/>
          <w:spacing w:val="-1"/>
          <w:sz w:val="24"/>
        </w:rPr>
        <w:t>（3）接到医疗纠纷咨询投诉的，应积极引导</w:t>
      </w:r>
      <w:proofErr w:type="gramStart"/>
      <w:r>
        <w:rPr>
          <w:rFonts w:ascii="仿宋" w:eastAsia="仿宋" w:hAnsi="仿宋" w:cs="FangSong"/>
          <w:spacing w:val="-1"/>
          <w:sz w:val="24"/>
        </w:rPr>
        <w:t>医</w:t>
      </w:r>
      <w:proofErr w:type="gramEnd"/>
      <w:r>
        <w:rPr>
          <w:rFonts w:ascii="仿宋" w:eastAsia="仿宋" w:hAnsi="仿宋" w:cs="FangSong"/>
          <w:spacing w:val="-1"/>
          <w:sz w:val="24"/>
        </w:rPr>
        <w:t>患双方通过人民调解方式解决纠纷；</w:t>
      </w:r>
    </w:p>
    <w:p w:rsidR="00234C66" w:rsidRDefault="00234C66" w:rsidP="00234C66">
      <w:pPr>
        <w:spacing w:before="178" w:line="360" w:lineRule="auto"/>
        <w:ind w:left="19" w:right="7" w:firstLine="481"/>
        <w:rPr>
          <w:rFonts w:ascii="仿宋" w:eastAsia="仿宋" w:hAnsi="仿宋" w:cs="FangSong"/>
          <w:sz w:val="24"/>
        </w:rPr>
      </w:pPr>
      <w:r>
        <w:rPr>
          <w:rFonts w:ascii="仿宋" w:eastAsia="仿宋" w:hAnsi="仿宋" w:cs="FangSong"/>
          <w:spacing w:val="-4"/>
          <w:sz w:val="24"/>
        </w:rPr>
        <w:t>（4）通常情况下，医疗纠纷应自受理之日起</w:t>
      </w:r>
      <w:r>
        <w:rPr>
          <w:rFonts w:ascii="仿宋" w:eastAsia="仿宋" w:hAnsi="仿宋" w:cs="FangSong"/>
          <w:spacing w:val="-47"/>
          <w:sz w:val="24"/>
        </w:rPr>
        <w:t xml:space="preserve"> </w:t>
      </w:r>
      <w:r>
        <w:rPr>
          <w:rFonts w:ascii="仿宋" w:eastAsia="仿宋" w:hAnsi="仿宋" w:cs="FangSong"/>
          <w:spacing w:val="-4"/>
          <w:sz w:val="24"/>
        </w:rPr>
        <w:t>30</w:t>
      </w:r>
      <w:r>
        <w:rPr>
          <w:rFonts w:ascii="仿宋" w:eastAsia="仿宋" w:hAnsi="仿宋" w:cs="FangSong"/>
          <w:spacing w:val="-43"/>
          <w:sz w:val="24"/>
        </w:rPr>
        <w:t xml:space="preserve"> </w:t>
      </w:r>
      <w:proofErr w:type="gramStart"/>
      <w:r>
        <w:rPr>
          <w:rFonts w:ascii="仿宋" w:eastAsia="仿宋" w:hAnsi="仿宋" w:cs="FangSong"/>
          <w:spacing w:val="-4"/>
          <w:sz w:val="24"/>
        </w:rPr>
        <w:t>个</w:t>
      </w:r>
      <w:proofErr w:type="gramEnd"/>
      <w:r>
        <w:rPr>
          <w:rFonts w:ascii="仿宋" w:eastAsia="仿宋" w:hAnsi="仿宋" w:cs="FangSong"/>
          <w:spacing w:val="-4"/>
          <w:sz w:val="24"/>
        </w:rPr>
        <w:t>工作日内完成调解；因特</w:t>
      </w:r>
      <w:r>
        <w:rPr>
          <w:rFonts w:ascii="仿宋" w:eastAsia="仿宋" w:hAnsi="仿宋" w:cs="FangSong"/>
          <w:spacing w:val="-5"/>
          <w:sz w:val="24"/>
        </w:rPr>
        <w:t>殊情况</w:t>
      </w:r>
      <w:r>
        <w:rPr>
          <w:rFonts w:ascii="仿宋" w:eastAsia="仿宋" w:hAnsi="仿宋" w:cs="FangSong"/>
          <w:spacing w:val="-2"/>
          <w:sz w:val="24"/>
        </w:rPr>
        <w:t>需要延长调解期限的，需和</w:t>
      </w:r>
      <w:proofErr w:type="gramStart"/>
      <w:r>
        <w:rPr>
          <w:rFonts w:ascii="仿宋" w:eastAsia="仿宋" w:hAnsi="仿宋" w:cs="FangSong"/>
          <w:spacing w:val="-2"/>
          <w:sz w:val="24"/>
        </w:rPr>
        <w:t>医患</w:t>
      </w:r>
      <w:proofErr w:type="gramEnd"/>
      <w:r>
        <w:rPr>
          <w:rFonts w:ascii="仿宋" w:eastAsia="仿宋" w:hAnsi="仿宋" w:cs="FangSong"/>
          <w:spacing w:val="-2"/>
          <w:sz w:val="24"/>
        </w:rPr>
        <w:t>双方约定延长调解期限。特殊情况包括医疗纠纷疑难、</w:t>
      </w:r>
      <w:r>
        <w:rPr>
          <w:rFonts w:ascii="仿宋" w:eastAsia="仿宋" w:hAnsi="仿宋" w:cs="FangSong"/>
          <w:spacing w:val="-3"/>
          <w:sz w:val="24"/>
        </w:rPr>
        <w:t>重大的；需要多次沟通、协商的；其他需要延长调解期限的情况等。超过</w:t>
      </w:r>
      <w:r>
        <w:rPr>
          <w:rFonts w:ascii="仿宋" w:eastAsia="仿宋" w:hAnsi="仿宋" w:cs="FangSong"/>
          <w:spacing w:val="-4"/>
          <w:sz w:val="24"/>
        </w:rPr>
        <w:t>调解期限未达</w:t>
      </w:r>
      <w:r>
        <w:rPr>
          <w:rFonts w:ascii="仿宋" w:eastAsia="仿宋" w:hAnsi="仿宋" w:cs="FangSong"/>
          <w:spacing w:val="-2"/>
          <w:sz w:val="24"/>
        </w:rPr>
        <w:t>成调解协议的，视为调解不成；</w:t>
      </w:r>
    </w:p>
    <w:p w:rsidR="00234C66" w:rsidRDefault="00234C66" w:rsidP="00234C66">
      <w:pPr>
        <w:spacing w:before="179" w:line="360" w:lineRule="auto"/>
        <w:ind w:left="19" w:right="62" w:firstLine="481"/>
        <w:rPr>
          <w:rFonts w:ascii="仿宋" w:eastAsia="仿宋" w:hAnsi="仿宋" w:cs="FangSong"/>
          <w:sz w:val="24"/>
        </w:rPr>
      </w:pPr>
      <w:r>
        <w:rPr>
          <w:rFonts w:ascii="仿宋" w:eastAsia="仿宋" w:hAnsi="仿宋" w:cs="FangSong"/>
          <w:spacing w:val="-1"/>
          <w:sz w:val="24"/>
        </w:rPr>
        <w:t>（5）需要进行医疗损害鉴定以明确责任的医疗纠纷调解，由</w:t>
      </w:r>
      <w:proofErr w:type="gramStart"/>
      <w:r>
        <w:rPr>
          <w:rFonts w:ascii="仿宋" w:eastAsia="仿宋" w:hAnsi="仿宋" w:cs="FangSong"/>
          <w:spacing w:val="-1"/>
          <w:sz w:val="24"/>
        </w:rPr>
        <w:t>医</w:t>
      </w:r>
      <w:proofErr w:type="gramEnd"/>
      <w:r>
        <w:rPr>
          <w:rFonts w:ascii="仿宋" w:eastAsia="仿宋" w:hAnsi="仿宋" w:cs="FangSong"/>
          <w:spacing w:val="-1"/>
          <w:sz w:val="24"/>
        </w:rPr>
        <w:t>患双方共同委托医</w:t>
      </w:r>
      <w:r>
        <w:rPr>
          <w:rFonts w:ascii="仿宋" w:eastAsia="仿宋" w:hAnsi="仿宋" w:cs="FangSong"/>
          <w:spacing w:val="-3"/>
          <w:sz w:val="24"/>
        </w:rPr>
        <w:t>学会或者司法鉴定机构进行鉴定，也可以经</w:t>
      </w:r>
      <w:proofErr w:type="gramStart"/>
      <w:r>
        <w:rPr>
          <w:rFonts w:ascii="仿宋" w:eastAsia="仿宋" w:hAnsi="仿宋" w:cs="FangSong"/>
          <w:spacing w:val="-3"/>
          <w:sz w:val="24"/>
        </w:rPr>
        <w:t>医</w:t>
      </w:r>
      <w:proofErr w:type="gramEnd"/>
      <w:r>
        <w:rPr>
          <w:rFonts w:ascii="仿宋" w:eastAsia="仿宋" w:hAnsi="仿宋" w:cs="FangSong"/>
          <w:spacing w:val="-3"/>
          <w:sz w:val="24"/>
        </w:rPr>
        <w:t>患双方同意，由调解组织委</w:t>
      </w:r>
      <w:r>
        <w:rPr>
          <w:rFonts w:ascii="仿宋" w:eastAsia="仿宋" w:hAnsi="仿宋" w:cs="FangSong"/>
          <w:spacing w:val="-4"/>
          <w:sz w:val="24"/>
        </w:rPr>
        <w:t>托第三方机构</w:t>
      </w:r>
      <w:r>
        <w:rPr>
          <w:rFonts w:ascii="仿宋" w:eastAsia="仿宋" w:hAnsi="仿宋" w:cs="FangSong"/>
          <w:spacing w:val="-1"/>
          <w:sz w:val="24"/>
        </w:rPr>
        <w:t>鉴定，需要进行医疗损害鉴定的时间不计入调解期限；</w:t>
      </w:r>
    </w:p>
    <w:p w:rsidR="00234C66" w:rsidRDefault="00234C66" w:rsidP="00234C66">
      <w:pPr>
        <w:spacing w:before="179" w:line="360" w:lineRule="auto"/>
        <w:ind w:left="19" w:right="62" w:firstLine="481"/>
        <w:rPr>
          <w:rFonts w:ascii="仿宋" w:eastAsia="仿宋" w:hAnsi="仿宋" w:cs="FangSong"/>
          <w:sz w:val="24"/>
        </w:rPr>
      </w:pPr>
      <w:r>
        <w:rPr>
          <w:rFonts w:ascii="仿宋" w:eastAsia="仿宋" w:hAnsi="仿宋" w:cs="FangSong"/>
          <w:spacing w:val="-1"/>
          <w:sz w:val="24"/>
        </w:rPr>
        <w:t>（6）</w:t>
      </w:r>
      <w:proofErr w:type="gramStart"/>
      <w:r>
        <w:rPr>
          <w:rFonts w:ascii="仿宋" w:eastAsia="仿宋" w:hAnsi="仿宋" w:cs="FangSong"/>
          <w:spacing w:val="-1"/>
          <w:sz w:val="24"/>
        </w:rPr>
        <w:t>医</w:t>
      </w:r>
      <w:proofErr w:type="gramEnd"/>
      <w:r>
        <w:rPr>
          <w:rFonts w:ascii="仿宋" w:eastAsia="仿宋" w:hAnsi="仿宋" w:cs="FangSong"/>
          <w:spacing w:val="-1"/>
          <w:sz w:val="24"/>
        </w:rPr>
        <w:t>患双方经人民调解达成一致的，应当制作调解协议书。调解协议书经</w:t>
      </w:r>
      <w:proofErr w:type="gramStart"/>
      <w:r>
        <w:rPr>
          <w:rFonts w:ascii="仿宋" w:eastAsia="仿宋" w:hAnsi="仿宋" w:cs="FangSong"/>
          <w:spacing w:val="-1"/>
          <w:sz w:val="24"/>
        </w:rPr>
        <w:t>医</w:t>
      </w:r>
      <w:proofErr w:type="gramEnd"/>
      <w:r>
        <w:rPr>
          <w:rFonts w:ascii="仿宋" w:eastAsia="仿宋" w:hAnsi="仿宋" w:cs="FangSong"/>
          <w:spacing w:val="-1"/>
          <w:sz w:val="24"/>
        </w:rPr>
        <w:t>患</w:t>
      </w:r>
      <w:r>
        <w:rPr>
          <w:rFonts w:ascii="仿宋" w:eastAsia="仿宋" w:hAnsi="仿宋" w:cs="FangSong"/>
          <w:spacing w:val="-3"/>
          <w:sz w:val="24"/>
        </w:rPr>
        <w:t>双方签字或者盖章，人民调解员签字并加盖调解组织印章后生效。调解结果作为保险理赔的支付依据；</w:t>
      </w:r>
    </w:p>
    <w:p w:rsidR="00234C66" w:rsidRDefault="00234C66" w:rsidP="00234C66">
      <w:pPr>
        <w:spacing w:before="179" w:line="360" w:lineRule="auto"/>
        <w:ind w:left="19" w:right="62" w:firstLine="481"/>
        <w:rPr>
          <w:rFonts w:ascii="仿宋" w:eastAsia="仿宋" w:hAnsi="仿宋" w:cs="FangSong"/>
          <w:sz w:val="24"/>
        </w:rPr>
      </w:pPr>
      <w:r>
        <w:rPr>
          <w:rFonts w:ascii="仿宋" w:eastAsia="仿宋" w:hAnsi="仿宋" w:cs="FangSong" w:hint="eastAsia"/>
          <w:spacing w:val="-3"/>
          <w:sz w:val="24"/>
        </w:rPr>
        <w:t>（7）达成调解协议的，医疗纠纷调解服务商应当告知</w:t>
      </w:r>
      <w:proofErr w:type="gramStart"/>
      <w:r>
        <w:rPr>
          <w:rFonts w:ascii="仿宋" w:eastAsia="仿宋" w:hAnsi="仿宋" w:cs="FangSong" w:hint="eastAsia"/>
          <w:spacing w:val="-3"/>
          <w:sz w:val="24"/>
        </w:rPr>
        <w:t>医</w:t>
      </w:r>
      <w:proofErr w:type="gramEnd"/>
      <w:r>
        <w:rPr>
          <w:rFonts w:ascii="仿宋" w:eastAsia="仿宋" w:hAnsi="仿宋" w:cs="FangSong" w:hint="eastAsia"/>
          <w:spacing w:val="-3"/>
          <w:sz w:val="24"/>
        </w:rPr>
        <w:t>患双方可以依法向人民法院申请司法确认。未达成一致意见的，医疗纠纷调解服务商应当引导当事人依法通过诉讼程序解决医疗纠纷；</w:t>
      </w:r>
    </w:p>
    <w:p w:rsidR="00234C66" w:rsidRDefault="00234C66" w:rsidP="00234C66">
      <w:pPr>
        <w:spacing w:line="360" w:lineRule="auto"/>
        <w:ind w:right="62" w:firstLineChars="200" w:firstLine="468"/>
        <w:jc w:val="left"/>
        <w:rPr>
          <w:rFonts w:ascii="仿宋" w:eastAsia="仿宋" w:hAnsi="仿宋" w:cs="FangSong"/>
          <w:spacing w:val="-3"/>
          <w:sz w:val="24"/>
        </w:rPr>
      </w:pPr>
      <w:r>
        <w:rPr>
          <w:rFonts w:ascii="仿宋" w:eastAsia="仿宋" w:hAnsi="仿宋" w:cs="FangSong" w:hint="eastAsia"/>
          <w:spacing w:val="-3"/>
          <w:sz w:val="24"/>
        </w:rPr>
        <w:t>（8）需根据案件的难易程度和当事人具体情况，因地制宜地开展调解工作；</w:t>
      </w:r>
    </w:p>
    <w:p w:rsidR="00234C66" w:rsidRDefault="00234C66" w:rsidP="00234C66">
      <w:pPr>
        <w:spacing w:line="360" w:lineRule="auto"/>
        <w:ind w:right="62" w:firstLineChars="200" w:firstLine="468"/>
        <w:jc w:val="left"/>
        <w:rPr>
          <w:rFonts w:ascii="仿宋" w:eastAsia="仿宋" w:hAnsi="仿宋" w:cs="FangSong"/>
          <w:spacing w:val="-3"/>
          <w:sz w:val="24"/>
        </w:rPr>
      </w:pPr>
      <w:r>
        <w:rPr>
          <w:rFonts w:ascii="仿宋" w:eastAsia="仿宋" w:hAnsi="仿宋" w:cs="FangSong" w:hint="eastAsia"/>
          <w:spacing w:val="-3"/>
          <w:sz w:val="24"/>
        </w:rPr>
        <w:t>（9）医疗纠纷调解实行专家合议制度，在双方平等协商的基础上开展调解工作；</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（10）定期召开会议，通报相关情况，研究和解决工作中遇到的困难和问题；</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（11）人员配备副主任医师以上全日制工作人员、高级法官等。</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（12）具有50名以上专（兼）</w:t>
      </w:r>
      <w:proofErr w:type="gramStart"/>
      <w:r>
        <w:rPr>
          <w:rFonts w:ascii="仿宋" w:eastAsia="仿宋" w:hAnsi="仿宋" w:cs="FangSong" w:hint="eastAsia"/>
          <w:spacing w:val="-3"/>
          <w:sz w:val="24"/>
        </w:rPr>
        <w:t>职医疗</w:t>
      </w:r>
      <w:proofErr w:type="gramEnd"/>
      <w:r>
        <w:rPr>
          <w:rFonts w:ascii="仿宋" w:eastAsia="仿宋" w:hAnsi="仿宋" w:cs="FangSong" w:hint="eastAsia"/>
          <w:spacing w:val="-3"/>
          <w:sz w:val="24"/>
        </w:rPr>
        <w:t>纠纷人民调解员，具备医学、法学等专业知识且热心调解工作；具有10名以上资深医学、法学、法医学专家参与医疗过错评估；投标人需配备专家库，其中包括：内科、外科、骨科、妇科、儿科、介入科、康复科等类别的临床专家，专家库中专家须符合三级医疗机构副主任医师（含）以上职称条件，需提供专家</w:t>
      </w:r>
      <w:proofErr w:type="gramStart"/>
      <w:r>
        <w:rPr>
          <w:rFonts w:ascii="仿宋" w:eastAsia="仿宋" w:hAnsi="仿宋" w:cs="FangSong" w:hint="eastAsia"/>
          <w:spacing w:val="-3"/>
          <w:sz w:val="24"/>
        </w:rPr>
        <w:t>库专家</w:t>
      </w:r>
      <w:proofErr w:type="gramEnd"/>
      <w:r>
        <w:rPr>
          <w:rFonts w:ascii="仿宋" w:eastAsia="仿宋" w:hAnsi="仿宋" w:cs="FangSong" w:hint="eastAsia"/>
          <w:spacing w:val="-3"/>
          <w:sz w:val="24"/>
        </w:rPr>
        <w:t>名册，至少包括以下信息：专家姓名、所在单位、专业科室、职称等。</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 xml:space="preserve">（13）具有在本市行政区域内承担 2000 </w:t>
      </w:r>
      <w:proofErr w:type="gramStart"/>
      <w:r>
        <w:rPr>
          <w:rFonts w:ascii="仿宋" w:eastAsia="仿宋" w:hAnsi="仿宋" w:cs="FangSong" w:hint="eastAsia"/>
          <w:spacing w:val="-3"/>
          <w:sz w:val="24"/>
        </w:rPr>
        <w:t>件以上</w:t>
      </w:r>
      <w:proofErr w:type="gramEnd"/>
      <w:r>
        <w:rPr>
          <w:rFonts w:ascii="仿宋" w:eastAsia="仿宋" w:hAnsi="仿宋" w:cs="FangSong" w:hint="eastAsia"/>
          <w:spacing w:val="-3"/>
          <w:sz w:val="24"/>
        </w:rPr>
        <w:t>医疗纠纷案件的调解能力；</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（14）具有承担接待、调解、专家咨询、会议、档案存放等功能的工作场所，需提供房屋产权证或租赁合同；在郊区设有调解工作室；</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（15）具有调解工作办公软件及网络信息系统（包括</w:t>
      </w:r>
      <w:r>
        <w:rPr>
          <w:rFonts w:ascii="仿宋" w:eastAsia="仿宋" w:hAnsi="仿宋" w:cs="宋体" w:hint="eastAsia"/>
          <w:kern w:val="0"/>
          <w:sz w:val="24"/>
        </w:rPr>
        <w:t>现代化的调解信息管理系统、局域网设施等</w:t>
      </w:r>
      <w:r>
        <w:rPr>
          <w:rFonts w:ascii="仿宋" w:eastAsia="仿宋" w:hAnsi="仿宋" w:cs="FangSong" w:hint="eastAsia"/>
          <w:spacing w:val="-3"/>
          <w:sz w:val="24"/>
        </w:rPr>
        <w:t>）以及所必需的电话、传真机、电脑、打印机、移动存储设备；</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（16）调解医疗纠纷不收取费用。</w:t>
      </w:r>
    </w:p>
    <w:p w:rsidR="00234C66" w:rsidRDefault="00234C66" w:rsidP="00234C66">
      <w:pPr>
        <w:tabs>
          <w:tab w:val="left" w:pos="900"/>
        </w:tabs>
        <w:spacing w:line="360" w:lineRule="auto"/>
        <w:ind w:firstLineChars="200" w:firstLine="468"/>
        <w:jc w:val="left"/>
        <w:rPr>
          <w:rFonts w:ascii="仿宋" w:eastAsia="仿宋" w:hAnsi="仿宋" w:cs="FangSong"/>
          <w:spacing w:val="-3"/>
          <w:sz w:val="24"/>
        </w:rPr>
      </w:pPr>
      <w:r>
        <w:rPr>
          <w:rFonts w:ascii="仿宋" w:eastAsia="仿宋" w:hAnsi="仿宋" w:cs="FangSong" w:hint="eastAsia"/>
          <w:spacing w:val="-3"/>
          <w:sz w:val="24"/>
        </w:rPr>
        <w:t>（17）医疗纠纷调解服务商具有健全、完备的管理制度。</w:t>
      </w:r>
    </w:p>
    <w:p w:rsidR="002C5033" w:rsidRPr="00234C66" w:rsidRDefault="002C5033"/>
    <w:sectPr w:rsidR="002C5033" w:rsidRPr="00234C66"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FangSong">
    <w:altName w:val="方正仿宋_GBK"/>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203"/>
    <w:multiLevelType w:val="multilevel"/>
    <w:tmpl w:val="2BF3420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44"/>
    <w:rsid w:val="00134565"/>
    <w:rsid w:val="00234C66"/>
    <w:rsid w:val="002C5033"/>
    <w:rsid w:val="00832A26"/>
    <w:rsid w:val="00984E54"/>
    <w:rsid w:val="00CF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234C6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TableText">
    <w:name w:val="Table Text"/>
    <w:basedOn w:val="a"/>
    <w:link w:val="TableTextChar"/>
    <w:qFormat/>
    <w:rsid w:val="00234C66"/>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TableTextChar">
    <w:name w:val="Table Text Char"/>
    <w:link w:val="TableText"/>
    <w:qFormat/>
    <w:locked/>
    <w:rsid w:val="00234C66"/>
    <w:rPr>
      <w:rFonts w:ascii="宋体" w:eastAsia="宋体" w:hAnsi="宋体" w:cs="宋体"/>
      <w:snapToGrid w:val="0"/>
      <w:color w:val="000000"/>
      <w:kern w:val="0"/>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234C6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TableText">
    <w:name w:val="Table Text"/>
    <w:basedOn w:val="a"/>
    <w:link w:val="TableTextChar"/>
    <w:qFormat/>
    <w:rsid w:val="00234C66"/>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TableTextChar">
    <w:name w:val="Table Text Char"/>
    <w:link w:val="TableText"/>
    <w:qFormat/>
    <w:locked/>
    <w:rsid w:val="00234C66"/>
    <w:rPr>
      <w:rFonts w:ascii="宋体" w:eastAsia="宋体" w:hAnsi="宋体" w:cs="宋体"/>
      <w:snapToGrid w:val="0"/>
      <w:color w:val="00000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4</cp:revision>
  <dcterms:created xsi:type="dcterms:W3CDTF">2025-04-27T08:02:00Z</dcterms:created>
  <dcterms:modified xsi:type="dcterms:W3CDTF">2025-04-27T08:04:00Z</dcterms:modified>
</cp:coreProperties>
</file>