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CBE7D">
      <w:pPr>
        <w:pStyle w:val="3"/>
        <w:keepNext w:val="0"/>
        <w:keepLines w:val="0"/>
        <w:widowControl/>
        <w:suppressLineNumbers w:val="0"/>
        <w:shd w:val="clear" w:fill="FFFFFF"/>
        <w:spacing w:before="0" w:beforeAutospacing="0" w:after="105" w:afterAutospacing="0"/>
        <w:ind w:left="0" w:firstLine="0"/>
        <w:jc w:val="center"/>
        <w:rPr>
          <w:rFonts w:ascii="Segoe UI" w:hAnsi="Segoe UI" w:eastAsia="Segoe UI" w:cs="Segoe UI"/>
          <w:i w:val="0"/>
          <w:iCs w:val="0"/>
          <w:caps w:val="0"/>
          <w:spacing w:val="0"/>
        </w:rPr>
      </w:pPr>
      <w:r>
        <w:rPr>
          <w:rFonts w:hint="default" w:ascii="Segoe UI" w:hAnsi="Segoe UI" w:eastAsia="Segoe UI" w:cs="Segoe UI"/>
          <w:i w:val="0"/>
          <w:iCs w:val="0"/>
          <w:caps w:val="0"/>
          <w:spacing w:val="0"/>
          <w:shd w:val="clear" w:fill="FFFFFF"/>
        </w:rPr>
        <w:t>网络安全实训室设备更新项目（分散采购）公开招标公告</w:t>
      </w:r>
    </w:p>
    <w:p w14:paraId="74CB6F11">
      <w:pPr>
        <w:pStyle w:val="4"/>
        <w:keepNext w:val="0"/>
        <w:keepLines w:val="0"/>
        <w:widowControl/>
        <w:suppressLineNumbers w:val="0"/>
        <w:spacing w:before="0" w:beforeAutospacing="0" w:after="105" w:afterAutospacing="0"/>
        <w:ind w:left="720" w:right="720"/>
        <w:jc w:val="left"/>
      </w:pPr>
      <w:r>
        <w:rPr>
          <w:i w:val="0"/>
          <w:iCs w:val="0"/>
          <w:caps w:val="0"/>
          <w:color w:val="606266"/>
          <w:spacing w:val="0"/>
          <w:shd w:val="clear" w:fill="FFFFFF"/>
        </w:rPr>
        <w:t>项目概况</w:t>
      </w:r>
    </w:p>
    <w:p w14:paraId="08DDCE76">
      <w:pPr>
        <w:keepNext w:val="0"/>
        <w:keepLines w:val="0"/>
        <w:widowControl/>
        <w:suppressLineNumbers w:val="0"/>
        <w:pBdr>
          <w:left w:val="none" w:color="auto" w:sz="0" w:space="0"/>
        </w:pBdr>
        <w:shd w:val="clear" w:fill="FFFFFF"/>
        <w:spacing w:before="0" w:beforeAutospacing="0" w:after="210" w:afterAutospacing="0"/>
        <w:ind w:left="1440" w:right="1440" w:firstLine="0"/>
        <w:jc w:val="left"/>
        <w:rPr>
          <w:rFonts w:hint="eastAsia" w:ascii="宋体" w:hAnsi="宋体" w:eastAsia="宋体" w:cs="宋体"/>
          <w:i w:val="0"/>
          <w:iCs w:val="0"/>
          <w:caps w:val="0"/>
          <w:color w:val="606266"/>
          <w:spacing w:val="0"/>
          <w:sz w:val="24"/>
          <w:szCs w:val="24"/>
        </w:rPr>
      </w:pPr>
      <w:r>
        <w:rPr>
          <w:rFonts w:hint="eastAsia" w:ascii="宋体" w:hAnsi="宋体" w:eastAsia="宋体" w:cs="宋体"/>
          <w:i w:val="0"/>
          <w:iCs w:val="0"/>
          <w:caps w:val="0"/>
          <w:color w:val="606266"/>
          <w:spacing w:val="0"/>
          <w:kern w:val="0"/>
          <w:sz w:val="24"/>
          <w:szCs w:val="24"/>
          <w:shd w:val="clear" w:fill="FFFFFF"/>
          <w:lang w:val="en-US" w:eastAsia="zh-CN" w:bidi="ar"/>
        </w:rPr>
        <w:t>网络安全实训室设备更新项目（分散采购） 招标项目的潜在投标人应在北京市政府采购电子交易平台获取招标文件，并于2025-06-30 14:00（北京时间）前递交投标文件。</w:t>
      </w:r>
    </w:p>
    <w:p w14:paraId="670EC69B">
      <w:pPr>
        <w:pStyle w:val="5"/>
        <w:keepNext w:val="0"/>
        <w:keepLines w:val="0"/>
        <w:widowControl/>
        <w:suppressLineNumbers w:val="0"/>
        <w:wordWrap w:val="0"/>
        <w:spacing w:before="0" w:beforeAutospacing="0" w:after="210" w:afterAutospacing="0"/>
        <w:jc w:val="left"/>
      </w:pPr>
      <w:r>
        <w:rPr>
          <w:rStyle w:val="8"/>
          <w:rFonts w:hint="default" w:ascii="Segoe UI" w:hAnsi="Segoe UI" w:eastAsia="Segoe UI" w:cs="Segoe UI"/>
          <w:b/>
          <w:bCs/>
          <w:i w:val="0"/>
          <w:iCs w:val="0"/>
          <w:caps w:val="0"/>
          <w:color w:val="606266"/>
          <w:spacing w:val="0"/>
          <w:sz w:val="21"/>
          <w:szCs w:val="21"/>
          <w:shd w:val="clear" w:fill="FFFFFF"/>
        </w:rPr>
        <w:t>一、项目基本情况</w:t>
      </w:r>
    </w:p>
    <w:p w14:paraId="7B410A20">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项目编号：11000025210200115036-XM002</w:t>
      </w:r>
    </w:p>
    <w:p w14:paraId="10C495C4">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项目名称：网络安全实训室设备更新项目（分散采购）</w:t>
      </w:r>
    </w:p>
    <w:p w14:paraId="40B3246C">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预算金额：281.742 万元（人民币）</w:t>
      </w:r>
    </w:p>
    <w:p w14:paraId="79FE5CE9">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最高限价：281.742 万元（人民币）</w:t>
      </w:r>
    </w:p>
    <w:p w14:paraId="30F6B71C">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采购需求：</w:t>
      </w:r>
    </w:p>
    <w:tbl>
      <w:tblPr>
        <w:tblStyle w:val="6"/>
        <w:tblW w:w="131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91"/>
        <w:gridCol w:w="2841"/>
        <w:gridCol w:w="2841"/>
        <w:gridCol w:w="2292"/>
        <w:gridCol w:w="2842"/>
      </w:tblGrid>
      <w:tr w14:paraId="7F6C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tcBorders>
              <w:bottom w:val="single" w:color="D8D8D8" w:sz="6" w:space="0"/>
            </w:tcBorders>
            <w:shd w:val="clear" w:color="auto" w:fill="FFFFFF"/>
            <w:tcMar>
              <w:top w:w="225" w:type="dxa"/>
              <w:left w:w="225" w:type="dxa"/>
              <w:bottom w:w="225" w:type="dxa"/>
              <w:right w:w="225" w:type="dxa"/>
            </w:tcMar>
            <w:vAlign w:val="center"/>
          </w:tcPr>
          <w:p w14:paraId="09168DEF">
            <w:pPr>
              <w:pStyle w:val="5"/>
              <w:keepNext w:val="0"/>
              <w:keepLines w:val="0"/>
              <w:widowControl/>
              <w:suppressLineNumbers w:val="0"/>
              <w:wordWrap w:val="0"/>
              <w:spacing w:before="0" w:beforeAutospacing="0" w:after="210" w:afterAutospacing="0" w:line="315" w:lineRule="atLeast"/>
              <w:jc w:val="center"/>
            </w:pPr>
            <w:r>
              <w:rPr>
                <w:rFonts w:hint="eastAsia" w:ascii="宋体" w:hAnsi="宋体" w:eastAsia="宋体" w:cs="宋体"/>
                <w:sz w:val="24"/>
                <w:szCs w:val="24"/>
              </w:rPr>
              <w:t>包号</w:t>
            </w:r>
          </w:p>
        </w:tc>
        <w:tc>
          <w:tcPr>
            <w:tcW w:w="750" w:type="dxa"/>
            <w:tcBorders>
              <w:bottom w:val="single" w:color="D8D8D8" w:sz="6" w:space="0"/>
            </w:tcBorders>
            <w:shd w:val="clear" w:color="auto" w:fill="FFFFFF"/>
            <w:tcMar>
              <w:top w:w="225" w:type="dxa"/>
              <w:left w:w="225" w:type="dxa"/>
              <w:bottom w:w="225" w:type="dxa"/>
              <w:right w:w="225" w:type="dxa"/>
            </w:tcMar>
            <w:vAlign w:val="center"/>
          </w:tcPr>
          <w:p w14:paraId="7E48D4B9">
            <w:pPr>
              <w:pStyle w:val="5"/>
              <w:keepNext w:val="0"/>
              <w:keepLines w:val="0"/>
              <w:widowControl/>
              <w:suppressLineNumbers w:val="0"/>
              <w:wordWrap w:val="0"/>
              <w:spacing w:before="0" w:beforeAutospacing="0" w:after="210" w:afterAutospacing="0" w:line="315" w:lineRule="atLeast"/>
              <w:jc w:val="center"/>
            </w:pPr>
            <w:r>
              <w:rPr>
                <w:rFonts w:hint="eastAsia" w:ascii="宋体" w:hAnsi="宋体" w:eastAsia="宋体" w:cs="宋体"/>
                <w:sz w:val="24"/>
                <w:szCs w:val="24"/>
              </w:rPr>
              <w:t>标的名称</w:t>
            </w:r>
          </w:p>
        </w:tc>
        <w:tc>
          <w:tcPr>
            <w:tcW w:w="750" w:type="dxa"/>
            <w:tcBorders>
              <w:bottom w:val="single" w:color="D8D8D8" w:sz="6" w:space="0"/>
            </w:tcBorders>
            <w:shd w:val="clear" w:color="auto" w:fill="FFFFFF"/>
            <w:tcMar>
              <w:top w:w="225" w:type="dxa"/>
              <w:left w:w="225" w:type="dxa"/>
              <w:bottom w:w="225" w:type="dxa"/>
              <w:right w:w="225" w:type="dxa"/>
            </w:tcMar>
            <w:vAlign w:val="center"/>
          </w:tcPr>
          <w:p w14:paraId="0618E983">
            <w:pPr>
              <w:pStyle w:val="5"/>
              <w:keepNext w:val="0"/>
              <w:keepLines w:val="0"/>
              <w:widowControl/>
              <w:suppressLineNumbers w:val="0"/>
              <w:wordWrap w:val="0"/>
              <w:spacing w:before="0" w:beforeAutospacing="0" w:after="210" w:afterAutospacing="0" w:line="315" w:lineRule="atLeast"/>
              <w:jc w:val="center"/>
            </w:pPr>
            <w:r>
              <w:rPr>
                <w:rFonts w:hint="eastAsia" w:ascii="宋体" w:hAnsi="宋体" w:eastAsia="宋体" w:cs="宋体"/>
                <w:sz w:val="24"/>
                <w:szCs w:val="24"/>
              </w:rPr>
              <w:t>采购包预算金额（万元）</w:t>
            </w:r>
          </w:p>
        </w:tc>
        <w:tc>
          <w:tcPr>
            <w:tcW w:w="750" w:type="dxa"/>
            <w:tcBorders>
              <w:bottom w:val="single" w:color="D8D8D8" w:sz="6" w:space="0"/>
            </w:tcBorders>
            <w:shd w:val="clear" w:color="auto" w:fill="FFFFFF"/>
            <w:tcMar>
              <w:top w:w="225" w:type="dxa"/>
              <w:left w:w="225" w:type="dxa"/>
              <w:bottom w:w="225" w:type="dxa"/>
              <w:right w:w="225" w:type="dxa"/>
            </w:tcMar>
            <w:vAlign w:val="center"/>
          </w:tcPr>
          <w:p w14:paraId="5D846511">
            <w:pPr>
              <w:pStyle w:val="5"/>
              <w:keepNext w:val="0"/>
              <w:keepLines w:val="0"/>
              <w:widowControl/>
              <w:suppressLineNumbers w:val="0"/>
              <w:wordWrap w:val="0"/>
              <w:spacing w:before="0" w:beforeAutospacing="0" w:after="210" w:afterAutospacing="0" w:line="315" w:lineRule="atLeast"/>
              <w:jc w:val="center"/>
            </w:pPr>
            <w:r>
              <w:rPr>
                <w:rFonts w:hint="eastAsia" w:ascii="宋体" w:hAnsi="宋体" w:eastAsia="宋体" w:cs="宋体"/>
                <w:sz w:val="24"/>
                <w:szCs w:val="24"/>
              </w:rPr>
              <w:t>数量</w:t>
            </w:r>
          </w:p>
        </w:tc>
        <w:tc>
          <w:tcPr>
            <w:tcW w:w="750" w:type="dxa"/>
            <w:tcBorders>
              <w:bottom w:val="single" w:color="D8D8D8" w:sz="6" w:space="0"/>
            </w:tcBorders>
            <w:shd w:val="clear" w:color="auto" w:fill="FFFFFF"/>
            <w:tcMar>
              <w:top w:w="225" w:type="dxa"/>
              <w:left w:w="225" w:type="dxa"/>
              <w:bottom w:w="225" w:type="dxa"/>
              <w:right w:w="225" w:type="dxa"/>
            </w:tcMar>
            <w:vAlign w:val="center"/>
          </w:tcPr>
          <w:p w14:paraId="38C0A125">
            <w:pPr>
              <w:pStyle w:val="5"/>
              <w:keepNext w:val="0"/>
              <w:keepLines w:val="0"/>
              <w:widowControl/>
              <w:suppressLineNumbers w:val="0"/>
              <w:wordWrap w:val="0"/>
              <w:spacing w:before="0" w:beforeAutospacing="0" w:after="210" w:afterAutospacing="0" w:line="315" w:lineRule="atLeast"/>
              <w:jc w:val="center"/>
            </w:pPr>
            <w:r>
              <w:rPr>
                <w:rFonts w:hint="eastAsia" w:ascii="宋体" w:hAnsi="宋体" w:eastAsia="宋体" w:cs="宋体"/>
                <w:sz w:val="24"/>
                <w:szCs w:val="24"/>
              </w:rPr>
              <w:t>简要技术需求或服务要求</w:t>
            </w:r>
          </w:p>
        </w:tc>
      </w:tr>
      <w:tr w14:paraId="6D8D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tcBorders>
              <w:bottom w:val="single" w:color="D8D8D8" w:sz="6" w:space="0"/>
            </w:tcBorders>
            <w:shd w:val="clear" w:color="auto" w:fill="FFFFFF"/>
            <w:tcMar>
              <w:top w:w="225" w:type="dxa"/>
              <w:left w:w="225" w:type="dxa"/>
              <w:bottom w:w="225" w:type="dxa"/>
              <w:right w:w="225" w:type="dxa"/>
            </w:tcMar>
            <w:vAlign w:val="center"/>
          </w:tcPr>
          <w:p w14:paraId="7195A4BD">
            <w:pPr>
              <w:pStyle w:val="5"/>
              <w:keepNext w:val="0"/>
              <w:keepLines w:val="0"/>
              <w:widowControl/>
              <w:suppressLineNumbers w:val="0"/>
              <w:wordWrap w:val="0"/>
              <w:spacing w:before="0" w:beforeAutospacing="0" w:after="210" w:afterAutospacing="0" w:line="315" w:lineRule="atLeast"/>
              <w:jc w:val="center"/>
            </w:pPr>
            <w:r>
              <w:rPr>
                <w:rFonts w:hint="eastAsia" w:ascii="宋体" w:hAnsi="宋体" w:eastAsia="宋体" w:cs="宋体"/>
                <w:sz w:val="24"/>
                <w:szCs w:val="24"/>
              </w:rPr>
              <w:t>01</w:t>
            </w:r>
          </w:p>
        </w:tc>
        <w:tc>
          <w:tcPr>
            <w:tcW w:w="750" w:type="dxa"/>
            <w:tcBorders>
              <w:bottom w:val="single" w:color="D8D8D8" w:sz="6" w:space="0"/>
            </w:tcBorders>
            <w:shd w:val="clear" w:color="auto" w:fill="FFFFFF"/>
            <w:tcMar>
              <w:top w:w="225" w:type="dxa"/>
              <w:left w:w="225" w:type="dxa"/>
              <w:bottom w:w="225" w:type="dxa"/>
              <w:right w:w="225" w:type="dxa"/>
            </w:tcMar>
            <w:vAlign w:val="center"/>
          </w:tcPr>
          <w:p w14:paraId="638449B6">
            <w:pPr>
              <w:pStyle w:val="5"/>
              <w:keepNext w:val="0"/>
              <w:keepLines w:val="0"/>
              <w:widowControl/>
              <w:suppressLineNumbers w:val="0"/>
              <w:wordWrap w:val="0"/>
              <w:spacing w:before="0" w:beforeAutospacing="0" w:after="210" w:afterAutospacing="0" w:line="315" w:lineRule="atLeast"/>
              <w:jc w:val="center"/>
            </w:pPr>
            <w:r>
              <w:rPr>
                <w:rFonts w:hint="eastAsia" w:ascii="宋体" w:hAnsi="宋体" w:eastAsia="宋体" w:cs="宋体"/>
                <w:sz w:val="24"/>
                <w:szCs w:val="24"/>
              </w:rPr>
              <w:t>网络安全实训室设备更新项目（分散采购）</w:t>
            </w:r>
          </w:p>
        </w:tc>
        <w:tc>
          <w:tcPr>
            <w:tcW w:w="750" w:type="dxa"/>
            <w:tcBorders>
              <w:bottom w:val="single" w:color="D8D8D8" w:sz="6" w:space="0"/>
            </w:tcBorders>
            <w:shd w:val="clear" w:color="auto" w:fill="FFFFFF"/>
            <w:tcMar>
              <w:top w:w="225" w:type="dxa"/>
              <w:left w:w="225" w:type="dxa"/>
              <w:bottom w:w="225" w:type="dxa"/>
              <w:right w:w="225" w:type="dxa"/>
            </w:tcMar>
            <w:vAlign w:val="center"/>
          </w:tcPr>
          <w:p w14:paraId="0A7ADD8E">
            <w:pPr>
              <w:pStyle w:val="5"/>
              <w:keepNext w:val="0"/>
              <w:keepLines w:val="0"/>
              <w:widowControl/>
              <w:suppressLineNumbers w:val="0"/>
              <w:wordWrap w:val="0"/>
              <w:spacing w:before="0" w:beforeAutospacing="0" w:after="210" w:afterAutospacing="0" w:line="315" w:lineRule="atLeast"/>
              <w:jc w:val="center"/>
            </w:pPr>
            <w:r>
              <w:rPr>
                <w:rFonts w:hint="eastAsia" w:ascii="宋体" w:hAnsi="宋体" w:eastAsia="宋体" w:cs="宋体"/>
                <w:sz w:val="24"/>
                <w:szCs w:val="24"/>
              </w:rPr>
              <w:t>281.742</w:t>
            </w:r>
          </w:p>
        </w:tc>
        <w:tc>
          <w:tcPr>
            <w:tcW w:w="750" w:type="dxa"/>
            <w:tcBorders>
              <w:bottom w:val="single" w:color="D8D8D8" w:sz="6" w:space="0"/>
            </w:tcBorders>
            <w:shd w:val="clear" w:color="auto" w:fill="FFFFFF"/>
            <w:tcMar>
              <w:top w:w="225" w:type="dxa"/>
              <w:left w:w="225" w:type="dxa"/>
              <w:bottom w:w="225" w:type="dxa"/>
              <w:right w:w="225" w:type="dxa"/>
            </w:tcMar>
            <w:vAlign w:val="center"/>
          </w:tcPr>
          <w:p w14:paraId="1B20A2EB">
            <w:pPr>
              <w:pStyle w:val="5"/>
              <w:keepNext w:val="0"/>
              <w:keepLines w:val="0"/>
              <w:widowControl/>
              <w:suppressLineNumbers w:val="0"/>
              <w:wordWrap w:val="0"/>
              <w:spacing w:before="0" w:beforeAutospacing="0" w:after="210" w:afterAutospacing="0" w:line="315" w:lineRule="atLeast"/>
              <w:jc w:val="center"/>
            </w:pPr>
            <w:r>
              <w:rPr>
                <w:rFonts w:hint="eastAsia" w:ascii="宋体" w:hAnsi="宋体" w:eastAsia="宋体" w:cs="宋体"/>
                <w:sz w:val="24"/>
                <w:szCs w:val="24"/>
              </w:rPr>
              <w:t>1</w:t>
            </w:r>
          </w:p>
        </w:tc>
        <w:tc>
          <w:tcPr>
            <w:tcW w:w="750" w:type="dxa"/>
            <w:tcBorders>
              <w:bottom w:val="single" w:color="D8D8D8" w:sz="6" w:space="0"/>
            </w:tcBorders>
            <w:shd w:val="clear" w:color="auto" w:fill="FFFFFF"/>
            <w:tcMar>
              <w:top w:w="225" w:type="dxa"/>
              <w:left w:w="225" w:type="dxa"/>
              <w:bottom w:w="225" w:type="dxa"/>
              <w:right w:w="225" w:type="dxa"/>
            </w:tcMar>
            <w:vAlign w:val="center"/>
          </w:tcPr>
          <w:p w14:paraId="430FDD8F">
            <w:pPr>
              <w:pStyle w:val="5"/>
              <w:keepNext w:val="0"/>
              <w:keepLines w:val="0"/>
              <w:widowControl/>
              <w:suppressLineNumbers w:val="0"/>
              <w:wordWrap w:val="0"/>
              <w:spacing w:before="0" w:beforeAutospacing="0" w:after="210" w:afterAutospacing="0" w:line="315" w:lineRule="atLeast"/>
              <w:jc w:val="center"/>
            </w:pPr>
            <w:r>
              <w:rPr>
                <w:rFonts w:hint="eastAsia" w:ascii="宋体" w:hAnsi="宋体" w:eastAsia="宋体" w:cs="宋体"/>
                <w:sz w:val="24"/>
                <w:szCs w:val="24"/>
              </w:rPr>
              <w:t>为保持专业实训设施的完善和先进。我校采购实训平台一体机1台，超融合存储1套，路由器33台，三层交换机55台，详细采购需求见第五章。</w:t>
            </w:r>
          </w:p>
        </w:tc>
      </w:tr>
    </w:tbl>
    <w:p w14:paraId="525DF1E7">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合同履行期限：合同签订后60天内</w:t>
      </w:r>
    </w:p>
    <w:p w14:paraId="01BC85C2">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本项目不接受联合体投标。</w:t>
      </w:r>
    </w:p>
    <w:p w14:paraId="5D2C0918">
      <w:pPr>
        <w:pStyle w:val="5"/>
        <w:keepNext w:val="0"/>
        <w:keepLines w:val="0"/>
        <w:widowControl/>
        <w:suppressLineNumbers w:val="0"/>
        <w:wordWrap w:val="0"/>
        <w:spacing w:before="0" w:beforeAutospacing="0" w:after="210" w:afterAutospacing="0"/>
        <w:jc w:val="left"/>
      </w:pPr>
      <w:r>
        <w:rPr>
          <w:rStyle w:val="8"/>
          <w:rFonts w:hint="default" w:ascii="Segoe UI" w:hAnsi="Segoe UI" w:eastAsia="Segoe UI" w:cs="Segoe UI"/>
          <w:b/>
          <w:bCs/>
          <w:i w:val="0"/>
          <w:iCs w:val="0"/>
          <w:caps w:val="0"/>
          <w:color w:val="606266"/>
          <w:spacing w:val="0"/>
          <w:sz w:val="21"/>
          <w:szCs w:val="21"/>
          <w:shd w:val="clear" w:fill="FFFFFF"/>
        </w:rPr>
        <w:t>二、申请人的资格要求：</w:t>
      </w:r>
    </w:p>
    <w:p w14:paraId="66BFDDCB">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1.满足《中华人民共和国政府采购法》第二十二条规定；</w:t>
      </w:r>
    </w:p>
    <w:p w14:paraId="68434CE8">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2.落实政府采购政策需满足的资格要求：</w:t>
      </w:r>
    </w:p>
    <w:p w14:paraId="445D2906">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2.1中小企业政策</w:t>
      </w:r>
    </w:p>
    <w:p w14:paraId="7DC526B8">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■本项目不专门面向中小企业预留采购份额。</w:t>
      </w:r>
    </w:p>
    <w:p w14:paraId="48974EF1">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□本项目专门面向□中小□小微企业采购。即：提供的货物全部由符合政策要求的中小/小微企业制造、服务全部由符合政策要求的中小/小微企业承接。</w:t>
      </w:r>
    </w:p>
    <w:p w14:paraId="45825436">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□本项目预留部分采购项目预算专门面向中小企业采购。对于预留份额，提供的货物由符合政策要求的中小企业制造、服务由符合政策要求的中小企业承接。预留份额通过以下措施进行：/</w:t>
      </w:r>
    </w:p>
    <w:p w14:paraId="3DABABA4">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2.2其它落实政府采购政策的资格要求(如有)：</w:t>
      </w:r>
    </w:p>
    <w:p w14:paraId="3CE8B9A3">
      <w:pPr>
        <w:pStyle w:val="5"/>
        <w:keepNext w:val="0"/>
        <w:keepLines w:val="0"/>
        <w:widowControl/>
        <w:suppressLineNumbers w:val="0"/>
        <w:wordWrap w:val="0"/>
        <w:spacing w:before="0" w:beforeAutospacing="0" w:after="210" w:afterAutospacing="0" w:line="315" w:lineRule="atLeast"/>
        <w:ind w:left="0" w:firstLine="480"/>
        <w:jc w:val="left"/>
      </w:pPr>
      <w:r>
        <w:rPr>
          <w:rFonts w:hint="default" w:ascii="Segoe UI" w:hAnsi="Segoe UI" w:eastAsia="Segoe UI" w:cs="Segoe UI"/>
          <w:i w:val="0"/>
          <w:iCs w:val="0"/>
          <w:caps w:val="0"/>
          <w:color w:val="606266"/>
          <w:spacing w:val="0"/>
          <w:sz w:val="21"/>
          <w:szCs w:val="21"/>
          <w:shd w:val="clear" w:fill="FFFFFF"/>
        </w:rPr>
        <w:t>（1）投标人不得在“信用中国”网站（www.creditchina.gov.cn）列入失信被执行人、重大税收违法失信主体、政府采购严重违法失信行为记录名单的供应商；在中国政府采购网（www.ccgp.gov.cn）无政府采购严重违法失信行为信息记录。</w:t>
      </w:r>
    </w:p>
    <w:p w14:paraId="57880C17">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3.本项目的特定资格要求：</w:t>
      </w:r>
    </w:p>
    <w:p w14:paraId="4BA262BC">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3.本项目的特定资格要求：/</w:t>
      </w:r>
    </w:p>
    <w:p w14:paraId="697BB5A5">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3.1本项目是否属于政府购买服务：</w:t>
      </w:r>
    </w:p>
    <w:p w14:paraId="1541D6C3">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■否</w:t>
      </w:r>
    </w:p>
    <w:p w14:paraId="454D3FFD">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□是，公益一类事业单位、使用事业编制且由财政拨款保障的群团组织，不得作为承接主体。</w:t>
      </w:r>
    </w:p>
    <w:p w14:paraId="6A2451BE">
      <w:pPr>
        <w:pStyle w:val="5"/>
        <w:keepNext w:val="0"/>
        <w:keepLines w:val="0"/>
        <w:widowControl/>
        <w:suppressLineNumbers w:val="0"/>
        <w:wordWrap w:val="0"/>
        <w:spacing w:before="0" w:beforeAutospacing="0" w:after="210" w:afterAutospacing="0" w:line="315" w:lineRule="atLeast"/>
        <w:ind w:left="0" w:firstLine="480"/>
        <w:jc w:val="left"/>
      </w:pPr>
      <w:r>
        <w:rPr>
          <w:rFonts w:hint="default" w:ascii="Segoe UI" w:hAnsi="Segoe UI" w:eastAsia="Segoe UI" w:cs="Segoe UI"/>
          <w:i w:val="0"/>
          <w:iCs w:val="0"/>
          <w:caps w:val="0"/>
          <w:color w:val="606266"/>
          <w:spacing w:val="0"/>
          <w:sz w:val="21"/>
          <w:szCs w:val="21"/>
          <w:shd w:val="clear" w:fill="FFFFFF"/>
        </w:rPr>
        <w:t>3.2其他特定资格要求：无。</w:t>
      </w:r>
    </w:p>
    <w:p w14:paraId="6529172E">
      <w:pPr>
        <w:pStyle w:val="5"/>
        <w:keepNext w:val="0"/>
        <w:keepLines w:val="0"/>
        <w:widowControl/>
        <w:suppressLineNumbers w:val="0"/>
        <w:wordWrap w:val="0"/>
        <w:spacing w:before="0" w:beforeAutospacing="0" w:after="210" w:afterAutospacing="0"/>
        <w:jc w:val="left"/>
      </w:pPr>
      <w:r>
        <w:rPr>
          <w:rStyle w:val="8"/>
          <w:rFonts w:hint="default" w:ascii="Segoe UI" w:hAnsi="Segoe UI" w:eastAsia="Segoe UI" w:cs="Segoe UI"/>
          <w:b/>
          <w:bCs/>
          <w:i w:val="0"/>
          <w:iCs w:val="0"/>
          <w:caps w:val="0"/>
          <w:color w:val="606266"/>
          <w:spacing w:val="0"/>
          <w:sz w:val="21"/>
          <w:szCs w:val="21"/>
          <w:shd w:val="clear" w:fill="FFFFFF"/>
        </w:rPr>
        <w:t>三、获取招标文件</w:t>
      </w:r>
    </w:p>
    <w:p w14:paraId="6847DA0A">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时间：2025-06-10 至 2025-0</w:t>
      </w:r>
      <w:bookmarkStart w:id="0" w:name="_GoBack"/>
      <w:bookmarkEnd w:id="0"/>
      <w:r>
        <w:rPr>
          <w:rFonts w:hint="eastAsia" w:ascii="Segoe UI" w:hAnsi="Segoe UI" w:eastAsia="宋体" w:cs="Segoe UI"/>
          <w:i w:val="0"/>
          <w:iCs w:val="0"/>
          <w:caps w:val="0"/>
          <w:color w:val="606266"/>
          <w:spacing w:val="0"/>
          <w:sz w:val="21"/>
          <w:szCs w:val="21"/>
          <w:shd w:val="clear" w:fill="FFFFFF"/>
          <w:lang w:val="en-US" w:eastAsia="zh-CN"/>
        </w:rPr>
        <w:t>6</w:t>
      </w:r>
      <w:r>
        <w:rPr>
          <w:rFonts w:hint="default" w:ascii="Segoe UI" w:hAnsi="Segoe UI" w:eastAsia="Segoe UI" w:cs="Segoe UI"/>
          <w:i w:val="0"/>
          <w:iCs w:val="0"/>
          <w:caps w:val="0"/>
          <w:color w:val="606266"/>
          <w:spacing w:val="0"/>
          <w:sz w:val="21"/>
          <w:szCs w:val="21"/>
          <w:shd w:val="clear" w:fill="FFFFFF"/>
        </w:rPr>
        <w:t>-16 ，每天上午09:00至12:00，下午13:00至16:30（北京时间，法定节假日除外）</w:t>
      </w:r>
    </w:p>
    <w:p w14:paraId="0AE764E1">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地点：北京市政府采购电子交易平台</w:t>
      </w:r>
    </w:p>
    <w:p w14:paraId="1D1EE18F">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方式：</w:t>
      </w:r>
    </w:p>
    <w:p w14:paraId="272D01C7">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供应商使用CA数字证书或电子营业执照登录北京市政府采购电子交易平台(http：//zbcg-bjzc.zhongcy.com/bjczj-portal-site/index.html# /home)获取电子版招标文件。</w:t>
      </w:r>
    </w:p>
    <w:p w14:paraId="51B01DDB">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售价：￥0 元，本公告包含的招标文件售价总和</w:t>
      </w:r>
    </w:p>
    <w:p w14:paraId="7B75DF53">
      <w:pPr>
        <w:pStyle w:val="5"/>
        <w:keepNext w:val="0"/>
        <w:keepLines w:val="0"/>
        <w:widowControl/>
        <w:suppressLineNumbers w:val="0"/>
        <w:wordWrap w:val="0"/>
        <w:spacing w:before="0" w:beforeAutospacing="0" w:after="210" w:afterAutospacing="0"/>
        <w:jc w:val="left"/>
      </w:pPr>
      <w:r>
        <w:rPr>
          <w:rStyle w:val="8"/>
          <w:rFonts w:hint="default" w:ascii="Segoe UI" w:hAnsi="Segoe UI" w:eastAsia="Segoe UI" w:cs="Segoe UI"/>
          <w:b/>
          <w:bCs/>
          <w:i w:val="0"/>
          <w:iCs w:val="0"/>
          <w:caps w:val="0"/>
          <w:color w:val="606266"/>
          <w:spacing w:val="0"/>
          <w:sz w:val="21"/>
          <w:szCs w:val="21"/>
          <w:shd w:val="clear" w:fill="FFFFFF"/>
        </w:rPr>
        <w:t>四、提交投标文件截止时间、开标时间和地点</w:t>
      </w:r>
    </w:p>
    <w:p w14:paraId="4E36C552">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2025-06-30 14:00（北京时间）</w:t>
      </w:r>
    </w:p>
    <w:p w14:paraId="06202264">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地点：北京市丰台区方庄日月天地B座204</w:t>
      </w:r>
    </w:p>
    <w:p w14:paraId="0DF95808">
      <w:pPr>
        <w:pStyle w:val="5"/>
        <w:keepNext w:val="0"/>
        <w:keepLines w:val="0"/>
        <w:widowControl/>
        <w:suppressLineNumbers w:val="0"/>
        <w:wordWrap w:val="0"/>
        <w:spacing w:before="0" w:beforeAutospacing="0" w:after="210" w:afterAutospacing="0"/>
        <w:jc w:val="left"/>
      </w:pPr>
      <w:r>
        <w:rPr>
          <w:rStyle w:val="8"/>
          <w:rFonts w:hint="default" w:ascii="Segoe UI" w:hAnsi="Segoe UI" w:eastAsia="Segoe UI" w:cs="Segoe UI"/>
          <w:b/>
          <w:bCs/>
          <w:i w:val="0"/>
          <w:iCs w:val="0"/>
          <w:caps w:val="0"/>
          <w:color w:val="606266"/>
          <w:spacing w:val="0"/>
          <w:sz w:val="21"/>
          <w:szCs w:val="21"/>
          <w:shd w:val="clear" w:fill="FFFFFF"/>
        </w:rPr>
        <w:t>五、公告期限</w:t>
      </w:r>
    </w:p>
    <w:p w14:paraId="7F0D29A5">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自本公告发布之日起5个工作日。</w:t>
      </w:r>
    </w:p>
    <w:p w14:paraId="59B65E32">
      <w:pPr>
        <w:pStyle w:val="5"/>
        <w:keepNext w:val="0"/>
        <w:keepLines w:val="0"/>
        <w:widowControl/>
        <w:suppressLineNumbers w:val="0"/>
        <w:wordWrap w:val="0"/>
        <w:spacing w:before="0" w:beforeAutospacing="0" w:after="210" w:afterAutospacing="0"/>
        <w:jc w:val="left"/>
      </w:pPr>
      <w:r>
        <w:rPr>
          <w:rStyle w:val="8"/>
          <w:rFonts w:hint="default" w:ascii="Segoe UI" w:hAnsi="Segoe UI" w:eastAsia="Segoe UI" w:cs="Segoe UI"/>
          <w:b/>
          <w:bCs/>
          <w:i w:val="0"/>
          <w:iCs w:val="0"/>
          <w:caps w:val="0"/>
          <w:color w:val="606266"/>
          <w:spacing w:val="0"/>
          <w:sz w:val="21"/>
          <w:szCs w:val="21"/>
          <w:shd w:val="clear" w:fill="FFFFFF"/>
        </w:rPr>
        <w:t>六、其他补充事宜</w:t>
      </w:r>
    </w:p>
    <w:p w14:paraId="37FD815F">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1..本项目需要落实的政府采购政策：</w:t>
      </w:r>
    </w:p>
    <w:p w14:paraId="2D0E5E9F">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（1）节能产品强制采购；</w:t>
      </w:r>
    </w:p>
    <w:p w14:paraId="1A293A58">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（2）节能产品、环境标志产品优先采购；</w:t>
      </w:r>
    </w:p>
    <w:p w14:paraId="54AA014D">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（3）政府采购促进中小企业发展；</w:t>
      </w:r>
    </w:p>
    <w:p w14:paraId="5BFDB751">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（4）政府采购支持监狱企业发展；</w:t>
      </w:r>
    </w:p>
    <w:p w14:paraId="29172AD2">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（5）政府采购促进残疾人就业；</w:t>
      </w:r>
    </w:p>
    <w:p w14:paraId="4004DD44">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（6）政府采购扶持贫困地区；</w:t>
      </w:r>
    </w:p>
    <w:p w14:paraId="5EA3840A">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（7）政府采购信用担保；</w:t>
      </w:r>
    </w:p>
    <w:p w14:paraId="0AC69301">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（8）进口产品管理：进口产品规定：依据财政部关于印发《政府采购进口产品管理办法》的通知（财库〔2007〕119号）的规定，本项目不允许进口产品参加投标；</w:t>
      </w:r>
    </w:p>
    <w:p w14:paraId="4D4C201C">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2. 本项目采用电子化与线下流程结合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0F620C8">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CA数字证书服务热线010-58511086</w:t>
      </w:r>
    </w:p>
    <w:p w14:paraId="41CA6C53">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电子营业执照服务热线400-699-7000</w:t>
      </w:r>
    </w:p>
    <w:p w14:paraId="7EF0D15F">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技术支持服务热线010-86483801</w:t>
      </w:r>
    </w:p>
    <w:p w14:paraId="517B1DDC">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2.1办理CA数字证书或电子营业执照</w:t>
      </w:r>
    </w:p>
    <w:p w14:paraId="7B8AA7EF">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供应商登录北京市政府采购电子交易平台查阅“用户指南”—“操作指南”—“市场主体CA办理操作流程指引”/“电子营业执照使用指南”，按照程序要求办理。</w:t>
      </w:r>
    </w:p>
    <w:p w14:paraId="748BF311">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2.2注册</w:t>
      </w:r>
    </w:p>
    <w:p w14:paraId="6BBEDE4B">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供应商登录北京市政府采购电子交易平台“用户指南”—“操作指南”—“市场主体注册入库操作流程指引”进行自助注册绑定。</w:t>
      </w:r>
    </w:p>
    <w:p w14:paraId="2117A7BC">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2.3驱动、客户端下载</w:t>
      </w:r>
    </w:p>
    <w:p w14:paraId="2690F5D3">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供应商登录北京市政府采购电子交易平台“用户指南”—“工具下载”—“招标采购系统文件驱动安装包”下载相关驱动。</w:t>
      </w:r>
    </w:p>
    <w:p w14:paraId="0552A2C3">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供应商登录北京市政府采购电子交易平台“用户指南”—“工具下载”—“投标文件编制工具”下载相关客户端。</w:t>
      </w:r>
    </w:p>
    <w:p w14:paraId="0BFB7B8A">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2.4获取电子招标文件</w:t>
      </w:r>
    </w:p>
    <w:p w14:paraId="5200239A">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供应商使用CA数字证书或电子营业执照登录北京市政府采购电子交易平台获取电子招标文件。</w:t>
      </w:r>
    </w:p>
    <w:p w14:paraId="4290D482">
      <w:pPr>
        <w:pStyle w:val="5"/>
        <w:keepNext w:val="0"/>
        <w:keepLines w:val="0"/>
        <w:widowControl/>
        <w:suppressLineNumbers w:val="0"/>
        <w:wordWrap w:val="0"/>
        <w:spacing w:before="0" w:beforeAutospacing="0" w:after="210" w:afterAutospacing="0" w:line="315" w:lineRule="atLeast"/>
        <w:ind w:left="0" w:firstLine="480"/>
        <w:jc w:val="left"/>
      </w:pPr>
      <w:r>
        <w:rPr>
          <w:rFonts w:hint="default" w:ascii="Segoe UI" w:hAnsi="Segoe UI" w:eastAsia="Segoe UI" w:cs="Segoe UI"/>
          <w:i w:val="0"/>
          <w:iCs w:val="0"/>
          <w:caps w:val="0"/>
          <w:color w:val="606266"/>
          <w:spacing w:val="0"/>
          <w:sz w:val="21"/>
          <w:szCs w:val="21"/>
          <w:shd w:val="clear" w:fill="FFFFFF"/>
        </w:rPr>
        <w:t>供应商如计划参与多个采购包的投标，应在登录北京市政府采购电子交易平台后，在【我的项目】栏目依次选择对应采购包，进入项目工作台招标/采购文件环节分别按采购包下载招标文件电子版。未在规定期限内通过北京市政府采购电子交易平台获取招标文件的投标无效。</w:t>
      </w:r>
    </w:p>
    <w:p w14:paraId="4952D618">
      <w:pPr>
        <w:pStyle w:val="5"/>
        <w:keepNext w:val="0"/>
        <w:keepLines w:val="0"/>
        <w:widowControl/>
        <w:suppressLineNumbers w:val="0"/>
        <w:wordWrap w:val="0"/>
        <w:spacing w:before="0" w:beforeAutospacing="0" w:after="210" w:afterAutospacing="0"/>
        <w:jc w:val="left"/>
      </w:pPr>
      <w:r>
        <w:rPr>
          <w:rStyle w:val="8"/>
          <w:rFonts w:hint="default" w:ascii="Segoe UI" w:hAnsi="Segoe UI" w:eastAsia="Segoe UI" w:cs="Segoe UI"/>
          <w:b/>
          <w:bCs/>
          <w:i w:val="0"/>
          <w:iCs w:val="0"/>
          <w:caps w:val="0"/>
          <w:color w:val="606266"/>
          <w:spacing w:val="0"/>
          <w:sz w:val="21"/>
          <w:szCs w:val="21"/>
          <w:shd w:val="clear" w:fill="FFFFFF"/>
        </w:rPr>
        <w:t>七、对本次招标提出询问，请按以下方式联系。</w:t>
      </w:r>
    </w:p>
    <w:p w14:paraId="2A8DA7D3">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1.采购人信息</w:t>
      </w:r>
    </w:p>
    <w:p w14:paraId="6F959D00">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名 称：北京市经贸高级技术学校　　　　　</w:t>
      </w:r>
    </w:p>
    <w:p w14:paraId="2FC1360A">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地址：北京市丰台区方庄日月天地B座204　　　　　　　　</w:t>
      </w:r>
    </w:p>
    <w:p w14:paraId="4EB52B98">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联系方式：李老师,80339665　　　　　　</w:t>
      </w:r>
    </w:p>
    <w:p w14:paraId="7F3E2135">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2.采购代理机构信息</w:t>
      </w:r>
    </w:p>
    <w:p w14:paraId="6248EEF6">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名 称：北京鼎鑫国泰招标咨询有限公司　　　　　　　　　　　　</w:t>
      </w:r>
    </w:p>
    <w:p w14:paraId="56CC8A46">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地　址：北京市房山区兴东大街269号　　　　　　　　　　　　</w:t>
      </w:r>
    </w:p>
    <w:p w14:paraId="494B861A">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联系方式：李宽，13301275263　　　　　　　　　　　　</w:t>
      </w:r>
    </w:p>
    <w:p w14:paraId="02E1B7ED">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3.项目联系方式</w:t>
      </w:r>
    </w:p>
    <w:p w14:paraId="7385014E">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项目联系人：李宽</w:t>
      </w:r>
    </w:p>
    <w:p w14:paraId="59F73E2B">
      <w:pPr>
        <w:pStyle w:val="5"/>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shd w:val="clear" w:fill="FFFFFF"/>
        </w:rPr>
        <w:t>电　话：　　13301275263</w:t>
      </w:r>
    </w:p>
    <w:p w14:paraId="3B48BC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04752"/>
    <w:rsid w:val="3DF215C0"/>
    <w:rsid w:val="65F0180D"/>
    <w:rsid w:val="78D5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Batang" w:hAnsi="Batang" w:eastAsia="宋体" w:cs="Times New Roman"/>
      <w:b/>
      <w:bCs/>
      <w:kern w:val="44"/>
      <w:sz w:val="32"/>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1 字符"/>
    <w:link w:val="2"/>
    <w:autoRedefine/>
    <w:qFormat/>
    <w:uiPriority w:val="9"/>
    <w:rPr>
      <w:rFonts w:ascii="Batang" w:hAnsi="Batang" w:eastAsia="宋体" w:cs="Times New Roman"/>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921</Words>
  <Characters>1139</Characters>
  <Lines>0</Lines>
  <Paragraphs>0</Paragraphs>
  <TotalTime>5</TotalTime>
  <ScaleCrop>false</ScaleCrop>
  <LinksUpToDate>false</LinksUpToDate>
  <CharactersWithSpaces>1149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2024-03-05T09:37:00Z</dcterms:created>
  <dc:creator>Admin</dc:creator>
  <cp:lastModifiedBy>嘟</cp:lastModifiedBy>
  <dcterms:modified xsi:type="dcterms:W3CDTF">2025-06-09T06:47:46Z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C4D08D781AA44012ABF09E20E31500FA_12</vt:lpwstr>
  </property>
  <property fmtid="{D5CDD505-2E9C-101B-9397-08002B2CF9AE}" pid="4" name="KSOTemplateDocerSaveRecord">
    <vt:lpwstr>eyJoZGlkIjoiMTQzOTZiOTI3ODUyNjk5MjU3ODIwYmE5ZmVkMDFhNmUiLCJ1c2VySWQiOiIxMzg3MDI5OTI5In0=</vt:lpwstr>
  </property>
</Properties>
</file>