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63F9">
      <w:pPr>
        <w:rPr>
          <w:b/>
          <w:sz w:val="36"/>
          <w:szCs w:val="36"/>
        </w:rPr>
      </w:pPr>
    </w:p>
    <w:p w14:paraId="6A9BBC07">
      <w:pPr>
        <w:spacing w:line="360" w:lineRule="auto"/>
        <w:jc w:val="center"/>
        <w:outlineLvl w:val="0"/>
        <w:rPr>
          <w:b/>
          <w:sz w:val="36"/>
          <w:szCs w:val="36"/>
        </w:rPr>
      </w:pPr>
      <w:bookmarkStart w:id="0" w:name="_Toc202000629"/>
      <w:r>
        <w:rPr>
          <w:b/>
          <w:sz w:val="36"/>
          <w:szCs w:val="36"/>
        </w:rPr>
        <w:t>采购需求</w:t>
      </w:r>
      <w:bookmarkEnd w:id="0"/>
    </w:p>
    <w:p w14:paraId="521211E3">
      <w:pPr>
        <w:pStyle w:val="5"/>
        <w:numPr>
          <w:ilvl w:val="0"/>
          <w:numId w:val="1"/>
        </w:numPr>
        <w:spacing w:line="360" w:lineRule="auto"/>
        <w:ind w:left="420" w:leftChars="200" w:firstLine="0" w:firstLineChars="0"/>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采购标的</w:t>
      </w:r>
    </w:p>
    <w:tbl>
      <w:tblPr>
        <w:tblStyle w:val="3"/>
        <w:tblW w:w="7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127"/>
        <w:gridCol w:w="1713"/>
        <w:gridCol w:w="1723"/>
        <w:gridCol w:w="1448"/>
      </w:tblGrid>
      <w:tr w14:paraId="70DF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3" w:type="dxa"/>
            <w:vAlign w:val="center"/>
          </w:tcPr>
          <w:p w14:paraId="605AE20D">
            <w:pPr>
              <w:spacing w:line="276" w:lineRule="auto"/>
              <w:jc w:val="center"/>
              <w:rPr>
                <w:rFonts w:ascii="宋体" w:hAnsi="宋体"/>
                <w:bCs/>
                <w:sz w:val="24"/>
              </w:rPr>
            </w:pPr>
            <w:r>
              <w:rPr>
                <w:rFonts w:hint="eastAsia" w:ascii="宋体" w:hAnsi="宋体"/>
                <w:bCs/>
                <w:sz w:val="24"/>
              </w:rPr>
              <w:t>序号</w:t>
            </w:r>
          </w:p>
        </w:tc>
        <w:tc>
          <w:tcPr>
            <w:tcW w:w="2127" w:type="dxa"/>
            <w:vAlign w:val="center"/>
          </w:tcPr>
          <w:p w14:paraId="547DDCFB">
            <w:pPr>
              <w:spacing w:line="276" w:lineRule="auto"/>
              <w:jc w:val="center"/>
              <w:rPr>
                <w:rFonts w:ascii="宋体" w:hAnsi="宋体"/>
                <w:bCs/>
                <w:sz w:val="24"/>
              </w:rPr>
            </w:pPr>
            <w:r>
              <w:rPr>
                <w:rFonts w:hint="eastAsia" w:ascii="宋体" w:hAnsi="宋体"/>
                <w:bCs/>
                <w:sz w:val="24"/>
              </w:rPr>
              <w:t>维保设备名称</w:t>
            </w:r>
          </w:p>
        </w:tc>
        <w:tc>
          <w:tcPr>
            <w:tcW w:w="1713" w:type="dxa"/>
            <w:vAlign w:val="center"/>
          </w:tcPr>
          <w:p w14:paraId="75600909">
            <w:pPr>
              <w:spacing w:line="276" w:lineRule="auto"/>
              <w:jc w:val="center"/>
              <w:rPr>
                <w:rFonts w:ascii="宋体" w:hAnsi="宋体"/>
                <w:bCs/>
                <w:sz w:val="24"/>
              </w:rPr>
            </w:pPr>
            <w:r>
              <w:rPr>
                <w:rFonts w:hint="eastAsia" w:ascii="宋体" w:hAnsi="宋体"/>
                <w:bCs/>
                <w:sz w:val="24"/>
              </w:rPr>
              <w:t>数量（套）</w:t>
            </w:r>
          </w:p>
        </w:tc>
        <w:tc>
          <w:tcPr>
            <w:tcW w:w="1723" w:type="dxa"/>
            <w:vAlign w:val="center"/>
          </w:tcPr>
          <w:p w14:paraId="29CFE4BB">
            <w:pPr>
              <w:spacing w:line="276" w:lineRule="auto"/>
              <w:jc w:val="center"/>
              <w:rPr>
                <w:rFonts w:ascii="宋体" w:hAnsi="宋体"/>
                <w:bCs/>
                <w:sz w:val="24"/>
              </w:rPr>
            </w:pPr>
            <w:r>
              <w:rPr>
                <w:rFonts w:hint="eastAsia" w:ascii="宋体" w:hAnsi="宋体" w:cs="宋体"/>
                <w:sz w:val="24"/>
              </w:rPr>
              <w:t>项目预算金额</w:t>
            </w:r>
          </w:p>
        </w:tc>
        <w:tc>
          <w:tcPr>
            <w:tcW w:w="1448" w:type="dxa"/>
            <w:vAlign w:val="center"/>
          </w:tcPr>
          <w:p w14:paraId="37E4D10E">
            <w:pPr>
              <w:spacing w:line="276" w:lineRule="auto"/>
              <w:jc w:val="center"/>
              <w:rPr>
                <w:rFonts w:ascii="宋体" w:hAnsi="宋体"/>
                <w:bCs/>
                <w:sz w:val="24"/>
              </w:rPr>
            </w:pPr>
            <w:r>
              <w:rPr>
                <w:rFonts w:hint="eastAsia" w:ascii="宋体" w:hAnsi="宋体"/>
                <w:bCs/>
                <w:sz w:val="24"/>
              </w:rPr>
              <w:t>服务期限</w:t>
            </w:r>
          </w:p>
        </w:tc>
      </w:tr>
      <w:tr w14:paraId="16AA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3" w:type="dxa"/>
            <w:vAlign w:val="center"/>
          </w:tcPr>
          <w:p w14:paraId="08DF9B37">
            <w:pPr>
              <w:spacing w:line="276" w:lineRule="auto"/>
              <w:jc w:val="center"/>
              <w:rPr>
                <w:rFonts w:ascii="宋体" w:hAnsi="宋体"/>
                <w:bCs/>
                <w:sz w:val="24"/>
              </w:rPr>
            </w:pPr>
            <w:r>
              <w:rPr>
                <w:rFonts w:hint="eastAsia" w:ascii="宋体" w:hAnsi="宋体"/>
                <w:bCs/>
                <w:sz w:val="24"/>
              </w:rPr>
              <w:t>1</w:t>
            </w:r>
          </w:p>
        </w:tc>
        <w:tc>
          <w:tcPr>
            <w:tcW w:w="2127" w:type="dxa"/>
            <w:vAlign w:val="center"/>
          </w:tcPr>
          <w:p w14:paraId="0086960B">
            <w:pPr>
              <w:spacing w:line="276" w:lineRule="auto"/>
              <w:jc w:val="center"/>
              <w:rPr>
                <w:rFonts w:ascii="宋体" w:hAnsi="宋体"/>
                <w:bCs/>
                <w:sz w:val="24"/>
              </w:rPr>
            </w:pPr>
            <w:r>
              <w:rPr>
                <w:rFonts w:hint="eastAsia" w:ascii="宋体" w:hAnsi="宋体"/>
                <w:bCs/>
                <w:sz w:val="24"/>
              </w:rPr>
              <w:t>DSA</w:t>
            </w:r>
          </w:p>
        </w:tc>
        <w:tc>
          <w:tcPr>
            <w:tcW w:w="1713" w:type="dxa"/>
            <w:vAlign w:val="center"/>
          </w:tcPr>
          <w:p w14:paraId="2EAB5615">
            <w:pPr>
              <w:spacing w:line="276" w:lineRule="auto"/>
              <w:jc w:val="center"/>
              <w:rPr>
                <w:rFonts w:ascii="宋体" w:hAnsi="宋体"/>
                <w:bCs/>
                <w:sz w:val="24"/>
              </w:rPr>
            </w:pPr>
            <w:r>
              <w:rPr>
                <w:rFonts w:hint="eastAsia" w:ascii="宋体" w:hAnsi="宋体"/>
                <w:bCs/>
                <w:sz w:val="24"/>
              </w:rPr>
              <w:t>3</w:t>
            </w:r>
          </w:p>
        </w:tc>
        <w:tc>
          <w:tcPr>
            <w:tcW w:w="1723" w:type="dxa"/>
            <w:vMerge w:val="restart"/>
            <w:vAlign w:val="center"/>
          </w:tcPr>
          <w:p w14:paraId="032CF159">
            <w:pPr>
              <w:spacing w:line="276" w:lineRule="auto"/>
              <w:jc w:val="center"/>
              <w:rPr>
                <w:rFonts w:ascii="仿宋" w:hAnsi="仿宋" w:eastAsia="仿宋" w:cs="仿宋"/>
                <w:sz w:val="24"/>
              </w:rPr>
            </w:pPr>
            <w:r>
              <w:rPr>
                <w:rFonts w:hint="eastAsia" w:ascii="仿宋" w:hAnsi="仿宋" w:eastAsia="仿宋" w:cs="仿宋"/>
                <w:sz w:val="24"/>
              </w:rPr>
              <w:t>440</w:t>
            </w:r>
            <w:r>
              <w:rPr>
                <w:rFonts w:hint="eastAsia" w:ascii="宋体" w:hAnsi="宋体" w:cs="宋体"/>
                <w:sz w:val="24"/>
              </w:rPr>
              <w:t>万元/年</w:t>
            </w:r>
          </w:p>
        </w:tc>
        <w:tc>
          <w:tcPr>
            <w:tcW w:w="1448" w:type="dxa"/>
            <w:vMerge w:val="restart"/>
            <w:vAlign w:val="center"/>
          </w:tcPr>
          <w:p w14:paraId="75E75858">
            <w:pPr>
              <w:spacing w:line="276" w:lineRule="auto"/>
              <w:jc w:val="center"/>
              <w:rPr>
                <w:rFonts w:ascii="宋体" w:hAnsi="宋体"/>
                <w:bCs/>
                <w:sz w:val="24"/>
              </w:rPr>
            </w:pPr>
            <w:r>
              <w:rPr>
                <w:rFonts w:hint="eastAsia" w:ascii="宋体" w:hAnsi="宋体"/>
                <w:bCs/>
                <w:sz w:val="24"/>
              </w:rPr>
              <w:t>1年</w:t>
            </w:r>
          </w:p>
        </w:tc>
      </w:tr>
      <w:tr w14:paraId="3539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468CBAE1">
            <w:pPr>
              <w:spacing w:line="276" w:lineRule="auto"/>
              <w:jc w:val="center"/>
              <w:rPr>
                <w:rFonts w:ascii="宋体" w:hAnsi="宋体"/>
                <w:bCs/>
                <w:sz w:val="24"/>
              </w:rPr>
            </w:pPr>
            <w:r>
              <w:rPr>
                <w:rFonts w:hint="eastAsia" w:ascii="宋体" w:hAnsi="宋体"/>
                <w:bCs/>
                <w:sz w:val="24"/>
              </w:rPr>
              <w:t>2</w:t>
            </w:r>
          </w:p>
        </w:tc>
        <w:tc>
          <w:tcPr>
            <w:tcW w:w="2127" w:type="dxa"/>
            <w:vAlign w:val="center"/>
          </w:tcPr>
          <w:p w14:paraId="48BF5F82">
            <w:pPr>
              <w:spacing w:line="276" w:lineRule="auto"/>
              <w:jc w:val="center"/>
              <w:rPr>
                <w:rFonts w:ascii="宋体" w:hAnsi="宋体"/>
                <w:bCs/>
                <w:sz w:val="24"/>
              </w:rPr>
            </w:pPr>
            <w:r>
              <w:rPr>
                <w:rFonts w:hint="eastAsia" w:ascii="宋体" w:hAnsi="宋体"/>
                <w:bCs/>
                <w:sz w:val="24"/>
              </w:rPr>
              <w:t>核磁共振</w:t>
            </w:r>
          </w:p>
        </w:tc>
        <w:tc>
          <w:tcPr>
            <w:tcW w:w="1713" w:type="dxa"/>
            <w:vAlign w:val="center"/>
          </w:tcPr>
          <w:p w14:paraId="0F9A18E6">
            <w:pPr>
              <w:spacing w:line="276" w:lineRule="auto"/>
              <w:jc w:val="center"/>
              <w:rPr>
                <w:rFonts w:ascii="宋体" w:hAnsi="宋体"/>
                <w:bCs/>
                <w:sz w:val="24"/>
              </w:rPr>
            </w:pPr>
            <w:r>
              <w:rPr>
                <w:rFonts w:hint="eastAsia" w:ascii="宋体" w:hAnsi="宋体"/>
                <w:bCs/>
                <w:sz w:val="24"/>
              </w:rPr>
              <w:t>2</w:t>
            </w:r>
          </w:p>
        </w:tc>
        <w:tc>
          <w:tcPr>
            <w:tcW w:w="1723" w:type="dxa"/>
            <w:vMerge w:val="continue"/>
            <w:vAlign w:val="center"/>
          </w:tcPr>
          <w:p w14:paraId="714EAFFE">
            <w:pPr>
              <w:spacing w:line="276" w:lineRule="auto"/>
              <w:jc w:val="center"/>
              <w:rPr>
                <w:rFonts w:ascii="仿宋" w:hAnsi="仿宋" w:eastAsia="仿宋" w:cs="仿宋"/>
                <w:sz w:val="24"/>
              </w:rPr>
            </w:pPr>
          </w:p>
        </w:tc>
        <w:tc>
          <w:tcPr>
            <w:tcW w:w="1448" w:type="dxa"/>
            <w:vMerge w:val="continue"/>
            <w:vAlign w:val="center"/>
          </w:tcPr>
          <w:p w14:paraId="3B549C5C">
            <w:pPr>
              <w:spacing w:line="276" w:lineRule="auto"/>
              <w:jc w:val="center"/>
              <w:rPr>
                <w:rFonts w:ascii="仿宋" w:hAnsi="仿宋" w:eastAsia="仿宋" w:cs="仿宋"/>
                <w:sz w:val="24"/>
              </w:rPr>
            </w:pPr>
          </w:p>
        </w:tc>
      </w:tr>
    </w:tbl>
    <w:p w14:paraId="0265B411">
      <w:pPr>
        <w:pStyle w:val="5"/>
        <w:spacing w:line="360" w:lineRule="auto"/>
        <w:ind w:firstLine="480"/>
        <w:contextualSpacing/>
        <w:jc w:val="left"/>
        <w:rPr>
          <w:rFonts w:ascii="宋体" w:hAnsi="宋体" w:cs="宋体"/>
          <w:bCs/>
          <w:sz w:val="24"/>
        </w:rPr>
      </w:pPr>
    </w:p>
    <w:p w14:paraId="09D3D91F">
      <w:pPr>
        <w:pStyle w:val="5"/>
        <w:spacing w:line="360" w:lineRule="auto"/>
        <w:ind w:firstLine="482"/>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商务要求</w:t>
      </w:r>
    </w:p>
    <w:p w14:paraId="57D58827">
      <w:pPr>
        <w:spacing w:line="360" w:lineRule="auto"/>
        <w:ind w:firstLine="480" w:firstLineChars="200"/>
        <w:contextualSpacing/>
        <w:jc w:val="left"/>
        <w:rPr>
          <w:rFonts w:ascii="宋体" w:hAnsi="宋体" w:cs="宋体"/>
          <w:bCs/>
          <w:sz w:val="24"/>
        </w:rPr>
      </w:pPr>
      <w:r>
        <w:rPr>
          <w:rFonts w:hint="eastAsia" w:ascii="宋体" w:hAnsi="宋体" w:cs="宋体"/>
          <w:bCs/>
          <w:sz w:val="24"/>
        </w:rPr>
        <w:t>1.服务时间和地点：</w:t>
      </w:r>
    </w:p>
    <w:p w14:paraId="54E5A921">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1.1</w:t>
      </w:r>
      <w:r>
        <w:rPr>
          <w:rFonts w:ascii="宋体" w:hAnsi="宋体" w:cs="宋体"/>
          <w:sz w:val="24"/>
        </w:rPr>
        <w:t>服务期限：</w:t>
      </w:r>
      <w:r>
        <w:rPr>
          <w:rFonts w:hint="eastAsia" w:ascii="宋体" w:hAnsi="宋体" w:cs="宋体"/>
          <w:sz w:val="24"/>
        </w:rPr>
        <w:t>1年</w:t>
      </w:r>
    </w:p>
    <w:p w14:paraId="1BF375AD">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1.2</w:t>
      </w:r>
      <w:r>
        <w:rPr>
          <w:rFonts w:ascii="宋体" w:hAnsi="宋体" w:cs="宋体"/>
          <w:sz w:val="24"/>
        </w:rPr>
        <w:t>服务地点：</w:t>
      </w:r>
      <w:r>
        <w:rPr>
          <w:rFonts w:hint="eastAsia" w:ascii="宋体" w:hAnsi="宋体"/>
          <w:bCs/>
          <w:sz w:val="24"/>
        </w:rPr>
        <w:t>首都医科大学宣武医院</w:t>
      </w:r>
      <w:r>
        <w:rPr>
          <w:rFonts w:hint="eastAsia" w:ascii="宋体" w:hAnsi="宋体" w:cs="宋体"/>
          <w:bCs/>
          <w:sz w:val="24"/>
        </w:rPr>
        <w:t>指定地点</w:t>
      </w:r>
    </w:p>
    <w:p w14:paraId="6C1A91EC">
      <w:pPr>
        <w:widowControl/>
        <w:autoSpaceDE w:val="0"/>
        <w:autoSpaceDN w:val="0"/>
        <w:adjustRightInd w:val="0"/>
        <w:snapToGrid w:val="0"/>
        <w:spacing w:line="360" w:lineRule="auto"/>
        <w:ind w:firstLine="480" w:firstLineChars="200"/>
        <w:jc w:val="left"/>
        <w:textAlignment w:val="baseline"/>
        <w:rPr>
          <w:rFonts w:asciiTheme="minorEastAsia" w:hAnsiTheme="minorEastAsia" w:eastAsiaTheme="minorEastAsia"/>
          <w:b/>
          <w:sz w:val="24"/>
        </w:rPr>
      </w:pPr>
      <w:r>
        <w:rPr>
          <w:rFonts w:hint="eastAsia" w:ascii="宋体" w:hAnsi="宋体" w:cs="宋体"/>
          <w:sz w:val="24"/>
        </w:rPr>
        <w:t>2.付款条件：详见第六章拟签订的合同文本</w:t>
      </w:r>
    </w:p>
    <w:p w14:paraId="26DC028B">
      <w:pPr>
        <w:pStyle w:val="5"/>
        <w:spacing w:line="360" w:lineRule="auto"/>
        <w:ind w:firstLine="482"/>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技术要求</w:t>
      </w:r>
    </w:p>
    <w:p w14:paraId="4B56C700">
      <w:pPr>
        <w:spacing w:line="360" w:lineRule="auto"/>
        <w:ind w:firstLine="470" w:firstLineChars="200"/>
        <w:jc w:val="left"/>
        <w:outlineLvl w:val="0"/>
        <w:rPr>
          <w:rFonts w:ascii="宋体" w:hAnsi="宋体" w:cs="宋体"/>
          <w:b/>
          <w:bCs/>
          <w:spacing w:val="-3"/>
          <w:sz w:val="24"/>
        </w:rPr>
      </w:pPr>
      <w:bookmarkStart w:id="1" w:name="_Toc202000630"/>
      <w:r>
        <w:rPr>
          <w:rFonts w:hint="eastAsia" w:ascii="宋体" w:hAnsi="宋体" w:cs="宋体"/>
          <w:b/>
          <w:bCs/>
          <w:spacing w:val="-3"/>
          <w:sz w:val="24"/>
        </w:rPr>
        <w:t>（一）基本要求</w:t>
      </w:r>
      <w:bookmarkEnd w:id="1"/>
    </w:p>
    <w:p w14:paraId="6C0AD58F">
      <w:pPr>
        <w:spacing w:line="360" w:lineRule="auto"/>
        <w:ind w:firstLine="472" w:firstLineChars="200"/>
        <w:jc w:val="left"/>
        <w:rPr>
          <w:rFonts w:ascii="宋体" w:hAnsi="宋体" w:cs="宋体"/>
          <w:sz w:val="24"/>
        </w:rPr>
      </w:pPr>
      <w:r>
        <w:rPr>
          <w:rFonts w:ascii="宋体" w:hAnsi="宋体" w:cs="宋体"/>
          <w:spacing w:val="-2"/>
          <w:sz w:val="24"/>
        </w:rPr>
        <w:t>1.采购标的需实现的功能或者目标</w:t>
      </w:r>
    </w:p>
    <w:p w14:paraId="6711024B">
      <w:pPr>
        <w:spacing w:line="360" w:lineRule="auto"/>
        <w:ind w:firstLine="468" w:firstLineChars="200"/>
        <w:jc w:val="left"/>
        <w:rPr>
          <w:rFonts w:ascii="宋体" w:hAnsi="宋体" w:cs="宋体"/>
          <w:spacing w:val="-3"/>
          <w:sz w:val="24"/>
        </w:rPr>
      </w:pPr>
      <w:r>
        <w:rPr>
          <w:rFonts w:ascii="宋体" w:hAnsi="宋体" w:cs="宋体"/>
          <w:spacing w:val="-3"/>
          <w:sz w:val="24"/>
        </w:rPr>
        <w:t>本次招标是</w:t>
      </w:r>
      <w:r>
        <w:rPr>
          <w:rFonts w:hint="eastAsia" w:ascii="宋体" w:hAnsi="宋体" w:cs="宋体"/>
          <w:spacing w:val="-3"/>
          <w:sz w:val="24"/>
        </w:rPr>
        <w:t>“核磁共振和DSA维保服务购置项目”</w:t>
      </w:r>
      <w:r>
        <w:rPr>
          <w:rFonts w:ascii="宋体" w:hAnsi="宋体" w:cs="宋体"/>
          <w:spacing w:val="-3"/>
          <w:sz w:val="24"/>
        </w:rPr>
        <w:t>，投标人应根据招标文件所提出的服务要求，以优良的服务和优惠的价格，充分显示自己的竞争实力。</w:t>
      </w:r>
    </w:p>
    <w:p w14:paraId="6DCDC489">
      <w:pPr>
        <w:spacing w:line="360" w:lineRule="auto"/>
        <w:ind w:firstLine="476" w:firstLineChars="200"/>
        <w:jc w:val="left"/>
        <w:rPr>
          <w:rFonts w:ascii="宋体" w:hAnsi="宋体" w:cs="宋体"/>
          <w:sz w:val="24"/>
        </w:rPr>
      </w:pPr>
      <w:r>
        <w:rPr>
          <w:rFonts w:ascii="宋体" w:hAnsi="宋体" w:cs="宋体"/>
          <w:spacing w:val="-1"/>
          <w:sz w:val="24"/>
        </w:rPr>
        <w:t>2.需执行的国家相关标准、行业标准、地方标准或者其他标准、规范</w:t>
      </w:r>
    </w:p>
    <w:p w14:paraId="04B735FE">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ascii="宋体" w:hAnsi="宋体" w:cs="宋体"/>
          <w:sz w:val="24"/>
        </w:rPr>
        <w:t>投标人所提供的服务应符合国家有关部门规</w:t>
      </w:r>
      <w:r>
        <w:rPr>
          <w:rFonts w:ascii="宋体" w:hAnsi="宋体" w:cs="宋体"/>
          <w:spacing w:val="-1"/>
          <w:sz w:val="24"/>
        </w:rPr>
        <w:t>定的相应技术法规及标准要求。</w:t>
      </w:r>
    </w:p>
    <w:p w14:paraId="4F17DE97">
      <w:pPr>
        <w:spacing w:line="360" w:lineRule="auto"/>
        <w:ind w:firstLine="470" w:firstLineChars="200"/>
        <w:jc w:val="left"/>
        <w:outlineLvl w:val="0"/>
        <w:rPr>
          <w:rFonts w:ascii="宋体" w:hAnsi="宋体" w:cs="宋体"/>
          <w:b/>
          <w:bCs/>
          <w:sz w:val="24"/>
        </w:rPr>
      </w:pPr>
      <w:bookmarkStart w:id="2" w:name="_Toc5651"/>
      <w:bookmarkStart w:id="3" w:name="_Toc202000631"/>
      <w:r>
        <w:rPr>
          <w:rFonts w:hint="eastAsia" w:ascii="宋体" w:hAnsi="宋体" w:cs="宋体"/>
          <w:b/>
          <w:bCs/>
          <w:spacing w:val="-3"/>
          <w:sz w:val="24"/>
        </w:rPr>
        <w:t>（二）服务内容及要求</w:t>
      </w:r>
      <w:bookmarkEnd w:id="2"/>
      <w:bookmarkEnd w:id="3"/>
    </w:p>
    <w:p w14:paraId="59EFF680">
      <w:pPr>
        <w:spacing w:line="360" w:lineRule="auto"/>
        <w:ind w:firstLine="478" w:firstLineChars="200"/>
        <w:jc w:val="left"/>
        <w:rPr>
          <w:rFonts w:ascii="宋体" w:hAnsi="宋体" w:cs="宋体"/>
          <w:b/>
          <w:spacing w:val="-1"/>
          <w:sz w:val="24"/>
        </w:rPr>
      </w:pPr>
      <w:r>
        <w:rPr>
          <w:rFonts w:hint="eastAsia" w:ascii="宋体" w:hAnsi="宋体" w:cs="宋体"/>
          <w:b/>
          <w:spacing w:val="-1"/>
          <w:sz w:val="24"/>
        </w:rPr>
        <w:t>1. 拟购服务设备明细</w:t>
      </w:r>
    </w:p>
    <w:tbl>
      <w:tblPr>
        <w:tblStyle w:val="3"/>
        <w:tblW w:w="4844" w:type="pct"/>
        <w:jc w:val="center"/>
        <w:tblLayout w:type="autofit"/>
        <w:tblCellMar>
          <w:top w:w="0" w:type="dxa"/>
          <w:left w:w="108" w:type="dxa"/>
          <w:bottom w:w="0" w:type="dxa"/>
          <w:right w:w="108" w:type="dxa"/>
        </w:tblCellMar>
      </w:tblPr>
      <w:tblGrid>
        <w:gridCol w:w="1007"/>
        <w:gridCol w:w="1235"/>
        <w:gridCol w:w="3340"/>
        <w:gridCol w:w="1116"/>
        <w:gridCol w:w="1558"/>
      </w:tblGrid>
      <w:tr w14:paraId="5468308B">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nil"/>
            </w:tcBorders>
            <w:shd w:val="clear" w:color="auto" w:fill="auto"/>
            <w:vAlign w:val="center"/>
          </w:tcPr>
          <w:p w14:paraId="56FE736C">
            <w:pPr>
              <w:contextualSpacing/>
              <w:jc w:val="center"/>
              <w:rPr>
                <w:rFonts w:ascii="宋体" w:hAnsi="宋体"/>
                <w:b/>
                <w:bCs/>
                <w:sz w:val="24"/>
              </w:rPr>
            </w:pPr>
            <w:r>
              <w:rPr>
                <w:rFonts w:hint="eastAsia" w:ascii="宋体" w:hAnsi="宋体"/>
                <w:b/>
                <w:bCs/>
                <w:sz w:val="24"/>
              </w:rPr>
              <w:t>序号</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218C4B8C">
            <w:pPr>
              <w:contextualSpacing/>
              <w:jc w:val="center"/>
              <w:rPr>
                <w:rFonts w:ascii="宋体" w:hAnsi="宋体"/>
                <w:b/>
                <w:bCs/>
                <w:sz w:val="24"/>
              </w:rPr>
            </w:pPr>
            <w:r>
              <w:rPr>
                <w:rFonts w:hint="eastAsia" w:ascii="宋体" w:hAnsi="宋体"/>
                <w:b/>
                <w:bCs/>
                <w:sz w:val="24"/>
              </w:rPr>
              <w:t>名称</w:t>
            </w:r>
          </w:p>
        </w:tc>
        <w:tc>
          <w:tcPr>
            <w:tcW w:w="2023" w:type="pct"/>
            <w:tcBorders>
              <w:top w:val="single" w:color="auto" w:sz="4" w:space="0"/>
              <w:left w:val="nil"/>
              <w:bottom w:val="single" w:color="auto" w:sz="4" w:space="0"/>
              <w:right w:val="single" w:color="auto" w:sz="4" w:space="0"/>
            </w:tcBorders>
            <w:shd w:val="clear" w:color="auto" w:fill="auto"/>
            <w:vAlign w:val="center"/>
          </w:tcPr>
          <w:p w14:paraId="5A2B8911">
            <w:pPr>
              <w:contextualSpacing/>
              <w:jc w:val="center"/>
              <w:rPr>
                <w:rFonts w:ascii="宋体" w:hAnsi="宋体"/>
                <w:b/>
                <w:bCs/>
                <w:sz w:val="24"/>
              </w:rPr>
            </w:pPr>
            <w:r>
              <w:rPr>
                <w:rFonts w:hint="eastAsia" w:ascii="宋体" w:hAnsi="宋体"/>
                <w:b/>
                <w:bCs/>
                <w:sz w:val="24"/>
              </w:rPr>
              <w:t>型号</w:t>
            </w:r>
          </w:p>
        </w:tc>
        <w:tc>
          <w:tcPr>
            <w:tcW w:w="676" w:type="pct"/>
            <w:tcBorders>
              <w:top w:val="single" w:color="auto" w:sz="4" w:space="0"/>
              <w:left w:val="nil"/>
              <w:bottom w:val="single" w:color="auto" w:sz="4" w:space="0"/>
              <w:right w:val="single" w:color="auto" w:sz="4" w:space="0"/>
            </w:tcBorders>
            <w:shd w:val="clear" w:color="auto" w:fill="auto"/>
            <w:vAlign w:val="center"/>
          </w:tcPr>
          <w:p w14:paraId="46F763AA">
            <w:pPr>
              <w:contextualSpacing/>
              <w:jc w:val="center"/>
              <w:rPr>
                <w:rFonts w:ascii="宋体" w:hAnsi="宋体"/>
                <w:b/>
                <w:bCs/>
                <w:sz w:val="24"/>
              </w:rPr>
            </w:pPr>
            <w:r>
              <w:rPr>
                <w:rFonts w:hint="eastAsia" w:ascii="宋体" w:hAnsi="宋体"/>
                <w:b/>
                <w:bCs/>
                <w:sz w:val="24"/>
              </w:rPr>
              <w:t>数量</w:t>
            </w:r>
          </w:p>
        </w:tc>
        <w:tc>
          <w:tcPr>
            <w:tcW w:w="943" w:type="pct"/>
            <w:tcBorders>
              <w:top w:val="single" w:color="auto" w:sz="4" w:space="0"/>
              <w:left w:val="nil"/>
              <w:bottom w:val="single" w:color="auto" w:sz="4" w:space="0"/>
              <w:right w:val="single" w:color="auto" w:sz="4" w:space="0"/>
            </w:tcBorders>
            <w:shd w:val="clear" w:color="auto" w:fill="auto"/>
            <w:vAlign w:val="center"/>
          </w:tcPr>
          <w:p w14:paraId="105227EE">
            <w:pPr>
              <w:contextualSpacing/>
              <w:jc w:val="center"/>
              <w:rPr>
                <w:rFonts w:ascii="宋体" w:hAnsi="宋体"/>
                <w:b/>
                <w:bCs/>
                <w:sz w:val="24"/>
              </w:rPr>
            </w:pPr>
            <w:r>
              <w:rPr>
                <w:rFonts w:hint="eastAsia" w:ascii="宋体" w:hAnsi="宋体"/>
                <w:b/>
                <w:bCs/>
                <w:sz w:val="24"/>
              </w:rPr>
              <w:t>安装日期</w:t>
            </w:r>
          </w:p>
        </w:tc>
      </w:tr>
      <w:tr w14:paraId="5D1F259A">
        <w:tblPrEx>
          <w:tblCellMar>
            <w:top w:w="0" w:type="dxa"/>
            <w:left w:w="108" w:type="dxa"/>
            <w:bottom w:w="0" w:type="dxa"/>
            <w:right w:w="108" w:type="dxa"/>
          </w:tblCellMar>
        </w:tblPrEx>
        <w:trPr>
          <w:trHeight w:val="454" w:hRule="atLeast"/>
          <w:jc w:val="center"/>
        </w:trPr>
        <w:tc>
          <w:tcPr>
            <w:tcW w:w="610" w:type="pct"/>
            <w:tcBorders>
              <w:top w:val="nil"/>
              <w:left w:val="single" w:color="auto" w:sz="4" w:space="0"/>
              <w:bottom w:val="single" w:color="auto" w:sz="4" w:space="0"/>
              <w:right w:val="nil"/>
            </w:tcBorders>
            <w:shd w:val="clear" w:color="auto" w:fill="auto"/>
            <w:vAlign w:val="center"/>
          </w:tcPr>
          <w:p w14:paraId="4F4EE2F7">
            <w:pPr>
              <w:contextualSpacing/>
              <w:jc w:val="center"/>
              <w:rPr>
                <w:rFonts w:ascii="宋体" w:hAnsi="宋体"/>
                <w:bCs/>
                <w:sz w:val="24"/>
              </w:rPr>
            </w:pPr>
            <w:r>
              <w:rPr>
                <w:rFonts w:hint="eastAsia" w:ascii="宋体" w:hAnsi="宋体"/>
                <w:bCs/>
                <w:sz w:val="24"/>
              </w:rPr>
              <w:t>1</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2DF706CD">
            <w:pPr>
              <w:contextualSpacing/>
              <w:jc w:val="center"/>
              <w:rPr>
                <w:rFonts w:ascii="宋体" w:hAnsi="宋体"/>
                <w:bCs/>
                <w:sz w:val="24"/>
              </w:rPr>
            </w:pPr>
            <w:r>
              <w:rPr>
                <w:rFonts w:hint="eastAsia" w:ascii="宋体" w:hAnsi="宋体"/>
                <w:bCs/>
                <w:sz w:val="24"/>
              </w:rPr>
              <w:t>DSA</w:t>
            </w:r>
          </w:p>
        </w:tc>
        <w:tc>
          <w:tcPr>
            <w:tcW w:w="2023" w:type="pct"/>
            <w:tcBorders>
              <w:top w:val="single" w:color="auto" w:sz="4" w:space="0"/>
              <w:left w:val="nil"/>
              <w:bottom w:val="single" w:color="auto" w:sz="4" w:space="0"/>
              <w:right w:val="single" w:color="auto" w:sz="4" w:space="0"/>
            </w:tcBorders>
            <w:shd w:val="clear" w:color="auto" w:fill="auto"/>
            <w:vAlign w:val="center"/>
          </w:tcPr>
          <w:p w14:paraId="687990AE">
            <w:pPr>
              <w:contextualSpacing/>
              <w:jc w:val="center"/>
              <w:rPr>
                <w:rFonts w:ascii="宋体" w:hAnsi="宋体"/>
                <w:bCs/>
                <w:sz w:val="24"/>
              </w:rPr>
            </w:pPr>
            <w:r>
              <w:rPr>
                <w:rFonts w:hint="eastAsia" w:ascii="宋体" w:hAnsi="宋体"/>
                <w:bCs/>
                <w:sz w:val="24"/>
              </w:rPr>
              <w:t>INNOVA IGS 630 OMEGA</w:t>
            </w:r>
          </w:p>
        </w:tc>
        <w:tc>
          <w:tcPr>
            <w:tcW w:w="676" w:type="pct"/>
            <w:tcBorders>
              <w:top w:val="single" w:color="auto" w:sz="4" w:space="0"/>
              <w:left w:val="nil"/>
              <w:bottom w:val="single" w:color="auto" w:sz="4" w:space="0"/>
              <w:right w:val="single" w:color="auto" w:sz="4" w:space="0"/>
            </w:tcBorders>
            <w:shd w:val="clear" w:color="auto" w:fill="auto"/>
            <w:vAlign w:val="center"/>
          </w:tcPr>
          <w:p w14:paraId="237927AE">
            <w:pPr>
              <w:contextualSpacing/>
              <w:jc w:val="center"/>
              <w:rPr>
                <w:rFonts w:ascii="宋体" w:hAnsi="宋体"/>
                <w:bCs/>
                <w:sz w:val="24"/>
              </w:rPr>
            </w:pPr>
            <w:r>
              <w:rPr>
                <w:rFonts w:hint="eastAsia" w:ascii="宋体" w:hAnsi="宋体"/>
                <w:bCs/>
                <w:sz w:val="24"/>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3AF7447C">
            <w:pPr>
              <w:contextualSpacing/>
              <w:jc w:val="center"/>
              <w:rPr>
                <w:rFonts w:ascii="宋体" w:hAnsi="宋体"/>
                <w:bCs/>
                <w:sz w:val="24"/>
              </w:rPr>
            </w:pPr>
            <w:r>
              <w:rPr>
                <w:rFonts w:hint="eastAsia" w:ascii="宋体" w:hAnsi="宋体"/>
                <w:bCs/>
                <w:sz w:val="24"/>
              </w:rPr>
              <w:t>2014.06</w:t>
            </w:r>
          </w:p>
        </w:tc>
      </w:tr>
      <w:tr w14:paraId="5E774710">
        <w:tblPrEx>
          <w:tblCellMar>
            <w:top w:w="0" w:type="dxa"/>
            <w:left w:w="108" w:type="dxa"/>
            <w:bottom w:w="0" w:type="dxa"/>
            <w:right w:w="108" w:type="dxa"/>
          </w:tblCellMar>
        </w:tblPrEx>
        <w:trPr>
          <w:trHeight w:val="454" w:hRule="atLeast"/>
          <w:jc w:val="center"/>
        </w:trPr>
        <w:tc>
          <w:tcPr>
            <w:tcW w:w="610" w:type="pct"/>
            <w:tcBorders>
              <w:top w:val="nil"/>
              <w:left w:val="single" w:color="auto" w:sz="4" w:space="0"/>
              <w:bottom w:val="single" w:color="auto" w:sz="4" w:space="0"/>
              <w:right w:val="nil"/>
            </w:tcBorders>
            <w:shd w:val="clear" w:color="auto" w:fill="auto"/>
            <w:vAlign w:val="center"/>
          </w:tcPr>
          <w:p w14:paraId="6C51355A">
            <w:pPr>
              <w:contextualSpacing/>
              <w:jc w:val="center"/>
              <w:rPr>
                <w:rFonts w:ascii="宋体" w:hAnsi="宋体"/>
                <w:bCs/>
                <w:sz w:val="24"/>
              </w:rPr>
            </w:pPr>
            <w:r>
              <w:rPr>
                <w:rFonts w:hint="eastAsia" w:ascii="宋体" w:hAnsi="宋体"/>
                <w:bCs/>
                <w:sz w:val="24"/>
              </w:rPr>
              <w:t>2</w:t>
            </w:r>
          </w:p>
        </w:tc>
        <w:tc>
          <w:tcPr>
            <w:tcW w:w="748" w:type="pct"/>
            <w:tcBorders>
              <w:top w:val="nil"/>
              <w:left w:val="single" w:color="auto" w:sz="4" w:space="0"/>
              <w:bottom w:val="single" w:color="auto" w:sz="4" w:space="0"/>
              <w:right w:val="single" w:color="auto" w:sz="4" w:space="0"/>
            </w:tcBorders>
            <w:shd w:val="clear" w:color="auto" w:fill="auto"/>
            <w:vAlign w:val="center"/>
          </w:tcPr>
          <w:p w14:paraId="7A590229">
            <w:pPr>
              <w:contextualSpacing/>
              <w:jc w:val="center"/>
              <w:rPr>
                <w:rFonts w:ascii="宋体" w:hAnsi="宋体"/>
                <w:bCs/>
                <w:sz w:val="24"/>
              </w:rPr>
            </w:pPr>
            <w:r>
              <w:rPr>
                <w:rFonts w:hint="eastAsia" w:ascii="宋体" w:hAnsi="宋体"/>
                <w:bCs/>
                <w:sz w:val="24"/>
              </w:rPr>
              <w:t>DSA</w:t>
            </w:r>
          </w:p>
        </w:tc>
        <w:tc>
          <w:tcPr>
            <w:tcW w:w="2023" w:type="pct"/>
            <w:tcBorders>
              <w:top w:val="nil"/>
              <w:left w:val="nil"/>
              <w:bottom w:val="single" w:color="auto" w:sz="4" w:space="0"/>
              <w:right w:val="single" w:color="auto" w:sz="4" w:space="0"/>
            </w:tcBorders>
            <w:shd w:val="clear" w:color="auto" w:fill="auto"/>
            <w:vAlign w:val="center"/>
          </w:tcPr>
          <w:p w14:paraId="6241ABB9">
            <w:pPr>
              <w:contextualSpacing/>
              <w:jc w:val="center"/>
              <w:rPr>
                <w:rFonts w:ascii="宋体" w:hAnsi="宋体"/>
                <w:bCs/>
                <w:sz w:val="24"/>
              </w:rPr>
            </w:pPr>
            <w:r>
              <w:rPr>
                <w:rFonts w:hint="eastAsia" w:ascii="宋体" w:hAnsi="宋体"/>
                <w:bCs/>
                <w:sz w:val="24"/>
              </w:rPr>
              <w:t>INNOVA IGS 630 OMEGA</w:t>
            </w:r>
          </w:p>
        </w:tc>
        <w:tc>
          <w:tcPr>
            <w:tcW w:w="676" w:type="pct"/>
            <w:tcBorders>
              <w:top w:val="nil"/>
              <w:left w:val="nil"/>
              <w:bottom w:val="single" w:color="auto" w:sz="4" w:space="0"/>
              <w:right w:val="single" w:color="auto" w:sz="4" w:space="0"/>
            </w:tcBorders>
            <w:shd w:val="clear" w:color="auto" w:fill="auto"/>
            <w:vAlign w:val="center"/>
          </w:tcPr>
          <w:p w14:paraId="57F7B679">
            <w:pPr>
              <w:contextualSpacing/>
              <w:jc w:val="center"/>
              <w:rPr>
                <w:rFonts w:ascii="宋体" w:hAnsi="宋体"/>
                <w:bCs/>
                <w:sz w:val="24"/>
              </w:rPr>
            </w:pPr>
            <w:r>
              <w:rPr>
                <w:rFonts w:hint="eastAsia" w:ascii="宋体" w:hAnsi="宋体"/>
                <w:bCs/>
                <w:sz w:val="24"/>
              </w:rPr>
              <w:t>1</w:t>
            </w:r>
          </w:p>
        </w:tc>
        <w:tc>
          <w:tcPr>
            <w:tcW w:w="943" w:type="pct"/>
            <w:tcBorders>
              <w:top w:val="nil"/>
              <w:left w:val="nil"/>
              <w:bottom w:val="single" w:color="auto" w:sz="4" w:space="0"/>
              <w:right w:val="single" w:color="auto" w:sz="4" w:space="0"/>
            </w:tcBorders>
            <w:shd w:val="clear" w:color="auto" w:fill="auto"/>
            <w:vAlign w:val="center"/>
          </w:tcPr>
          <w:p w14:paraId="0F29DB49">
            <w:pPr>
              <w:contextualSpacing/>
              <w:jc w:val="center"/>
              <w:rPr>
                <w:rFonts w:ascii="宋体" w:hAnsi="宋体"/>
                <w:bCs/>
                <w:sz w:val="24"/>
              </w:rPr>
            </w:pPr>
            <w:r>
              <w:rPr>
                <w:rFonts w:hint="eastAsia" w:ascii="宋体" w:hAnsi="宋体"/>
                <w:bCs/>
                <w:sz w:val="24"/>
              </w:rPr>
              <w:t>2018.05</w:t>
            </w:r>
          </w:p>
        </w:tc>
      </w:tr>
      <w:tr w14:paraId="1951015C">
        <w:tblPrEx>
          <w:tblCellMar>
            <w:top w:w="0" w:type="dxa"/>
            <w:left w:w="108" w:type="dxa"/>
            <w:bottom w:w="0" w:type="dxa"/>
            <w:right w:w="108" w:type="dxa"/>
          </w:tblCellMar>
        </w:tblPrEx>
        <w:trPr>
          <w:trHeight w:val="454" w:hRule="atLeast"/>
          <w:jc w:val="center"/>
        </w:trPr>
        <w:tc>
          <w:tcPr>
            <w:tcW w:w="610" w:type="pct"/>
            <w:tcBorders>
              <w:top w:val="nil"/>
              <w:left w:val="single" w:color="auto" w:sz="4" w:space="0"/>
              <w:bottom w:val="single" w:color="auto" w:sz="4" w:space="0"/>
              <w:right w:val="nil"/>
            </w:tcBorders>
            <w:shd w:val="clear" w:color="auto" w:fill="auto"/>
            <w:vAlign w:val="center"/>
          </w:tcPr>
          <w:p w14:paraId="19EEC0FF">
            <w:pPr>
              <w:contextualSpacing/>
              <w:jc w:val="center"/>
              <w:rPr>
                <w:rFonts w:ascii="宋体" w:hAnsi="宋体"/>
                <w:bCs/>
                <w:sz w:val="24"/>
              </w:rPr>
            </w:pPr>
            <w:r>
              <w:rPr>
                <w:rFonts w:hint="eastAsia" w:ascii="宋体" w:hAnsi="宋体"/>
                <w:bCs/>
                <w:sz w:val="24"/>
              </w:rPr>
              <w:t>3</w:t>
            </w:r>
          </w:p>
        </w:tc>
        <w:tc>
          <w:tcPr>
            <w:tcW w:w="748" w:type="pct"/>
            <w:tcBorders>
              <w:top w:val="nil"/>
              <w:left w:val="single" w:color="auto" w:sz="4" w:space="0"/>
              <w:bottom w:val="single" w:color="auto" w:sz="4" w:space="0"/>
              <w:right w:val="single" w:color="auto" w:sz="4" w:space="0"/>
            </w:tcBorders>
            <w:shd w:val="clear" w:color="auto" w:fill="auto"/>
            <w:vAlign w:val="center"/>
          </w:tcPr>
          <w:p w14:paraId="007EE2E4">
            <w:pPr>
              <w:contextualSpacing/>
              <w:jc w:val="center"/>
              <w:rPr>
                <w:rFonts w:ascii="宋体" w:hAnsi="宋体"/>
                <w:bCs/>
                <w:sz w:val="24"/>
              </w:rPr>
            </w:pPr>
            <w:r>
              <w:rPr>
                <w:rFonts w:hint="eastAsia" w:ascii="宋体" w:hAnsi="宋体"/>
                <w:bCs/>
                <w:sz w:val="24"/>
              </w:rPr>
              <w:t>DSA</w:t>
            </w:r>
          </w:p>
        </w:tc>
        <w:tc>
          <w:tcPr>
            <w:tcW w:w="2023" w:type="pct"/>
            <w:tcBorders>
              <w:top w:val="nil"/>
              <w:left w:val="nil"/>
              <w:bottom w:val="single" w:color="auto" w:sz="4" w:space="0"/>
              <w:right w:val="single" w:color="auto" w:sz="4" w:space="0"/>
            </w:tcBorders>
            <w:shd w:val="clear" w:color="auto" w:fill="auto"/>
            <w:vAlign w:val="center"/>
          </w:tcPr>
          <w:p w14:paraId="2263E40B">
            <w:pPr>
              <w:contextualSpacing/>
              <w:jc w:val="center"/>
              <w:rPr>
                <w:rFonts w:ascii="宋体" w:hAnsi="宋体"/>
                <w:bCs/>
                <w:sz w:val="24"/>
              </w:rPr>
            </w:pPr>
            <w:r>
              <w:rPr>
                <w:rFonts w:hint="eastAsia" w:ascii="宋体" w:hAnsi="宋体"/>
                <w:bCs/>
                <w:sz w:val="24"/>
              </w:rPr>
              <w:t>DISCOVERY IGS 730</w:t>
            </w:r>
          </w:p>
        </w:tc>
        <w:tc>
          <w:tcPr>
            <w:tcW w:w="676" w:type="pct"/>
            <w:tcBorders>
              <w:top w:val="nil"/>
              <w:left w:val="nil"/>
              <w:bottom w:val="single" w:color="auto" w:sz="4" w:space="0"/>
              <w:right w:val="single" w:color="auto" w:sz="4" w:space="0"/>
            </w:tcBorders>
            <w:shd w:val="clear" w:color="auto" w:fill="auto"/>
            <w:vAlign w:val="center"/>
          </w:tcPr>
          <w:p w14:paraId="0D151D16">
            <w:pPr>
              <w:contextualSpacing/>
              <w:jc w:val="center"/>
              <w:rPr>
                <w:rFonts w:ascii="宋体" w:hAnsi="宋体"/>
                <w:bCs/>
                <w:sz w:val="24"/>
              </w:rPr>
            </w:pPr>
            <w:r>
              <w:rPr>
                <w:rFonts w:hint="eastAsia" w:ascii="宋体" w:hAnsi="宋体"/>
                <w:bCs/>
                <w:sz w:val="24"/>
              </w:rPr>
              <w:t>1</w:t>
            </w:r>
          </w:p>
        </w:tc>
        <w:tc>
          <w:tcPr>
            <w:tcW w:w="943" w:type="pct"/>
            <w:tcBorders>
              <w:top w:val="nil"/>
              <w:left w:val="nil"/>
              <w:bottom w:val="single" w:color="auto" w:sz="4" w:space="0"/>
              <w:right w:val="single" w:color="auto" w:sz="4" w:space="0"/>
            </w:tcBorders>
            <w:shd w:val="clear" w:color="auto" w:fill="auto"/>
            <w:vAlign w:val="center"/>
          </w:tcPr>
          <w:p w14:paraId="774C6EC3">
            <w:pPr>
              <w:contextualSpacing/>
              <w:jc w:val="center"/>
              <w:rPr>
                <w:rFonts w:ascii="宋体" w:hAnsi="宋体"/>
                <w:bCs/>
                <w:sz w:val="24"/>
              </w:rPr>
            </w:pPr>
            <w:r>
              <w:rPr>
                <w:rFonts w:hint="eastAsia" w:ascii="宋体" w:hAnsi="宋体"/>
                <w:bCs/>
                <w:sz w:val="24"/>
              </w:rPr>
              <w:t>2018.05</w:t>
            </w:r>
          </w:p>
        </w:tc>
      </w:tr>
      <w:tr w14:paraId="5AEB005B">
        <w:tblPrEx>
          <w:tblCellMar>
            <w:top w:w="0" w:type="dxa"/>
            <w:left w:w="108" w:type="dxa"/>
            <w:bottom w:w="0" w:type="dxa"/>
            <w:right w:w="108" w:type="dxa"/>
          </w:tblCellMar>
        </w:tblPrEx>
        <w:trPr>
          <w:trHeight w:val="454" w:hRule="atLeast"/>
          <w:jc w:val="center"/>
        </w:trPr>
        <w:tc>
          <w:tcPr>
            <w:tcW w:w="610" w:type="pct"/>
            <w:tcBorders>
              <w:top w:val="nil"/>
              <w:left w:val="single" w:color="auto" w:sz="4" w:space="0"/>
              <w:bottom w:val="single" w:color="auto" w:sz="4" w:space="0"/>
              <w:right w:val="nil"/>
            </w:tcBorders>
            <w:shd w:val="clear" w:color="auto" w:fill="auto"/>
            <w:vAlign w:val="center"/>
          </w:tcPr>
          <w:p w14:paraId="6BDB0F6E">
            <w:pPr>
              <w:contextualSpacing/>
              <w:jc w:val="center"/>
              <w:rPr>
                <w:rFonts w:ascii="宋体" w:hAnsi="宋体"/>
                <w:bCs/>
                <w:sz w:val="24"/>
              </w:rPr>
            </w:pPr>
            <w:r>
              <w:rPr>
                <w:rFonts w:hint="eastAsia" w:ascii="宋体" w:hAnsi="宋体"/>
                <w:bCs/>
                <w:sz w:val="24"/>
              </w:rPr>
              <w:t>4</w:t>
            </w:r>
          </w:p>
        </w:tc>
        <w:tc>
          <w:tcPr>
            <w:tcW w:w="748" w:type="pct"/>
            <w:tcBorders>
              <w:top w:val="nil"/>
              <w:left w:val="single" w:color="auto" w:sz="4" w:space="0"/>
              <w:bottom w:val="single" w:color="auto" w:sz="4" w:space="0"/>
              <w:right w:val="single" w:color="auto" w:sz="4" w:space="0"/>
            </w:tcBorders>
            <w:shd w:val="clear" w:color="auto" w:fill="auto"/>
            <w:vAlign w:val="center"/>
          </w:tcPr>
          <w:p w14:paraId="20FA3E9A">
            <w:pPr>
              <w:contextualSpacing/>
              <w:jc w:val="center"/>
              <w:rPr>
                <w:rFonts w:ascii="宋体" w:hAnsi="宋体"/>
                <w:bCs/>
                <w:sz w:val="24"/>
              </w:rPr>
            </w:pPr>
            <w:r>
              <w:rPr>
                <w:rFonts w:hint="eastAsia" w:ascii="宋体" w:hAnsi="宋体"/>
                <w:bCs/>
                <w:sz w:val="24"/>
              </w:rPr>
              <w:t>核磁共振</w:t>
            </w:r>
          </w:p>
        </w:tc>
        <w:tc>
          <w:tcPr>
            <w:tcW w:w="2023" w:type="pct"/>
            <w:tcBorders>
              <w:top w:val="nil"/>
              <w:left w:val="nil"/>
              <w:bottom w:val="single" w:color="auto" w:sz="4" w:space="0"/>
              <w:right w:val="single" w:color="auto" w:sz="4" w:space="0"/>
            </w:tcBorders>
            <w:shd w:val="clear" w:color="auto" w:fill="auto"/>
            <w:vAlign w:val="center"/>
          </w:tcPr>
          <w:p w14:paraId="24693FFF">
            <w:pPr>
              <w:contextualSpacing/>
              <w:jc w:val="center"/>
              <w:rPr>
                <w:rFonts w:ascii="宋体" w:hAnsi="宋体"/>
                <w:bCs/>
                <w:sz w:val="24"/>
              </w:rPr>
            </w:pPr>
            <w:r>
              <w:rPr>
                <w:rFonts w:hint="eastAsia" w:ascii="宋体" w:hAnsi="宋体"/>
                <w:bCs/>
                <w:sz w:val="24"/>
              </w:rPr>
              <w:t>3-0T MR750 32 CH NO HOS</w:t>
            </w:r>
          </w:p>
        </w:tc>
        <w:tc>
          <w:tcPr>
            <w:tcW w:w="676" w:type="pct"/>
            <w:tcBorders>
              <w:top w:val="nil"/>
              <w:left w:val="nil"/>
              <w:bottom w:val="single" w:color="auto" w:sz="4" w:space="0"/>
              <w:right w:val="single" w:color="auto" w:sz="4" w:space="0"/>
            </w:tcBorders>
            <w:shd w:val="clear" w:color="auto" w:fill="auto"/>
            <w:vAlign w:val="center"/>
          </w:tcPr>
          <w:p w14:paraId="02442430">
            <w:pPr>
              <w:contextualSpacing/>
              <w:jc w:val="center"/>
              <w:rPr>
                <w:rFonts w:ascii="宋体" w:hAnsi="宋体"/>
                <w:bCs/>
                <w:sz w:val="24"/>
              </w:rPr>
            </w:pPr>
            <w:r>
              <w:rPr>
                <w:rFonts w:hint="eastAsia" w:ascii="宋体" w:hAnsi="宋体"/>
                <w:bCs/>
                <w:sz w:val="24"/>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200F6D6D">
            <w:pPr>
              <w:contextualSpacing/>
              <w:jc w:val="center"/>
              <w:rPr>
                <w:rFonts w:ascii="宋体" w:hAnsi="宋体"/>
                <w:bCs/>
                <w:sz w:val="24"/>
              </w:rPr>
            </w:pPr>
            <w:r>
              <w:rPr>
                <w:rFonts w:hint="eastAsia" w:ascii="宋体" w:hAnsi="宋体"/>
                <w:bCs/>
                <w:sz w:val="24"/>
              </w:rPr>
              <w:t>2016.03</w:t>
            </w:r>
          </w:p>
        </w:tc>
      </w:tr>
      <w:tr w14:paraId="4BD3016C">
        <w:tblPrEx>
          <w:tblCellMar>
            <w:top w:w="0" w:type="dxa"/>
            <w:left w:w="108" w:type="dxa"/>
            <w:bottom w:w="0" w:type="dxa"/>
            <w:right w:w="108" w:type="dxa"/>
          </w:tblCellMar>
        </w:tblPrEx>
        <w:trPr>
          <w:trHeight w:val="454" w:hRule="atLeast"/>
          <w:jc w:val="center"/>
        </w:trPr>
        <w:tc>
          <w:tcPr>
            <w:tcW w:w="610" w:type="pct"/>
            <w:tcBorders>
              <w:top w:val="nil"/>
              <w:left w:val="single" w:color="auto" w:sz="4" w:space="0"/>
              <w:bottom w:val="single" w:color="auto" w:sz="4" w:space="0"/>
              <w:right w:val="nil"/>
            </w:tcBorders>
            <w:shd w:val="clear" w:color="auto" w:fill="auto"/>
            <w:vAlign w:val="center"/>
          </w:tcPr>
          <w:p w14:paraId="1F782C6F">
            <w:pPr>
              <w:contextualSpacing/>
              <w:jc w:val="center"/>
              <w:rPr>
                <w:rFonts w:ascii="宋体" w:hAnsi="宋体"/>
                <w:bCs/>
                <w:sz w:val="24"/>
              </w:rPr>
            </w:pPr>
            <w:r>
              <w:rPr>
                <w:rFonts w:hint="eastAsia" w:ascii="宋体" w:hAnsi="宋体"/>
                <w:bCs/>
                <w:sz w:val="24"/>
              </w:rPr>
              <w:t>5</w:t>
            </w:r>
          </w:p>
        </w:tc>
        <w:tc>
          <w:tcPr>
            <w:tcW w:w="748" w:type="pct"/>
            <w:tcBorders>
              <w:top w:val="nil"/>
              <w:left w:val="single" w:color="auto" w:sz="4" w:space="0"/>
              <w:bottom w:val="single" w:color="auto" w:sz="4" w:space="0"/>
              <w:right w:val="single" w:color="auto" w:sz="4" w:space="0"/>
            </w:tcBorders>
            <w:shd w:val="clear" w:color="auto" w:fill="auto"/>
            <w:vAlign w:val="center"/>
          </w:tcPr>
          <w:p w14:paraId="61F9712F">
            <w:pPr>
              <w:contextualSpacing/>
              <w:jc w:val="center"/>
              <w:rPr>
                <w:rFonts w:ascii="宋体" w:hAnsi="宋体"/>
                <w:bCs/>
                <w:sz w:val="24"/>
              </w:rPr>
            </w:pPr>
            <w:r>
              <w:rPr>
                <w:rFonts w:hint="eastAsia" w:ascii="宋体" w:hAnsi="宋体"/>
                <w:bCs/>
                <w:sz w:val="24"/>
              </w:rPr>
              <w:t>核磁共振</w:t>
            </w:r>
          </w:p>
        </w:tc>
        <w:tc>
          <w:tcPr>
            <w:tcW w:w="2023" w:type="pct"/>
            <w:tcBorders>
              <w:top w:val="nil"/>
              <w:left w:val="nil"/>
              <w:bottom w:val="single" w:color="auto" w:sz="4" w:space="0"/>
              <w:right w:val="single" w:color="auto" w:sz="4" w:space="0"/>
            </w:tcBorders>
            <w:shd w:val="clear" w:color="auto" w:fill="auto"/>
            <w:vAlign w:val="center"/>
          </w:tcPr>
          <w:p w14:paraId="35C6DFBE">
            <w:pPr>
              <w:contextualSpacing/>
              <w:jc w:val="center"/>
              <w:rPr>
                <w:rFonts w:ascii="宋体" w:hAnsi="宋体"/>
                <w:bCs/>
                <w:sz w:val="24"/>
              </w:rPr>
            </w:pPr>
            <w:r>
              <w:rPr>
                <w:rFonts w:hint="eastAsia" w:ascii="宋体" w:hAnsi="宋体"/>
                <w:bCs/>
                <w:sz w:val="24"/>
              </w:rPr>
              <w:t>3-0T SIGNA 750 DD 32CH HOS</w:t>
            </w:r>
          </w:p>
        </w:tc>
        <w:tc>
          <w:tcPr>
            <w:tcW w:w="676" w:type="pct"/>
            <w:tcBorders>
              <w:top w:val="nil"/>
              <w:left w:val="nil"/>
              <w:bottom w:val="single" w:color="auto" w:sz="4" w:space="0"/>
              <w:right w:val="single" w:color="auto" w:sz="4" w:space="0"/>
            </w:tcBorders>
            <w:shd w:val="clear" w:color="auto" w:fill="auto"/>
            <w:vAlign w:val="center"/>
          </w:tcPr>
          <w:p w14:paraId="4479EF85">
            <w:pPr>
              <w:contextualSpacing/>
              <w:jc w:val="center"/>
              <w:rPr>
                <w:rFonts w:ascii="宋体" w:hAnsi="宋体"/>
                <w:bCs/>
                <w:sz w:val="24"/>
              </w:rPr>
            </w:pPr>
            <w:r>
              <w:rPr>
                <w:rFonts w:hint="eastAsia" w:ascii="宋体" w:hAnsi="宋体"/>
                <w:bCs/>
                <w:sz w:val="24"/>
              </w:rPr>
              <w:t>1</w:t>
            </w:r>
          </w:p>
        </w:tc>
        <w:tc>
          <w:tcPr>
            <w:tcW w:w="943" w:type="pct"/>
            <w:tcBorders>
              <w:top w:val="nil"/>
              <w:left w:val="nil"/>
              <w:bottom w:val="single" w:color="auto" w:sz="4" w:space="0"/>
              <w:right w:val="single" w:color="auto" w:sz="4" w:space="0"/>
            </w:tcBorders>
            <w:shd w:val="clear" w:color="auto" w:fill="auto"/>
            <w:vAlign w:val="center"/>
          </w:tcPr>
          <w:p w14:paraId="797B8C24">
            <w:pPr>
              <w:contextualSpacing/>
              <w:jc w:val="center"/>
              <w:rPr>
                <w:rFonts w:ascii="宋体" w:hAnsi="宋体"/>
                <w:bCs/>
                <w:sz w:val="24"/>
              </w:rPr>
            </w:pPr>
            <w:r>
              <w:rPr>
                <w:rFonts w:hint="eastAsia" w:ascii="宋体" w:hAnsi="宋体"/>
                <w:bCs/>
                <w:sz w:val="24"/>
              </w:rPr>
              <w:t>2019.01</w:t>
            </w:r>
          </w:p>
        </w:tc>
      </w:tr>
    </w:tbl>
    <w:p w14:paraId="09B00689">
      <w:pPr>
        <w:spacing w:line="360" w:lineRule="auto"/>
        <w:ind w:firstLine="476" w:firstLineChars="200"/>
        <w:jc w:val="left"/>
        <w:rPr>
          <w:rFonts w:ascii="宋体" w:hAnsi="宋体" w:cs="宋体"/>
          <w:spacing w:val="-1"/>
          <w:sz w:val="24"/>
        </w:rPr>
      </w:pPr>
      <w:r>
        <w:rPr>
          <w:rFonts w:ascii="宋体" w:hAnsi="宋体" w:cs="宋体"/>
          <w:spacing w:val="-1"/>
          <w:sz w:val="24"/>
        </w:rPr>
        <w:t>2.</w:t>
      </w:r>
      <w:r>
        <w:rPr>
          <w:rFonts w:hint="eastAsia" w:ascii="宋体" w:hAnsi="宋体" w:cs="宋体"/>
          <w:spacing w:val="-1"/>
          <w:sz w:val="24"/>
        </w:rPr>
        <w:t>维保服务要求</w:t>
      </w:r>
    </w:p>
    <w:p w14:paraId="1E34D773">
      <w:pPr>
        <w:spacing w:line="360" w:lineRule="auto"/>
        <w:ind w:firstLine="476" w:firstLineChars="200"/>
        <w:jc w:val="left"/>
        <w:rPr>
          <w:rFonts w:ascii="宋体" w:hAnsi="宋体" w:cs="宋体"/>
          <w:spacing w:val="-1"/>
          <w:sz w:val="24"/>
        </w:rPr>
      </w:pPr>
      <w:r>
        <w:rPr>
          <w:rFonts w:hint="eastAsia" w:ascii="宋体" w:hAnsi="宋体" w:cs="宋体"/>
          <w:spacing w:val="-1"/>
          <w:sz w:val="24"/>
        </w:rPr>
        <w:t>2.1供应商必须提供免费服务电话或免费维修电话，并有10人以上专人接听，每天开通服务时间≥12小时，同时具备远程故障排除能力。</w:t>
      </w:r>
    </w:p>
    <w:p w14:paraId="6CB18300">
      <w:pPr>
        <w:spacing w:line="360" w:lineRule="auto"/>
        <w:ind w:firstLine="476" w:firstLineChars="200"/>
        <w:jc w:val="left"/>
        <w:rPr>
          <w:rFonts w:ascii="宋体" w:hAnsi="宋体" w:cs="宋体"/>
          <w:spacing w:val="-1"/>
          <w:sz w:val="24"/>
        </w:rPr>
      </w:pPr>
      <w:r>
        <w:rPr>
          <w:rFonts w:hint="eastAsia" w:ascii="宋体" w:hAnsi="宋体" w:cs="宋体"/>
          <w:spacing w:val="-1"/>
          <w:sz w:val="24"/>
        </w:rPr>
        <w:t>2.2供应商在国内设有≥1个长期稳定维修服务机构。维修服务人员到场时间＜24小时。其中人员具有上述所有维修保修保养设备规格型号的原厂培训考核合格的有效期内的服务资质证；</w:t>
      </w:r>
    </w:p>
    <w:p w14:paraId="049DED1C">
      <w:pPr>
        <w:spacing w:line="360" w:lineRule="auto"/>
        <w:ind w:firstLine="476" w:firstLineChars="200"/>
        <w:jc w:val="left"/>
        <w:rPr>
          <w:rFonts w:ascii="宋体" w:hAnsi="宋体" w:cs="宋体"/>
          <w:spacing w:val="-1"/>
          <w:sz w:val="24"/>
        </w:rPr>
      </w:pPr>
      <w:r>
        <w:rPr>
          <w:rFonts w:hint="eastAsia" w:ascii="宋体" w:hAnsi="宋体" w:cs="宋体"/>
          <w:spacing w:val="-1"/>
          <w:sz w:val="24"/>
        </w:rPr>
        <w:t>2.3供应商拥有全国专职技术支持团队≥5人。提供原厂授权资质证，且在资质证考核合格有效期内。保证能够随时取得设备生产者研发和工厂的技术、物力支持。</w:t>
      </w:r>
    </w:p>
    <w:p w14:paraId="67722905">
      <w:pPr>
        <w:spacing w:line="360" w:lineRule="auto"/>
        <w:ind w:firstLine="476" w:firstLineChars="200"/>
        <w:jc w:val="left"/>
        <w:rPr>
          <w:rFonts w:ascii="宋体" w:hAnsi="宋体" w:cs="宋体"/>
          <w:spacing w:val="-1"/>
          <w:sz w:val="24"/>
        </w:rPr>
      </w:pPr>
      <w:r>
        <w:rPr>
          <w:rFonts w:hint="eastAsia" w:ascii="宋体" w:hAnsi="宋体" w:cs="宋体"/>
          <w:spacing w:val="-1"/>
          <w:sz w:val="24"/>
        </w:rPr>
        <w:t>2.4保修设备发生故障，供应商应接到维修通知后，在线工程师在30分钟内做出电话响应，工程师在电话指导保修设备操作人员仍不能排除故障时24小时内派维修工程师到达维修设备现场，解决问题（除特殊情况外）。</w:t>
      </w:r>
    </w:p>
    <w:p w14:paraId="4A53F870">
      <w:pPr>
        <w:spacing w:line="360" w:lineRule="auto"/>
        <w:ind w:firstLine="476" w:firstLineChars="200"/>
        <w:jc w:val="left"/>
        <w:rPr>
          <w:rFonts w:ascii="宋体" w:hAnsi="宋体" w:cs="宋体"/>
          <w:spacing w:val="-1"/>
          <w:sz w:val="24"/>
        </w:rPr>
      </w:pPr>
      <w:r>
        <w:rPr>
          <w:rFonts w:hint="eastAsia" w:ascii="宋体" w:hAnsi="宋体" w:cs="宋体"/>
          <w:spacing w:val="-1"/>
          <w:sz w:val="24"/>
        </w:rPr>
        <w:t>2.5维修工程师可显示全套原厂诊断软件，且需持有合法获得、完整使用有效的原厂高级故障诊断维修钥匙，以解决相应故障。</w:t>
      </w:r>
    </w:p>
    <w:p w14:paraId="48852EEB">
      <w:pPr>
        <w:spacing w:line="360" w:lineRule="auto"/>
        <w:ind w:firstLine="476" w:firstLineChars="200"/>
        <w:jc w:val="left"/>
        <w:rPr>
          <w:rFonts w:ascii="宋体" w:hAnsi="宋体" w:cs="宋体"/>
          <w:spacing w:val="-1"/>
          <w:sz w:val="24"/>
        </w:rPr>
      </w:pPr>
      <w:r>
        <w:rPr>
          <w:rFonts w:hint="eastAsia" w:ascii="宋体" w:hAnsi="宋体" w:cs="宋体"/>
          <w:spacing w:val="-1"/>
          <w:sz w:val="24"/>
        </w:rPr>
        <w:t>▲2.6供应商应保证维保设备开机率保证≥95%，每年包含节假日（一年以365天计算）；其他意外灾害等不可抗力和人为恶意以及由于航空管制等特殊情况下配件等待引起的时间不含在内。</w:t>
      </w:r>
    </w:p>
    <w:p w14:paraId="30E3F44E">
      <w:pPr>
        <w:spacing w:line="360" w:lineRule="auto"/>
        <w:ind w:firstLine="476" w:firstLineChars="200"/>
        <w:jc w:val="left"/>
        <w:rPr>
          <w:rFonts w:ascii="宋体" w:hAnsi="宋体" w:cs="宋体"/>
          <w:spacing w:val="-1"/>
          <w:sz w:val="24"/>
        </w:rPr>
      </w:pPr>
      <w:r>
        <w:rPr>
          <w:rFonts w:hint="eastAsia" w:ascii="宋体" w:hAnsi="宋体" w:cs="宋体"/>
          <w:spacing w:val="-1"/>
          <w:sz w:val="24"/>
        </w:rPr>
        <w:t>2.7供应商在国内设有专门的零配件仓库，仓库面积须≥2</w:t>
      </w:r>
      <w:r>
        <w:rPr>
          <w:rFonts w:ascii="宋体" w:hAnsi="宋体" w:cs="宋体"/>
          <w:spacing w:val="-1"/>
          <w:sz w:val="24"/>
        </w:rPr>
        <w:t>00</w:t>
      </w:r>
      <w:r>
        <w:rPr>
          <w:rFonts w:hint="eastAsia" w:ascii="宋体" w:hAnsi="宋体" w:cs="宋体"/>
          <w:spacing w:val="-1"/>
          <w:sz w:val="24"/>
        </w:rPr>
        <w:t>平方米。</w:t>
      </w:r>
    </w:p>
    <w:p w14:paraId="4CF9998D">
      <w:pPr>
        <w:spacing w:line="360" w:lineRule="auto"/>
        <w:ind w:firstLine="476" w:firstLineChars="200"/>
        <w:jc w:val="left"/>
        <w:rPr>
          <w:rFonts w:ascii="宋体" w:hAnsi="宋体" w:cs="宋体"/>
          <w:spacing w:val="-1"/>
          <w:sz w:val="24"/>
        </w:rPr>
      </w:pPr>
      <w:r>
        <w:rPr>
          <w:rFonts w:hint="eastAsia" w:ascii="宋体" w:hAnsi="宋体" w:cs="宋体"/>
          <w:spacing w:val="-1"/>
          <w:sz w:val="24"/>
        </w:rPr>
        <w:t>▲2.8服务期内，若球管发生故障，供应商提供设备制造厂家原厂认证球管，且必须提供原厂认证，证明其为原厂认证球管。</w:t>
      </w:r>
    </w:p>
    <w:p w14:paraId="2B2C9CF5">
      <w:pPr>
        <w:spacing w:line="360" w:lineRule="auto"/>
        <w:ind w:firstLine="476" w:firstLineChars="200"/>
        <w:jc w:val="left"/>
        <w:rPr>
          <w:rFonts w:ascii="宋体" w:hAnsi="宋体" w:cs="宋体"/>
          <w:spacing w:val="-1"/>
          <w:sz w:val="24"/>
        </w:rPr>
      </w:pPr>
      <w:r>
        <w:rPr>
          <w:rFonts w:hint="eastAsia" w:ascii="宋体" w:hAnsi="宋体" w:cs="宋体"/>
          <w:spacing w:val="-1"/>
          <w:sz w:val="24"/>
        </w:rPr>
        <w:t>▲2.9供应商需配备有至少3名全职的原厂认证合格的工程师，需提供原厂资质证明。</w:t>
      </w:r>
    </w:p>
    <w:p w14:paraId="1191BBD1">
      <w:pPr>
        <w:spacing w:line="360" w:lineRule="auto"/>
        <w:ind w:firstLine="476" w:firstLineChars="200"/>
        <w:jc w:val="left"/>
        <w:rPr>
          <w:rFonts w:ascii="宋体" w:hAnsi="宋体" w:cs="宋体"/>
          <w:spacing w:val="-1"/>
          <w:sz w:val="24"/>
        </w:rPr>
      </w:pPr>
      <w:r>
        <w:rPr>
          <w:rFonts w:hint="eastAsia" w:ascii="宋体" w:hAnsi="宋体" w:cs="宋体"/>
          <w:spacing w:val="-1"/>
          <w:sz w:val="24"/>
        </w:rPr>
        <w:t>2.10服务期内，提供原厂维修及原厂备件的更换，能够提供临床应用现场培训，由原设备制造商培训中心的认证讲师现场提供维保设备图像、流程及功能的优化培训服务。</w:t>
      </w:r>
    </w:p>
    <w:p w14:paraId="38A8807F">
      <w:pPr>
        <w:spacing w:line="360" w:lineRule="auto"/>
        <w:ind w:firstLine="476" w:firstLineChars="200"/>
        <w:jc w:val="left"/>
        <w:rPr>
          <w:rFonts w:ascii="宋体" w:hAnsi="宋体" w:cs="宋体"/>
          <w:spacing w:val="-1"/>
          <w:sz w:val="24"/>
        </w:rPr>
      </w:pPr>
      <w:r>
        <w:rPr>
          <w:rFonts w:hint="eastAsia" w:ascii="宋体" w:hAnsi="宋体" w:cs="宋体"/>
          <w:spacing w:val="-1"/>
          <w:sz w:val="24"/>
        </w:rPr>
        <w:t>3.维保设备保养要求</w:t>
      </w:r>
    </w:p>
    <w:p w14:paraId="0727A5FF">
      <w:pPr>
        <w:spacing w:line="360" w:lineRule="auto"/>
        <w:ind w:firstLine="476" w:firstLineChars="200"/>
        <w:jc w:val="left"/>
        <w:rPr>
          <w:rFonts w:ascii="宋体" w:hAnsi="宋体" w:cs="宋体"/>
          <w:spacing w:val="-1"/>
          <w:sz w:val="24"/>
        </w:rPr>
      </w:pPr>
      <w:r>
        <w:rPr>
          <w:rFonts w:hint="eastAsia" w:ascii="宋体" w:hAnsi="宋体" w:cs="宋体"/>
          <w:spacing w:val="-1"/>
          <w:sz w:val="24"/>
        </w:rPr>
        <w:t>3.1供应商需对保修设备及相关配套设备作出日常保养计划，定期进行保养、维护，并做好记录。</w:t>
      </w:r>
    </w:p>
    <w:p w14:paraId="395DA1A3">
      <w:pPr>
        <w:spacing w:line="360" w:lineRule="auto"/>
        <w:ind w:firstLine="476" w:firstLineChars="200"/>
        <w:jc w:val="left"/>
        <w:rPr>
          <w:rFonts w:ascii="宋体" w:hAnsi="宋体" w:cs="宋体"/>
          <w:spacing w:val="-1"/>
          <w:sz w:val="24"/>
        </w:rPr>
      </w:pPr>
      <w:r>
        <w:rPr>
          <w:rFonts w:hint="eastAsia" w:ascii="宋体" w:hAnsi="宋体" w:cs="宋体"/>
          <w:spacing w:val="-1"/>
          <w:sz w:val="24"/>
        </w:rPr>
        <w:t>▲3.2供应商每年为每台设备提供≥2次维护保养服务。使之保持原厂QC质量标准或国家权威质量计监部门之标准，并能提供原厂技术组长或技术支持专家审核合格的定期保养报告。供应商的保养服务需做好记录，包括但不限于设备清洁、性能测试及较准、必要的机械或电气的检查，根据采购人要求对设备的数据进行备份，以及非紧急性质的补救性维修，确保系统能按照制造商的产品规格运行的标准来维修，根据采购人要求的时间段，进行保养工作。</w:t>
      </w:r>
    </w:p>
    <w:p w14:paraId="4868A103">
      <w:pPr>
        <w:spacing w:line="360" w:lineRule="auto"/>
        <w:ind w:firstLine="476" w:firstLineChars="200"/>
        <w:jc w:val="left"/>
        <w:rPr>
          <w:rFonts w:ascii="宋体" w:hAnsi="宋体" w:cs="宋体"/>
          <w:spacing w:val="-1"/>
          <w:sz w:val="24"/>
        </w:rPr>
      </w:pPr>
      <w:r>
        <w:rPr>
          <w:rFonts w:hint="eastAsia" w:ascii="宋体" w:hAnsi="宋体" w:cs="宋体"/>
          <w:spacing w:val="-1"/>
          <w:sz w:val="24"/>
        </w:rPr>
        <w:t>3.3保修设备进行关键手术时，能够提供原厂认证合格工程师现场支持。</w:t>
      </w:r>
    </w:p>
    <w:p w14:paraId="39C649B5">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3D17"/>
    <w:multiLevelType w:val="singleLevel"/>
    <w:tmpl w:val="DB3A3D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4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customStyle="1" w:styleId="5">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2025-06-30T08:17:04Z</dcterms:created>
  <dc:creator>Luna</dc:creator>
  <cp:lastModifiedBy>Luna</cp:lastModifiedBy>
  <dcterms:modified xsi:type="dcterms:W3CDTF">2025-06-30T08:17:27Z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eyJoZGlkIjoiMDU4MWRkZDVlYzU1YTFjMjhlMGU0YTU1YzE5NWNiY2QifQ==</vt:lpwstr>
  </property>
  <property fmtid="{D5CDD505-2E9C-101B-9397-08002B2CF9AE}" pid="4" name="ICV">
    <vt:lpwstr>851EB9467CE24FFBB32455157442B42B_12</vt:lpwstr>
  </property>
</Properties>
</file>