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44CE4">
      <w:pPr>
        <w:spacing w:line="360" w:lineRule="auto"/>
        <w:ind w:firstLine="723"/>
        <w:jc w:val="center"/>
        <w:outlineLvl w:val="0"/>
        <w:rPr>
          <w:rFonts w:hint="default" w:eastAsia="宋体"/>
          <w:b/>
          <w:sz w:val="36"/>
          <w:szCs w:val="36"/>
          <w:lang w:val="en-US" w:eastAsia="zh-CN"/>
        </w:rPr>
      </w:pPr>
      <w:bookmarkStart w:id="0" w:name="_Toc171089948"/>
      <w:r>
        <w:rPr>
          <w:b/>
          <w:sz w:val="36"/>
          <w:szCs w:val="36"/>
        </w:rPr>
        <w:t xml:space="preserve"> </w:t>
      </w:r>
      <w:bookmarkEnd w:id="0"/>
      <w:bookmarkStart w:id="32" w:name="_GoBack"/>
      <w:r>
        <w:rPr>
          <w:rFonts w:hint="eastAsia"/>
          <w:b/>
          <w:sz w:val="36"/>
          <w:szCs w:val="36"/>
          <w:lang w:val="en-US" w:eastAsia="zh-CN"/>
        </w:rPr>
        <w:t>招标公</w:t>
      </w:r>
      <w:bookmarkEnd w:id="32"/>
      <w:r>
        <w:rPr>
          <w:rFonts w:hint="eastAsia"/>
          <w:b/>
          <w:sz w:val="36"/>
          <w:szCs w:val="36"/>
          <w:lang w:val="en-US" w:eastAsia="zh-CN"/>
        </w:rPr>
        <w:t>告</w:t>
      </w:r>
    </w:p>
    <w:p w14:paraId="5516AE4E">
      <w:pPr>
        <w:spacing w:line="360" w:lineRule="auto"/>
        <w:ind w:firstLine="640" w:firstLineChars="200"/>
        <w:rPr>
          <w:sz w:val="32"/>
          <w:szCs w:val="32"/>
        </w:rPr>
      </w:pPr>
    </w:p>
    <w:p w14:paraId="6229BA54">
      <w:pPr>
        <w:pStyle w:val="2"/>
        <w:spacing w:before="0" w:line="360" w:lineRule="auto"/>
        <w:ind w:firstLine="482"/>
        <w:jc w:val="left"/>
        <w:rPr>
          <w:rFonts w:ascii="Times New Roman" w:hAnsi="Times New Roman" w:eastAsia="宋体"/>
          <w:sz w:val="24"/>
          <w:szCs w:val="24"/>
        </w:rPr>
      </w:pPr>
      <w:bookmarkStart w:id="1" w:name="_Toc28359079"/>
      <w:bookmarkStart w:id="2" w:name="_Toc35393790"/>
      <w:bookmarkStart w:id="3" w:name="_Toc28359002"/>
      <w:bookmarkStart w:id="4" w:name="_Toc35393621"/>
      <w:bookmarkStart w:id="5" w:name="_Hlk24379207"/>
      <w:r>
        <w:rPr>
          <w:rFonts w:ascii="Times New Roman" w:hAnsi="Times New Roman" w:eastAsia="宋体"/>
          <w:sz w:val="24"/>
          <w:szCs w:val="24"/>
        </w:rPr>
        <w:t>一、项目基本情况</w:t>
      </w:r>
      <w:bookmarkEnd w:id="1"/>
      <w:bookmarkEnd w:id="2"/>
      <w:bookmarkEnd w:id="3"/>
      <w:bookmarkEnd w:id="4"/>
    </w:p>
    <w:p w14:paraId="75DE1A1B">
      <w:pPr>
        <w:spacing w:line="360" w:lineRule="auto"/>
        <w:ind w:firstLine="480" w:firstLineChars="200"/>
        <w:rPr>
          <w:sz w:val="24"/>
        </w:rPr>
      </w:pPr>
      <w:r>
        <w:rPr>
          <w:sz w:val="24"/>
        </w:rPr>
        <w:t>1.项目编</w:t>
      </w:r>
      <w:r>
        <w:rPr>
          <w:rFonts w:hint="eastAsia" w:ascii="宋体" w:hAnsi="宋体"/>
          <w:sz w:val="24"/>
        </w:rPr>
        <w:t>号：</w:t>
      </w:r>
      <w:r>
        <w:rPr>
          <w:rFonts w:ascii="宋体" w:hAnsi="宋体"/>
          <w:sz w:val="24"/>
        </w:rPr>
        <w:t>11000025210200141139-XM002</w:t>
      </w:r>
      <w:r>
        <w:rPr>
          <w:rFonts w:hint="eastAsia" w:ascii="宋体" w:hAnsi="宋体"/>
          <w:sz w:val="24"/>
        </w:rPr>
        <w:t xml:space="preserve"> </w:t>
      </w:r>
    </w:p>
    <w:p w14:paraId="649C65BB">
      <w:pPr>
        <w:spacing w:line="360" w:lineRule="auto"/>
        <w:ind w:firstLine="720" w:firstLineChars="300"/>
        <w:rPr>
          <w:sz w:val="24"/>
        </w:rPr>
      </w:pPr>
      <w:r>
        <w:rPr>
          <w:rFonts w:hint="eastAsia" w:ascii="宋体" w:hAnsi="宋体"/>
          <w:sz w:val="24"/>
        </w:rPr>
        <w:t>项目代理编号：HCZB-2024-ZB0952</w:t>
      </w:r>
    </w:p>
    <w:p w14:paraId="5EF7B4BD">
      <w:pPr>
        <w:spacing w:line="360" w:lineRule="auto"/>
        <w:ind w:firstLine="480" w:firstLineChars="200"/>
        <w:rPr>
          <w:sz w:val="24"/>
        </w:rPr>
      </w:pPr>
      <w:r>
        <w:rPr>
          <w:sz w:val="24"/>
        </w:rPr>
        <w:t>2.项目名称</w:t>
      </w:r>
      <w:r>
        <w:rPr>
          <w:bCs/>
          <w:sz w:val="24"/>
        </w:rPr>
        <w:t>：</w:t>
      </w:r>
      <w:r>
        <w:rPr>
          <w:rFonts w:hint="eastAsia"/>
          <w:bCs/>
          <w:sz w:val="24"/>
        </w:rPr>
        <w:t>北京工业大学饮食服务中心食品原材料供货服务第二批</w:t>
      </w:r>
    </w:p>
    <w:bookmarkEnd w:id="5"/>
    <w:p w14:paraId="5FDD8F86">
      <w:pPr>
        <w:spacing w:line="360" w:lineRule="auto"/>
        <w:ind w:firstLine="480" w:firstLineChars="200"/>
        <w:rPr>
          <w:sz w:val="24"/>
          <w:u w:val="single"/>
        </w:rPr>
      </w:pPr>
      <w:r>
        <w:rPr>
          <w:sz w:val="24"/>
        </w:rPr>
        <w:t>3.项目预算金额：</w:t>
      </w:r>
      <w:r>
        <w:rPr>
          <w:rFonts w:hint="eastAsia"/>
          <w:sz w:val="24"/>
          <w:u w:val="single"/>
        </w:rPr>
        <w:t>1621</w:t>
      </w:r>
      <w:r>
        <w:rPr>
          <w:sz w:val="24"/>
          <w:u w:val="single"/>
        </w:rPr>
        <w:t>万元</w:t>
      </w:r>
      <w:r>
        <w:rPr>
          <w:sz w:val="24"/>
        </w:rPr>
        <w:t>、项目最高限价（如有）：</w:t>
      </w:r>
      <w:r>
        <w:rPr>
          <w:rFonts w:hint="eastAsia"/>
          <w:sz w:val="24"/>
        </w:rPr>
        <w:t xml:space="preserve"> </w:t>
      </w:r>
      <w:r>
        <w:rPr>
          <w:rFonts w:hint="eastAsia"/>
          <w:sz w:val="24"/>
          <w:u w:val="single"/>
        </w:rPr>
        <w:t>无</w:t>
      </w:r>
    </w:p>
    <w:p w14:paraId="51D7F1DA">
      <w:pPr>
        <w:spacing w:line="360" w:lineRule="auto"/>
        <w:ind w:firstLine="480" w:firstLineChars="200"/>
        <w:rPr>
          <w:sz w:val="24"/>
        </w:rPr>
      </w:pPr>
      <w:r>
        <w:rPr>
          <w:sz w:val="24"/>
        </w:rPr>
        <w:t>4.采购需求</w:t>
      </w:r>
      <w:r>
        <w:rPr>
          <w:rFonts w:hint="eastAsia"/>
          <w:sz w:val="24"/>
        </w:rPr>
        <w:t>：</w:t>
      </w:r>
    </w:p>
    <w:tbl>
      <w:tblPr>
        <w:tblStyle w:val="6"/>
        <w:tblW w:w="49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1490"/>
        <w:gridCol w:w="725"/>
        <w:gridCol w:w="3881"/>
        <w:gridCol w:w="756"/>
        <w:gridCol w:w="950"/>
      </w:tblGrid>
      <w:tr w14:paraId="1EC2B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65" w:type="pct"/>
            <w:shd w:val="clear" w:color="auto" w:fill="auto"/>
            <w:vAlign w:val="center"/>
          </w:tcPr>
          <w:p w14:paraId="704ED212">
            <w:pPr>
              <w:suppressAutoHyphens/>
              <w:jc w:val="center"/>
              <w:rPr>
                <w:rFonts w:ascii="宋体" w:hAnsi="宋体" w:cs="宋体"/>
                <w:color w:val="000000"/>
                <w:sz w:val="24"/>
                <w:szCs w:val="32"/>
              </w:rPr>
            </w:pPr>
            <w:r>
              <w:rPr>
                <w:rFonts w:hint="eastAsia" w:ascii="宋体" w:hAnsi="宋体" w:cs="宋体"/>
                <w:color w:val="000000"/>
                <w:sz w:val="24"/>
                <w:szCs w:val="32"/>
              </w:rPr>
              <w:t>序号</w:t>
            </w:r>
          </w:p>
        </w:tc>
        <w:tc>
          <w:tcPr>
            <w:tcW w:w="885" w:type="pct"/>
            <w:shd w:val="clear" w:color="auto" w:fill="auto"/>
            <w:vAlign w:val="center"/>
          </w:tcPr>
          <w:p w14:paraId="1ADDEE22">
            <w:pPr>
              <w:suppressAutoHyphens/>
              <w:jc w:val="center"/>
              <w:rPr>
                <w:rFonts w:ascii="宋体" w:hAnsi="宋体" w:cs="宋体"/>
                <w:color w:val="000000"/>
                <w:sz w:val="24"/>
                <w:szCs w:val="32"/>
              </w:rPr>
            </w:pPr>
            <w:r>
              <w:rPr>
                <w:rFonts w:hint="eastAsia" w:ascii="宋体" w:hAnsi="宋体" w:cs="宋体"/>
                <w:color w:val="000000"/>
                <w:sz w:val="24"/>
                <w:szCs w:val="32"/>
              </w:rPr>
              <w:t>品类</w:t>
            </w:r>
          </w:p>
        </w:tc>
        <w:tc>
          <w:tcPr>
            <w:tcW w:w="431" w:type="pct"/>
            <w:shd w:val="clear" w:color="auto" w:fill="auto"/>
            <w:vAlign w:val="center"/>
          </w:tcPr>
          <w:p w14:paraId="4F054FEA">
            <w:pPr>
              <w:suppressAutoHyphens/>
              <w:jc w:val="center"/>
              <w:rPr>
                <w:rFonts w:ascii="宋体" w:hAnsi="宋体" w:cs="宋体"/>
                <w:color w:val="000000"/>
                <w:sz w:val="24"/>
                <w:szCs w:val="32"/>
              </w:rPr>
            </w:pPr>
            <w:r>
              <w:rPr>
                <w:rFonts w:hint="eastAsia" w:ascii="宋体" w:hAnsi="宋体" w:cs="宋体"/>
                <w:color w:val="000000"/>
                <w:sz w:val="24"/>
                <w:szCs w:val="32"/>
              </w:rPr>
              <w:t>分包号</w:t>
            </w:r>
          </w:p>
        </w:tc>
        <w:tc>
          <w:tcPr>
            <w:tcW w:w="2306" w:type="pct"/>
            <w:shd w:val="clear" w:color="auto" w:fill="auto"/>
            <w:vAlign w:val="center"/>
          </w:tcPr>
          <w:p w14:paraId="19D79B60">
            <w:pPr>
              <w:suppressAutoHyphens/>
              <w:jc w:val="center"/>
              <w:rPr>
                <w:rFonts w:ascii="宋体" w:hAnsi="宋体" w:cs="宋体"/>
                <w:color w:val="000000"/>
                <w:sz w:val="24"/>
                <w:szCs w:val="32"/>
              </w:rPr>
            </w:pPr>
            <w:r>
              <w:rPr>
                <w:rFonts w:hint="eastAsia" w:ascii="宋体" w:hAnsi="宋体" w:cs="宋体"/>
                <w:color w:val="000000"/>
                <w:sz w:val="24"/>
                <w:szCs w:val="32"/>
              </w:rPr>
              <w:t>采购品类</w:t>
            </w:r>
          </w:p>
        </w:tc>
        <w:tc>
          <w:tcPr>
            <w:tcW w:w="449" w:type="pct"/>
            <w:shd w:val="clear" w:color="auto" w:fill="auto"/>
            <w:vAlign w:val="center"/>
          </w:tcPr>
          <w:p w14:paraId="7F7083C5">
            <w:pPr>
              <w:suppressAutoHyphens/>
              <w:jc w:val="center"/>
              <w:rPr>
                <w:rFonts w:ascii="宋体" w:hAnsi="宋体" w:cs="宋体"/>
                <w:color w:val="000000"/>
                <w:sz w:val="24"/>
                <w:szCs w:val="32"/>
              </w:rPr>
            </w:pPr>
            <w:r>
              <w:rPr>
                <w:rFonts w:hint="eastAsia" w:ascii="宋体" w:hAnsi="宋体" w:cs="宋体"/>
                <w:color w:val="000000"/>
                <w:sz w:val="24"/>
                <w:szCs w:val="32"/>
              </w:rPr>
              <w:t>中标人数量</w:t>
            </w:r>
          </w:p>
        </w:tc>
        <w:tc>
          <w:tcPr>
            <w:tcW w:w="564" w:type="pct"/>
            <w:shd w:val="clear" w:color="auto" w:fill="auto"/>
            <w:vAlign w:val="center"/>
          </w:tcPr>
          <w:p w14:paraId="1A7C0ADD">
            <w:pPr>
              <w:suppressAutoHyphens/>
              <w:jc w:val="center"/>
              <w:rPr>
                <w:rFonts w:ascii="宋体" w:hAnsi="宋体" w:cs="宋体"/>
                <w:color w:val="000000"/>
                <w:sz w:val="24"/>
                <w:szCs w:val="32"/>
              </w:rPr>
            </w:pPr>
            <w:r>
              <w:rPr>
                <w:rFonts w:hint="eastAsia" w:ascii="宋体" w:hAnsi="宋体" w:cs="宋体"/>
                <w:color w:val="000000"/>
                <w:sz w:val="24"/>
                <w:szCs w:val="32"/>
              </w:rPr>
              <w:t>分包预算金额</w:t>
            </w:r>
          </w:p>
          <w:p w14:paraId="23B98226">
            <w:pPr>
              <w:suppressAutoHyphens/>
              <w:jc w:val="center"/>
              <w:rPr>
                <w:rFonts w:ascii="宋体" w:hAnsi="宋体" w:cs="宋体"/>
                <w:color w:val="000000"/>
                <w:sz w:val="24"/>
                <w:szCs w:val="32"/>
              </w:rPr>
            </w:pPr>
            <w:r>
              <w:rPr>
                <w:rFonts w:hint="eastAsia" w:ascii="宋体" w:hAnsi="宋体" w:cs="宋体"/>
                <w:color w:val="000000"/>
                <w:sz w:val="24"/>
                <w:szCs w:val="32"/>
              </w:rPr>
              <w:t>（万元/年）</w:t>
            </w:r>
          </w:p>
        </w:tc>
      </w:tr>
      <w:tr w14:paraId="078F3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365" w:type="pct"/>
            <w:vMerge w:val="restart"/>
            <w:shd w:val="clear" w:color="auto" w:fill="auto"/>
            <w:vAlign w:val="center"/>
          </w:tcPr>
          <w:p w14:paraId="2F33D2FD">
            <w:pPr>
              <w:suppressAutoHyphens/>
              <w:jc w:val="center"/>
              <w:rPr>
                <w:rFonts w:ascii="宋体" w:hAnsi="宋体" w:cs="宋体"/>
                <w:color w:val="000000"/>
                <w:sz w:val="24"/>
                <w:szCs w:val="32"/>
              </w:rPr>
            </w:pPr>
            <w:r>
              <w:rPr>
                <w:rFonts w:hint="eastAsia" w:ascii="宋体" w:hAnsi="宋体" w:cs="宋体"/>
                <w:color w:val="000000"/>
                <w:sz w:val="24"/>
                <w:szCs w:val="32"/>
              </w:rPr>
              <w:t>1</w:t>
            </w:r>
          </w:p>
        </w:tc>
        <w:tc>
          <w:tcPr>
            <w:tcW w:w="885" w:type="pct"/>
            <w:vMerge w:val="restart"/>
            <w:shd w:val="clear" w:color="auto" w:fill="auto"/>
            <w:vAlign w:val="center"/>
          </w:tcPr>
          <w:p w14:paraId="7231FD56">
            <w:pPr>
              <w:suppressAutoHyphens/>
              <w:jc w:val="center"/>
              <w:rPr>
                <w:rFonts w:ascii="宋体" w:hAnsi="宋体" w:cs="宋体"/>
                <w:color w:val="auto"/>
                <w:sz w:val="24"/>
                <w:szCs w:val="32"/>
              </w:rPr>
            </w:pPr>
            <w:r>
              <w:rPr>
                <w:rFonts w:hint="eastAsia" w:ascii="宋体" w:hAnsi="宋体" w:cs="宋体"/>
                <w:color w:val="auto"/>
                <w:sz w:val="24"/>
                <w:szCs w:val="32"/>
              </w:rPr>
              <w:t>1-大米、杂粮类</w:t>
            </w:r>
          </w:p>
        </w:tc>
        <w:tc>
          <w:tcPr>
            <w:tcW w:w="431" w:type="pct"/>
            <w:shd w:val="clear" w:color="auto" w:fill="auto"/>
            <w:vAlign w:val="center"/>
          </w:tcPr>
          <w:p w14:paraId="02D0CCC0">
            <w:pPr>
              <w:suppressAutoHyphens/>
              <w:jc w:val="center"/>
              <w:rPr>
                <w:rFonts w:ascii="宋体" w:hAnsi="宋体" w:cs="宋体"/>
                <w:color w:val="auto"/>
                <w:sz w:val="24"/>
                <w:szCs w:val="32"/>
              </w:rPr>
            </w:pPr>
            <w:r>
              <w:rPr>
                <w:rFonts w:hint="eastAsia" w:ascii="宋体" w:hAnsi="宋体" w:cs="宋体"/>
                <w:color w:val="auto"/>
                <w:sz w:val="24"/>
                <w:szCs w:val="32"/>
              </w:rPr>
              <w:t>1-1</w:t>
            </w:r>
          </w:p>
        </w:tc>
        <w:tc>
          <w:tcPr>
            <w:tcW w:w="2306" w:type="pct"/>
            <w:shd w:val="clear" w:color="auto" w:fill="auto"/>
            <w:vAlign w:val="center"/>
          </w:tcPr>
          <w:p w14:paraId="1F4B82A5">
            <w:pPr>
              <w:suppressAutoHyphens/>
              <w:jc w:val="center"/>
              <w:rPr>
                <w:rFonts w:ascii="宋体" w:hAnsi="宋体" w:cs="宋体"/>
                <w:color w:val="auto"/>
                <w:sz w:val="24"/>
                <w:szCs w:val="32"/>
              </w:rPr>
            </w:pPr>
            <w:r>
              <w:rPr>
                <w:rFonts w:hint="eastAsia" w:ascii="宋体" w:hAnsi="宋体" w:cs="宋体"/>
                <w:color w:val="auto"/>
                <w:sz w:val="24"/>
                <w:szCs w:val="32"/>
              </w:rPr>
              <w:t>大米、杂粮</w:t>
            </w:r>
          </w:p>
        </w:tc>
        <w:tc>
          <w:tcPr>
            <w:tcW w:w="449" w:type="pct"/>
            <w:shd w:val="clear" w:color="auto" w:fill="auto"/>
            <w:vAlign w:val="center"/>
          </w:tcPr>
          <w:p w14:paraId="2EDFC3D2">
            <w:pPr>
              <w:suppressAutoHyphens/>
              <w:jc w:val="center"/>
              <w:rPr>
                <w:rFonts w:ascii="宋体" w:hAnsi="宋体" w:cs="宋体"/>
                <w:color w:val="auto"/>
                <w:sz w:val="24"/>
                <w:szCs w:val="32"/>
              </w:rPr>
            </w:pPr>
            <w:r>
              <w:rPr>
                <w:rFonts w:hint="eastAsia" w:ascii="宋体" w:hAnsi="宋体" w:cs="宋体"/>
                <w:color w:val="auto"/>
                <w:sz w:val="24"/>
                <w:szCs w:val="32"/>
              </w:rPr>
              <w:t>1家</w:t>
            </w:r>
          </w:p>
        </w:tc>
        <w:tc>
          <w:tcPr>
            <w:tcW w:w="564" w:type="pct"/>
            <w:shd w:val="clear" w:color="auto" w:fill="auto"/>
            <w:vAlign w:val="center"/>
          </w:tcPr>
          <w:p w14:paraId="59680B88">
            <w:pPr>
              <w:suppressAutoHyphens/>
              <w:jc w:val="center"/>
              <w:rPr>
                <w:rFonts w:ascii="宋体" w:hAnsi="宋体" w:cs="宋体"/>
                <w:color w:val="auto"/>
                <w:sz w:val="24"/>
                <w:szCs w:val="32"/>
              </w:rPr>
            </w:pPr>
            <w:r>
              <w:rPr>
                <w:rFonts w:hint="eastAsia" w:ascii="宋体" w:hAnsi="宋体" w:cs="宋体"/>
                <w:color w:val="auto"/>
                <w:sz w:val="24"/>
                <w:szCs w:val="32"/>
              </w:rPr>
              <w:t>80</w:t>
            </w:r>
          </w:p>
        </w:tc>
      </w:tr>
      <w:tr w14:paraId="3F62E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65" w:type="pct"/>
            <w:vMerge w:val="continue"/>
            <w:shd w:val="clear" w:color="auto" w:fill="auto"/>
            <w:vAlign w:val="center"/>
          </w:tcPr>
          <w:p w14:paraId="1CF3D1F9">
            <w:pPr>
              <w:suppressAutoHyphens/>
              <w:jc w:val="center"/>
              <w:rPr>
                <w:rFonts w:ascii="宋体" w:hAnsi="宋体" w:cs="宋体"/>
                <w:color w:val="000000"/>
                <w:sz w:val="24"/>
                <w:szCs w:val="32"/>
              </w:rPr>
            </w:pPr>
          </w:p>
        </w:tc>
        <w:tc>
          <w:tcPr>
            <w:tcW w:w="885" w:type="pct"/>
            <w:vMerge w:val="continue"/>
            <w:shd w:val="clear" w:color="auto" w:fill="auto"/>
            <w:vAlign w:val="center"/>
          </w:tcPr>
          <w:p w14:paraId="50CB1127">
            <w:pPr>
              <w:suppressAutoHyphens/>
              <w:jc w:val="center"/>
              <w:rPr>
                <w:rFonts w:ascii="宋体" w:hAnsi="宋体" w:cs="宋体"/>
                <w:color w:val="auto"/>
                <w:sz w:val="24"/>
                <w:szCs w:val="32"/>
              </w:rPr>
            </w:pPr>
          </w:p>
        </w:tc>
        <w:tc>
          <w:tcPr>
            <w:tcW w:w="431" w:type="pct"/>
            <w:shd w:val="clear" w:color="auto" w:fill="auto"/>
            <w:vAlign w:val="center"/>
          </w:tcPr>
          <w:p w14:paraId="195DDAE3">
            <w:pPr>
              <w:suppressAutoHyphens/>
              <w:jc w:val="center"/>
              <w:rPr>
                <w:rFonts w:ascii="宋体" w:hAnsi="宋体" w:cs="宋体"/>
                <w:color w:val="auto"/>
                <w:sz w:val="24"/>
                <w:szCs w:val="32"/>
              </w:rPr>
            </w:pPr>
            <w:r>
              <w:rPr>
                <w:rFonts w:hint="eastAsia" w:ascii="宋体" w:hAnsi="宋体" w:cs="宋体"/>
                <w:color w:val="auto"/>
                <w:sz w:val="24"/>
                <w:szCs w:val="32"/>
              </w:rPr>
              <w:t>1-2</w:t>
            </w:r>
          </w:p>
        </w:tc>
        <w:tc>
          <w:tcPr>
            <w:tcW w:w="2306" w:type="pct"/>
            <w:shd w:val="clear" w:color="auto" w:fill="auto"/>
            <w:vAlign w:val="center"/>
          </w:tcPr>
          <w:p w14:paraId="40A30883">
            <w:pPr>
              <w:suppressAutoHyphens/>
              <w:jc w:val="center"/>
              <w:rPr>
                <w:rFonts w:ascii="宋体" w:hAnsi="宋体" w:cs="宋体"/>
                <w:color w:val="auto"/>
                <w:sz w:val="24"/>
                <w:szCs w:val="32"/>
              </w:rPr>
            </w:pPr>
            <w:r>
              <w:rPr>
                <w:rFonts w:hint="eastAsia" w:ascii="宋体" w:hAnsi="宋体" w:cs="宋体"/>
                <w:color w:val="auto"/>
                <w:sz w:val="24"/>
                <w:szCs w:val="32"/>
              </w:rPr>
              <w:t>大米、杂粮</w:t>
            </w:r>
          </w:p>
        </w:tc>
        <w:tc>
          <w:tcPr>
            <w:tcW w:w="449" w:type="pct"/>
            <w:shd w:val="clear" w:color="auto" w:fill="auto"/>
            <w:vAlign w:val="center"/>
          </w:tcPr>
          <w:p w14:paraId="498A5F75">
            <w:pPr>
              <w:suppressAutoHyphens/>
              <w:jc w:val="center"/>
              <w:rPr>
                <w:rFonts w:ascii="宋体" w:hAnsi="宋体" w:cs="宋体"/>
                <w:color w:val="auto"/>
                <w:sz w:val="24"/>
                <w:szCs w:val="32"/>
              </w:rPr>
            </w:pPr>
            <w:r>
              <w:rPr>
                <w:rFonts w:hint="eastAsia" w:ascii="宋体" w:hAnsi="宋体" w:cs="宋体"/>
                <w:color w:val="auto"/>
                <w:sz w:val="24"/>
                <w:szCs w:val="32"/>
              </w:rPr>
              <w:t>1家</w:t>
            </w:r>
          </w:p>
        </w:tc>
        <w:tc>
          <w:tcPr>
            <w:tcW w:w="564" w:type="pct"/>
            <w:shd w:val="clear" w:color="auto" w:fill="auto"/>
            <w:vAlign w:val="center"/>
          </w:tcPr>
          <w:p w14:paraId="5C7CEB7C">
            <w:pPr>
              <w:suppressAutoHyphens/>
              <w:jc w:val="center"/>
              <w:rPr>
                <w:rFonts w:ascii="宋体" w:hAnsi="宋体" w:cs="宋体"/>
                <w:color w:val="auto"/>
                <w:sz w:val="24"/>
                <w:szCs w:val="32"/>
              </w:rPr>
            </w:pPr>
            <w:r>
              <w:rPr>
                <w:rFonts w:hint="eastAsia" w:ascii="宋体" w:hAnsi="宋体" w:cs="宋体"/>
                <w:color w:val="auto"/>
                <w:sz w:val="24"/>
                <w:szCs w:val="32"/>
              </w:rPr>
              <w:t>66</w:t>
            </w:r>
          </w:p>
        </w:tc>
      </w:tr>
      <w:tr w14:paraId="2EBF2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365" w:type="pct"/>
            <w:vMerge w:val="continue"/>
            <w:shd w:val="clear" w:color="auto" w:fill="auto"/>
            <w:vAlign w:val="center"/>
          </w:tcPr>
          <w:p w14:paraId="506C8200">
            <w:pPr>
              <w:suppressAutoHyphens/>
              <w:jc w:val="center"/>
              <w:rPr>
                <w:rFonts w:ascii="宋体" w:hAnsi="宋体" w:cs="宋体"/>
                <w:color w:val="000000"/>
                <w:sz w:val="24"/>
                <w:szCs w:val="32"/>
              </w:rPr>
            </w:pPr>
          </w:p>
        </w:tc>
        <w:tc>
          <w:tcPr>
            <w:tcW w:w="885" w:type="pct"/>
            <w:vMerge w:val="continue"/>
            <w:shd w:val="clear" w:color="auto" w:fill="auto"/>
            <w:vAlign w:val="center"/>
          </w:tcPr>
          <w:p w14:paraId="6DC426F1">
            <w:pPr>
              <w:suppressAutoHyphens/>
              <w:jc w:val="center"/>
              <w:rPr>
                <w:rFonts w:ascii="宋体" w:hAnsi="宋体" w:cs="宋体"/>
                <w:color w:val="auto"/>
                <w:sz w:val="24"/>
                <w:szCs w:val="32"/>
              </w:rPr>
            </w:pPr>
          </w:p>
        </w:tc>
        <w:tc>
          <w:tcPr>
            <w:tcW w:w="431" w:type="pct"/>
            <w:shd w:val="clear" w:color="auto" w:fill="auto"/>
            <w:vAlign w:val="center"/>
          </w:tcPr>
          <w:p w14:paraId="1916EFCD">
            <w:pPr>
              <w:suppressAutoHyphens/>
              <w:jc w:val="center"/>
              <w:rPr>
                <w:rFonts w:ascii="宋体" w:hAnsi="宋体" w:cs="宋体"/>
                <w:color w:val="auto"/>
                <w:sz w:val="24"/>
                <w:szCs w:val="32"/>
              </w:rPr>
            </w:pPr>
            <w:r>
              <w:rPr>
                <w:rFonts w:hint="eastAsia" w:ascii="宋体" w:hAnsi="宋体" w:cs="宋体"/>
                <w:color w:val="auto"/>
                <w:sz w:val="24"/>
                <w:szCs w:val="32"/>
              </w:rPr>
              <w:t>1-3</w:t>
            </w:r>
          </w:p>
        </w:tc>
        <w:tc>
          <w:tcPr>
            <w:tcW w:w="2306" w:type="pct"/>
            <w:shd w:val="clear" w:color="auto" w:fill="auto"/>
            <w:vAlign w:val="center"/>
          </w:tcPr>
          <w:p w14:paraId="1FFA55E1">
            <w:pPr>
              <w:suppressAutoHyphens/>
              <w:jc w:val="center"/>
              <w:rPr>
                <w:rFonts w:ascii="宋体" w:hAnsi="宋体" w:cs="宋体"/>
                <w:color w:val="auto"/>
                <w:sz w:val="24"/>
                <w:szCs w:val="32"/>
              </w:rPr>
            </w:pPr>
            <w:r>
              <w:rPr>
                <w:rFonts w:hint="eastAsia" w:ascii="宋体" w:hAnsi="宋体" w:cs="宋体"/>
                <w:color w:val="auto"/>
                <w:sz w:val="24"/>
                <w:szCs w:val="32"/>
              </w:rPr>
              <w:t>大米、杂粮</w:t>
            </w:r>
          </w:p>
        </w:tc>
        <w:tc>
          <w:tcPr>
            <w:tcW w:w="449" w:type="pct"/>
            <w:shd w:val="clear" w:color="auto" w:fill="auto"/>
            <w:vAlign w:val="center"/>
          </w:tcPr>
          <w:p w14:paraId="61BD5A60">
            <w:pPr>
              <w:suppressAutoHyphens/>
              <w:jc w:val="center"/>
              <w:rPr>
                <w:rFonts w:ascii="宋体" w:hAnsi="宋体" w:cs="宋体"/>
                <w:color w:val="auto"/>
                <w:sz w:val="24"/>
                <w:szCs w:val="32"/>
              </w:rPr>
            </w:pPr>
            <w:r>
              <w:rPr>
                <w:rFonts w:hint="eastAsia" w:ascii="宋体" w:hAnsi="宋体" w:cs="宋体"/>
                <w:color w:val="auto"/>
                <w:sz w:val="24"/>
                <w:szCs w:val="32"/>
              </w:rPr>
              <w:t>1家</w:t>
            </w:r>
          </w:p>
        </w:tc>
        <w:tc>
          <w:tcPr>
            <w:tcW w:w="564" w:type="pct"/>
            <w:shd w:val="clear" w:color="auto" w:fill="auto"/>
            <w:vAlign w:val="center"/>
          </w:tcPr>
          <w:p w14:paraId="3840F336">
            <w:pPr>
              <w:suppressAutoHyphens/>
              <w:jc w:val="center"/>
              <w:rPr>
                <w:rFonts w:ascii="宋体" w:hAnsi="宋体" w:cs="宋体"/>
                <w:color w:val="auto"/>
                <w:sz w:val="24"/>
                <w:szCs w:val="32"/>
              </w:rPr>
            </w:pPr>
            <w:r>
              <w:rPr>
                <w:rFonts w:hint="eastAsia" w:ascii="宋体" w:hAnsi="宋体" w:cs="宋体"/>
                <w:color w:val="auto"/>
                <w:sz w:val="24"/>
                <w:szCs w:val="32"/>
              </w:rPr>
              <w:t>48</w:t>
            </w:r>
          </w:p>
        </w:tc>
      </w:tr>
      <w:tr w14:paraId="74B0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365" w:type="pct"/>
            <w:vMerge w:val="continue"/>
            <w:shd w:val="clear" w:color="auto" w:fill="auto"/>
            <w:vAlign w:val="center"/>
          </w:tcPr>
          <w:p w14:paraId="7716E6FF">
            <w:pPr>
              <w:suppressAutoHyphens/>
              <w:jc w:val="center"/>
              <w:rPr>
                <w:rFonts w:ascii="宋体" w:hAnsi="宋体" w:cs="宋体"/>
                <w:color w:val="000000"/>
                <w:sz w:val="24"/>
                <w:szCs w:val="32"/>
              </w:rPr>
            </w:pPr>
          </w:p>
        </w:tc>
        <w:tc>
          <w:tcPr>
            <w:tcW w:w="885" w:type="pct"/>
            <w:vMerge w:val="continue"/>
            <w:shd w:val="clear" w:color="auto" w:fill="auto"/>
            <w:vAlign w:val="center"/>
          </w:tcPr>
          <w:p w14:paraId="44A8A957">
            <w:pPr>
              <w:suppressAutoHyphens/>
              <w:jc w:val="center"/>
              <w:rPr>
                <w:rFonts w:ascii="宋体" w:hAnsi="宋体" w:cs="宋体"/>
                <w:color w:val="auto"/>
                <w:sz w:val="24"/>
                <w:szCs w:val="32"/>
              </w:rPr>
            </w:pPr>
          </w:p>
        </w:tc>
        <w:tc>
          <w:tcPr>
            <w:tcW w:w="431" w:type="pct"/>
            <w:shd w:val="clear" w:color="auto" w:fill="auto"/>
            <w:vAlign w:val="center"/>
          </w:tcPr>
          <w:p w14:paraId="15754D3E">
            <w:pPr>
              <w:suppressAutoHyphens/>
              <w:jc w:val="center"/>
              <w:rPr>
                <w:rFonts w:ascii="宋体" w:hAnsi="宋体" w:cs="宋体"/>
                <w:color w:val="auto"/>
                <w:sz w:val="24"/>
                <w:szCs w:val="32"/>
              </w:rPr>
            </w:pPr>
            <w:r>
              <w:rPr>
                <w:rFonts w:hint="eastAsia" w:ascii="宋体" w:hAnsi="宋体" w:cs="宋体"/>
                <w:color w:val="auto"/>
                <w:sz w:val="24"/>
                <w:szCs w:val="32"/>
              </w:rPr>
              <w:t>1-4</w:t>
            </w:r>
          </w:p>
        </w:tc>
        <w:tc>
          <w:tcPr>
            <w:tcW w:w="2306" w:type="pct"/>
            <w:shd w:val="clear" w:color="auto" w:fill="auto"/>
            <w:vAlign w:val="center"/>
          </w:tcPr>
          <w:p w14:paraId="502106CF">
            <w:pPr>
              <w:suppressAutoHyphens/>
              <w:jc w:val="center"/>
              <w:rPr>
                <w:rFonts w:ascii="宋体" w:hAnsi="宋体" w:cs="宋体"/>
                <w:color w:val="auto"/>
                <w:sz w:val="24"/>
                <w:szCs w:val="32"/>
              </w:rPr>
            </w:pPr>
            <w:r>
              <w:rPr>
                <w:rFonts w:hint="eastAsia" w:ascii="宋体" w:hAnsi="宋体" w:cs="宋体"/>
                <w:color w:val="auto"/>
                <w:sz w:val="24"/>
                <w:szCs w:val="32"/>
              </w:rPr>
              <w:t>大米、杂粮</w:t>
            </w:r>
          </w:p>
        </w:tc>
        <w:tc>
          <w:tcPr>
            <w:tcW w:w="449" w:type="pct"/>
            <w:shd w:val="clear" w:color="auto" w:fill="auto"/>
            <w:vAlign w:val="center"/>
          </w:tcPr>
          <w:p w14:paraId="1E0F1163">
            <w:pPr>
              <w:suppressAutoHyphens/>
              <w:jc w:val="center"/>
              <w:rPr>
                <w:rFonts w:ascii="宋体" w:hAnsi="宋体" w:cs="宋体"/>
                <w:color w:val="auto"/>
                <w:sz w:val="24"/>
                <w:szCs w:val="32"/>
              </w:rPr>
            </w:pPr>
            <w:r>
              <w:rPr>
                <w:rFonts w:hint="eastAsia" w:ascii="宋体" w:hAnsi="宋体" w:cs="宋体"/>
                <w:color w:val="auto"/>
                <w:sz w:val="24"/>
                <w:szCs w:val="32"/>
              </w:rPr>
              <w:t>1家</w:t>
            </w:r>
          </w:p>
        </w:tc>
        <w:tc>
          <w:tcPr>
            <w:tcW w:w="564" w:type="pct"/>
            <w:shd w:val="clear" w:color="auto" w:fill="auto"/>
            <w:vAlign w:val="center"/>
          </w:tcPr>
          <w:p w14:paraId="431AC2CE">
            <w:pPr>
              <w:suppressAutoHyphens/>
              <w:jc w:val="center"/>
              <w:rPr>
                <w:rFonts w:ascii="宋体" w:hAnsi="宋体" w:cs="宋体"/>
                <w:color w:val="auto"/>
                <w:sz w:val="24"/>
                <w:szCs w:val="32"/>
              </w:rPr>
            </w:pPr>
            <w:r>
              <w:rPr>
                <w:rFonts w:hint="eastAsia" w:ascii="宋体" w:hAnsi="宋体" w:cs="宋体"/>
                <w:color w:val="auto"/>
                <w:sz w:val="24"/>
                <w:szCs w:val="32"/>
              </w:rPr>
              <w:t>16</w:t>
            </w:r>
          </w:p>
        </w:tc>
      </w:tr>
      <w:tr w14:paraId="0CBC7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65" w:type="pct"/>
            <w:vMerge w:val="restart"/>
            <w:shd w:val="clear" w:color="auto" w:fill="auto"/>
            <w:vAlign w:val="center"/>
          </w:tcPr>
          <w:p w14:paraId="2530788F">
            <w:pPr>
              <w:suppressAutoHyphens/>
              <w:jc w:val="center"/>
              <w:rPr>
                <w:rFonts w:ascii="宋体" w:hAnsi="宋体" w:cs="宋体"/>
                <w:color w:val="000000"/>
                <w:sz w:val="24"/>
                <w:szCs w:val="32"/>
              </w:rPr>
            </w:pPr>
            <w:r>
              <w:rPr>
                <w:rFonts w:hint="eastAsia" w:ascii="宋体" w:hAnsi="宋体" w:cs="宋体"/>
                <w:color w:val="000000"/>
                <w:sz w:val="24"/>
                <w:szCs w:val="32"/>
              </w:rPr>
              <w:t>2</w:t>
            </w:r>
          </w:p>
        </w:tc>
        <w:tc>
          <w:tcPr>
            <w:tcW w:w="885" w:type="pct"/>
            <w:vMerge w:val="restart"/>
            <w:shd w:val="clear" w:color="auto" w:fill="auto"/>
            <w:vAlign w:val="center"/>
          </w:tcPr>
          <w:p w14:paraId="4F8DC56A">
            <w:pPr>
              <w:suppressAutoHyphens/>
              <w:jc w:val="center"/>
              <w:rPr>
                <w:rFonts w:ascii="宋体" w:hAnsi="宋体" w:cs="宋体"/>
                <w:color w:val="auto"/>
                <w:sz w:val="24"/>
                <w:szCs w:val="32"/>
              </w:rPr>
            </w:pPr>
            <w:r>
              <w:rPr>
                <w:rFonts w:hint="eastAsia" w:ascii="宋体" w:hAnsi="宋体" w:cs="宋体"/>
                <w:color w:val="auto"/>
                <w:sz w:val="24"/>
                <w:szCs w:val="32"/>
              </w:rPr>
              <w:t>2-面粉类</w:t>
            </w:r>
          </w:p>
        </w:tc>
        <w:tc>
          <w:tcPr>
            <w:tcW w:w="431" w:type="pct"/>
            <w:shd w:val="clear" w:color="auto" w:fill="auto"/>
            <w:vAlign w:val="center"/>
          </w:tcPr>
          <w:p w14:paraId="0CDB4795">
            <w:pPr>
              <w:suppressAutoHyphens/>
              <w:jc w:val="center"/>
              <w:rPr>
                <w:rFonts w:ascii="宋体" w:hAnsi="宋体" w:cs="宋体"/>
                <w:color w:val="auto"/>
                <w:sz w:val="24"/>
                <w:szCs w:val="32"/>
              </w:rPr>
            </w:pPr>
            <w:r>
              <w:rPr>
                <w:rFonts w:hint="eastAsia" w:ascii="宋体" w:hAnsi="宋体" w:cs="宋体"/>
                <w:color w:val="auto"/>
                <w:sz w:val="24"/>
                <w:szCs w:val="32"/>
              </w:rPr>
              <w:t>2-1</w:t>
            </w:r>
          </w:p>
        </w:tc>
        <w:tc>
          <w:tcPr>
            <w:tcW w:w="2306" w:type="pct"/>
            <w:shd w:val="clear" w:color="auto" w:fill="auto"/>
            <w:vAlign w:val="center"/>
          </w:tcPr>
          <w:p w14:paraId="5355CAF6">
            <w:pPr>
              <w:suppressAutoHyphens/>
              <w:jc w:val="center"/>
              <w:rPr>
                <w:rFonts w:ascii="宋体" w:hAnsi="宋体" w:cs="宋体"/>
                <w:color w:val="auto"/>
                <w:sz w:val="24"/>
                <w:szCs w:val="32"/>
              </w:rPr>
            </w:pPr>
            <w:r>
              <w:rPr>
                <w:rFonts w:hint="eastAsia" w:ascii="宋体" w:hAnsi="宋体" w:cs="宋体"/>
                <w:color w:val="auto"/>
                <w:sz w:val="24"/>
                <w:szCs w:val="32"/>
              </w:rPr>
              <w:t>富强粉、特精粉、超精粉</w:t>
            </w:r>
          </w:p>
        </w:tc>
        <w:tc>
          <w:tcPr>
            <w:tcW w:w="449" w:type="pct"/>
            <w:shd w:val="clear" w:color="auto" w:fill="auto"/>
            <w:vAlign w:val="center"/>
          </w:tcPr>
          <w:p w14:paraId="1D58232D">
            <w:pPr>
              <w:suppressAutoHyphens/>
              <w:jc w:val="center"/>
              <w:rPr>
                <w:rFonts w:ascii="宋体" w:hAnsi="宋体" w:cs="宋体"/>
                <w:color w:val="auto"/>
                <w:sz w:val="24"/>
                <w:szCs w:val="32"/>
              </w:rPr>
            </w:pPr>
            <w:r>
              <w:rPr>
                <w:rFonts w:hint="eastAsia" w:ascii="宋体" w:hAnsi="宋体" w:cs="宋体"/>
                <w:color w:val="auto"/>
                <w:sz w:val="24"/>
                <w:szCs w:val="32"/>
              </w:rPr>
              <w:t>1家</w:t>
            </w:r>
          </w:p>
        </w:tc>
        <w:tc>
          <w:tcPr>
            <w:tcW w:w="564" w:type="pct"/>
            <w:shd w:val="clear" w:color="auto" w:fill="auto"/>
            <w:vAlign w:val="center"/>
          </w:tcPr>
          <w:p w14:paraId="594A26B9">
            <w:pPr>
              <w:suppressAutoHyphens/>
              <w:jc w:val="center"/>
              <w:rPr>
                <w:rFonts w:ascii="宋体" w:hAnsi="宋体" w:cs="宋体"/>
                <w:color w:val="auto"/>
                <w:sz w:val="24"/>
                <w:szCs w:val="32"/>
              </w:rPr>
            </w:pPr>
            <w:r>
              <w:rPr>
                <w:rFonts w:hint="eastAsia" w:ascii="宋体" w:hAnsi="宋体" w:cs="宋体"/>
                <w:color w:val="auto"/>
                <w:sz w:val="24"/>
                <w:szCs w:val="32"/>
              </w:rPr>
              <w:t>90</w:t>
            </w:r>
          </w:p>
        </w:tc>
      </w:tr>
      <w:tr w14:paraId="18DF2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65" w:type="pct"/>
            <w:vMerge w:val="continue"/>
            <w:shd w:val="clear" w:color="auto" w:fill="auto"/>
            <w:vAlign w:val="center"/>
          </w:tcPr>
          <w:p w14:paraId="35EBCC9B">
            <w:pPr>
              <w:suppressAutoHyphens/>
              <w:jc w:val="center"/>
              <w:rPr>
                <w:rFonts w:ascii="宋体" w:hAnsi="宋体" w:cs="宋体"/>
                <w:color w:val="000000"/>
                <w:sz w:val="24"/>
                <w:szCs w:val="32"/>
              </w:rPr>
            </w:pPr>
          </w:p>
        </w:tc>
        <w:tc>
          <w:tcPr>
            <w:tcW w:w="885" w:type="pct"/>
            <w:vMerge w:val="continue"/>
            <w:shd w:val="clear" w:color="auto" w:fill="auto"/>
            <w:vAlign w:val="center"/>
          </w:tcPr>
          <w:p w14:paraId="32151A0C">
            <w:pPr>
              <w:suppressAutoHyphens/>
              <w:jc w:val="center"/>
              <w:rPr>
                <w:rFonts w:ascii="宋体" w:hAnsi="宋体" w:cs="宋体"/>
                <w:color w:val="auto"/>
                <w:sz w:val="24"/>
                <w:szCs w:val="32"/>
              </w:rPr>
            </w:pPr>
          </w:p>
        </w:tc>
        <w:tc>
          <w:tcPr>
            <w:tcW w:w="431" w:type="pct"/>
            <w:shd w:val="clear" w:color="auto" w:fill="auto"/>
            <w:vAlign w:val="center"/>
          </w:tcPr>
          <w:p w14:paraId="6E94F9A0">
            <w:pPr>
              <w:suppressAutoHyphens/>
              <w:jc w:val="center"/>
              <w:rPr>
                <w:rFonts w:ascii="宋体" w:hAnsi="宋体" w:cs="宋体"/>
                <w:color w:val="auto"/>
                <w:sz w:val="24"/>
                <w:szCs w:val="32"/>
              </w:rPr>
            </w:pPr>
            <w:r>
              <w:rPr>
                <w:rFonts w:hint="eastAsia" w:ascii="宋体" w:hAnsi="宋体" w:cs="宋体"/>
                <w:color w:val="auto"/>
                <w:sz w:val="24"/>
                <w:szCs w:val="32"/>
              </w:rPr>
              <w:t>2-2</w:t>
            </w:r>
          </w:p>
        </w:tc>
        <w:tc>
          <w:tcPr>
            <w:tcW w:w="2306" w:type="pct"/>
            <w:shd w:val="clear" w:color="auto" w:fill="auto"/>
            <w:vAlign w:val="center"/>
          </w:tcPr>
          <w:p w14:paraId="643962F6">
            <w:pPr>
              <w:suppressAutoHyphens/>
              <w:jc w:val="center"/>
              <w:rPr>
                <w:rFonts w:ascii="宋体" w:hAnsi="宋体" w:cs="宋体"/>
                <w:color w:val="auto"/>
                <w:sz w:val="24"/>
                <w:szCs w:val="32"/>
              </w:rPr>
            </w:pPr>
            <w:r>
              <w:rPr>
                <w:rFonts w:hint="eastAsia" w:ascii="宋体" w:hAnsi="宋体" w:cs="宋体"/>
                <w:color w:val="auto"/>
                <w:sz w:val="24"/>
                <w:szCs w:val="32"/>
              </w:rPr>
              <w:t>富强粉、特精粉、超精粉</w:t>
            </w:r>
          </w:p>
        </w:tc>
        <w:tc>
          <w:tcPr>
            <w:tcW w:w="449" w:type="pct"/>
            <w:shd w:val="clear" w:color="auto" w:fill="auto"/>
            <w:vAlign w:val="center"/>
          </w:tcPr>
          <w:p w14:paraId="089670AE">
            <w:pPr>
              <w:suppressAutoHyphens/>
              <w:jc w:val="center"/>
              <w:rPr>
                <w:rFonts w:ascii="宋体" w:hAnsi="宋体" w:cs="宋体"/>
                <w:color w:val="auto"/>
                <w:sz w:val="24"/>
                <w:szCs w:val="32"/>
              </w:rPr>
            </w:pPr>
            <w:r>
              <w:rPr>
                <w:rFonts w:hint="eastAsia" w:ascii="宋体" w:hAnsi="宋体" w:cs="宋体"/>
                <w:color w:val="auto"/>
                <w:sz w:val="24"/>
                <w:szCs w:val="32"/>
              </w:rPr>
              <w:t>1家</w:t>
            </w:r>
          </w:p>
        </w:tc>
        <w:tc>
          <w:tcPr>
            <w:tcW w:w="564" w:type="pct"/>
            <w:shd w:val="clear" w:color="auto" w:fill="auto"/>
            <w:vAlign w:val="center"/>
          </w:tcPr>
          <w:p w14:paraId="0E6D799D">
            <w:pPr>
              <w:suppressAutoHyphens/>
              <w:jc w:val="center"/>
              <w:rPr>
                <w:rFonts w:ascii="宋体" w:hAnsi="宋体" w:cs="宋体"/>
                <w:color w:val="auto"/>
                <w:sz w:val="24"/>
                <w:szCs w:val="32"/>
              </w:rPr>
            </w:pPr>
            <w:r>
              <w:rPr>
                <w:rFonts w:hint="eastAsia" w:ascii="宋体" w:hAnsi="宋体" w:cs="宋体"/>
                <w:color w:val="auto"/>
                <w:sz w:val="24"/>
                <w:szCs w:val="32"/>
              </w:rPr>
              <w:t>60</w:t>
            </w:r>
          </w:p>
        </w:tc>
      </w:tr>
      <w:tr w14:paraId="265DE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65" w:type="pct"/>
            <w:shd w:val="clear" w:color="auto" w:fill="auto"/>
            <w:vAlign w:val="center"/>
          </w:tcPr>
          <w:p w14:paraId="4470CECC">
            <w:pPr>
              <w:suppressAutoHyphens/>
              <w:jc w:val="center"/>
              <w:rPr>
                <w:rFonts w:ascii="宋体" w:hAnsi="宋体" w:cs="宋体"/>
                <w:color w:val="000000"/>
                <w:sz w:val="24"/>
                <w:szCs w:val="32"/>
              </w:rPr>
            </w:pPr>
            <w:r>
              <w:rPr>
                <w:rFonts w:hint="eastAsia" w:ascii="宋体" w:hAnsi="宋体" w:cs="宋体"/>
                <w:color w:val="000000"/>
                <w:sz w:val="24"/>
                <w:szCs w:val="32"/>
              </w:rPr>
              <w:t>3</w:t>
            </w:r>
          </w:p>
        </w:tc>
        <w:tc>
          <w:tcPr>
            <w:tcW w:w="885" w:type="pct"/>
            <w:shd w:val="clear" w:color="auto" w:fill="auto"/>
            <w:vAlign w:val="center"/>
          </w:tcPr>
          <w:p w14:paraId="36BA44F2">
            <w:pPr>
              <w:suppressAutoHyphens/>
              <w:jc w:val="center"/>
              <w:rPr>
                <w:rFonts w:ascii="宋体" w:hAnsi="宋体" w:cs="宋体"/>
                <w:color w:val="auto"/>
                <w:sz w:val="24"/>
                <w:szCs w:val="32"/>
                <w:highlight w:val="none"/>
              </w:rPr>
            </w:pPr>
            <w:r>
              <w:rPr>
                <w:rFonts w:hint="eastAsia" w:ascii="宋体" w:hAnsi="宋体" w:cs="宋体"/>
                <w:color w:val="auto"/>
                <w:sz w:val="24"/>
                <w:szCs w:val="32"/>
                <w:highlight w:val="none"/>
              </w:rPr>
              <w:t>3-食用油</w:t>
            </w:r>
          </w:p>
        </w:tc>
        <w:tc>
          <w:tcPr>
            <w:tcW w:w="431" w:type="pct"/>
            <w:shd w:val="clear" w:color="auto" w:fill="auto"/>
            <w:vAlign w:val="center"/>
          </w:tcPr>
          <w:p w14:paraId="22F3D3C7">
            <w:pPr>
              <w:suppressAutoHyphens/>
              <w:jc w:val="center"/>
              <w:rPr>
                <w:rFonts w:ascii="宋体" w:hAnsi="宋体" w:cs="宋体"/>
                <w:color w:val="auto"/>
                <w:sz w:val="24"/>
                <w:szCs w:val="32"/>
                <w:highlight w:val="none"/>
              </w:rPr>
            </w:pPr>
            <w:r>
              <w:rPr>
                <w:rFonts w:hint="eastAsia" w:ascii="宋体" w:hAnsi="宋体" w:cs="宋体"/>
                <w:color w:val="auto"/>
                <w:sz w:val="24"/>
                <w:szCs w:val="32"/>
                <w:highlight w:val="none"/>
              </w:rPr>
              <w:t>3-1</w:t>
            </w:r>
          </w:p>
        </w:tc>
        <w:tc>
          <w:tcPr>
            <w:tcW w:w="2306" w:type="pct"/>
            <w:shd w:val="clear" w:color="auto" w:fill="auto"/>
            <w:vAlign w:val="center"/>
          </w:tcPr>
          <w:p w14:paraId="7F10474A">
            <w:pPr>
              <w:suppressAutoHyphens/>
              <w:jc w:val="center"/>
              <w:rPr>
                <w:rFonts w:ascii="宋体" w:hAnsi="宋体" w:cs="宋体"/>
                <w:color w:val="auto"/>
                <w:sz w:val="24"/>
                <w:szCs w:val="32"/>
                <w:highlight w:val="none"/>
              </w:rPr>
            </w:pPr>
            <w:r>
              <w:rPr>
                <w:rFonts w:hint="eastAsia" w:ascii="宋体" w:hAnsi="宋体" w:cs="宋体"/>
                <w:color w:val="auto"/>
                <w:sz w:val="24"/>
                <w:szCs w:val="32"/>
                <w:highlight w:val="none"/>
              </w:rPr>
              <w:t>大豆油</w:t>
            </w:r>
          </w:p>
        </w:tc>
        <w:tc>
          <w:tcPr>
            <w:tcW w:w="449" w:type="pct"/>
            <w:shd w:val="clear" w:color="auto" w:fill="auto"/>
            <w:vAlign w:val="center"/>
          </w:tcPr>
          <w:p w14:paraId="2E8BE575">
            <w:pPr>
              <w:suppressAutoHyphens/>
              <w:jc w:val="center"/>
              <w:rPr>
                <w:rFonts w:ascii="宋体" w:hAnsi="宋体" w:cs="宋体"/>
                <w:color w:val="auto"/>
                <w:sz w:val="24"/>
                <w:szCs w:val="32"/>
                <w:highlight w:val="none"/>
              </w:rPr>
            </w:pPr>
            <w:r>
              <w:rPr>
                <w:rFonts w:hint="eastAsia" w:ascii="宋体" w:hAnsi="宋体" w:cs="宋体"/>
                <w:color w:val="auto"/>
                <w:sz w:val="24"/>
                <w:szCs w:val="32"/>
                <w:highlight w:val="none"/>
              </w:rPr>
              <w:t>1家</w:t>
            </w:r>
          </w:p>
        </w:tc>
        <w:tc>
          <w:tcPr>
            <w:tcW w:w="564" w:type="pct"/>
            <w:shd w:val="clear" w:color="auto" w:fill="auto"/>
            <w:vAlign w:val="center"/>
          </w:tcPr>
          <w:p w14:paraId="47EE91D8">
            <w:pPr>
              <w:suppressAutoHyphens/>
              <w:jc w:val="center"/>
              <w:rPr>
                <w:rFonts w:ascii="宋体" w:hAnsi="宋体" w:cs="宋体"/>
                <w:color w:val="auto"/>
                <w:sz w:val="24"/>
                <w:szCs w:val="32"/>
                <w:highlight w:val="none"/>
              </w:rPr>
            </w:pPr>
            <w:r>
              <w:rPr>
                <w:rFonts w:hint="eastAsia" w:ascii="宋体" w:hAnsi="宋体" w:cs="宋体"/>
                <w:color w:val="auto"/>
                <w:sz w:val="24"/>
                <w:szCs w:val="32"/>
                <w:highlight w:val="none"/>
              </w:rPr>
              <w:t>160</w:t>
            </w:r>
          </w:p>
        </w:tc>
      </w:tr>
      <w:tr w14:paraId="750FC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65" w:type="pct"/>
            <w:vMerge w:val="restart"/>
            <w:shd w:val="clear" w:color="auto" w:fill="auto"/>
            <w:vAlign w:val="center"/>
          </w:tcPr>
          <w:p w14:paraId="7C15EF27">
            <w:pPr>
              <w:suppressAutoHyphens/>
              <w:jc w:val="center"/>
              <w:rPr>
                <w:rFonts w:ascii="宋体" w:hAnsi="宋体" w:cs="宋体"/>
                <w:color w:val="000000"/>
                <w:sz w:val="24"/>
                <w:szCs w:val="32"/>
              </w:rPr>
            </w:pPr>
            <w:r>
              <w:rPr>
                <w:rFonts w:hint="eastAsia" w:ascii="宋体" w:hAnsi="宋体" w:cs="宋体"/>
                <w:color w:val="000000"/>
                <w:sz w:val="24"/>
                <w:szCs w:val="32"/>
              </w:rPr>
              <w:t>5</w:t>
            </w:r>
          </w:p>
        </w:tc>
        <w:tc>
          <w:tcPr>
            <w:tcW w:w="885" w:type="pct"/>
            <w:vMerge w:val="restart"/>
            <w:shd w:val="clear" w:color="auto" w:fill="auto"/>
            <w:vAlign w:val="center"/>
          </w:tcPr>
          <w:p w14:paraId="70849843">
            <w:pPr>
              <w:suppressAutoHyphens/>
              <w:jc w:val="center"/>
              <w:rPr>
                <w:rFonts w:ascii="宋体" w:hAnsi="宋体" w:cs="宋体"/>
                <w:color w:val="auto"/>
                <w:sz w:val="24"/>
                <w:szCs w:val="32"/>
              </w:rPr>
            </w:pPr>
            <w:r>
              <w:rPr>
                <w:rFonts w:hint="eastAsia" w:ascii="宋体" w:hAnsi="宋体" w:cs="宋体"/>
                <w:color w:val="auto"/>
                <w:sz w:val="24"/>
                <w:szCs w:val="32"/>
              </w:rPr>
              <w:t>5-蛋类</w:t>
            </w:r>
          </w:p>
        </w:tc>
        <w:tc>
          <w:tcPr>
            <w:tcW w:w="431" w:type="pct"/>
            <w:shd w:val="clear" w:color="auto" w:fill="auto"/>
            <w:vAlign w:val="center"/>
          </w:tcPr>
          <w:p w14:paraId="29D22E2A">
            <w:pPr>
              <w:suppressAutoHyphens/>
              <w:jc w:val="center"/>
              <w:rPr>
                <w:rFonts w:ascii="宋体" w:hAnsi="宋体" w:cs="宋体"/>
                <w:color w:val="auto"/>
                <w:sz w:val="24"/>
                <w:szCs w:val="32"/>
              </w:rPr>
            </w:pPr>
            <w:r>
              <w:rPr>
                <w:rFonts w:hint="eastAsia" w:ascii="宋体" w:hAnsi="宋体" w:cs="宋体"/>
                <w:color w:val="auto"/>
                <w:sz w:val="24"/>
                <w:szCs w:val="32"/>
              </w:rPr>
              <w:t>5-1</w:t>
            </w:r>
          </w:p>
        </w:tc>
        <w:tc>
          <w:tcPr>
            <w:tcW w:w="2306" w:type="pct"/>
            <w:shd w:val="clear" w:color="auto" w:fill="auto"/>
            <w:vAlign w:val="center"/>
          </w:tcPr>
          <w:p w14:paraId="7F41C36A">
            <w:pPr>
              <w:suppressAutoHyphens/>
              <w:jc w:val="center"/>
              <w:rPr>
                <w:rFonts w:ascii="宋体" w:hAnsi="宋体" w:cs="宋体"/>
                <w:color w:val="auto"/>
                <w:sz w:val="24"/>
                <w:szCs w:val="32"/>
              </w:rPr>
            </w:pPr>
            <w:r>
              <w:rPr>
                <w:rFonts w:hint="eastAsia" w:ascii="宋体" w:hAnsi="宋体" w:cs="宋体"/>
                <w:color w:val="auto"/>
                <w:sz w:val="24"/>
                <w:szCs w:val="32"/>
              </w:rPr>
              <w:t>鲜鸡蛋、鹌鹑蛋、松花蛋等</w:t>
            </w:r>
          </w:p>
        </w:tc>
        <w:tc>
          <w:tcPr>
            <w:tcW w:w="449" w:type="pct"/>
            <w:shd w:val="clear" w:color="auto" w:fill="auto"/>
            <w:vAlign w:val="center"/>
          </w:tcPr>
          <w:p w14:paraId="18F2C8A0">
            <w:pPr>
              <w:suppressAutoHyphens/>
              <w:jc w:val="center"/>
              <w:rPr>
                <w:rFonts w:ascii="宋体" w:hAnsi="宋体" w:cs="宋体"/>
                <w:color w:val="auto"/>
                <w:sz w:val="24"/>
                <w:szCs w:val="32"/>
              </w:rPr>
            </w:pPr>
            <w:r>
              <w:rPr>
                <w:rFonts w:hint="eastAsia" w:ascii="宋体" w:hAnsi="宋体" w:cs="宋体"/>
                <w:color w:val="auto"/>
                <w:sz w:val="24"/>
                <w:szCs w:val="32"/>
              </w:rPr>
              <w:t>1家</w:t>
            </w:r>
          </w:p>
        </w:tc>
        <w:tc>
          <w:tcPr>
            <w:tcW w:w="564" w:type="pct"/>
            <w:shd w:val="clear" w:color="auto" w:fill="auto"/>
            <w:vAlign w:val="center"/>
          </w:tcPr>
          <w:p w14:paraId="35075334">
            <w:pPr>
              <w:suppressAutoHyphens/>
              <w:jc w:val="center"/>
              <w:rPr>
                <w:rFonts w:ascii="宋体" w:hAnsi="宋体" w:cs="宋体"/>
                <w:color w:val="auto"/>
                <w:sz w:val="24"/>
                <w:szCs w:val="32"/>
              </w:rPr>
            </w:pPr>
            <w:r>
              <w:rPr>
                <w:rFonts w:hint="eastAsia" w:ascii="宋体" w:hAnsi="宋体" w:cs="宋体"/>
                <w:color w:val="auto"/>
                <w:sz w:val="24"/>
                <w:szCs w:val="32"/>
              </w:rPr>
              <w:t>244</w:t>
            </w:r>
          </w:p>
        </w:tc>
      </w:tr>
      <w:tr w14:paraId="1568B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65" w:type="pct"/>
            <w:vMerge w:val="continue"/>
            <w:shd w:val="clear" w:color="auto" w:fill="auto"/>
            <w:vAlign w:val="center"/>
          </w:tcPr>
          <w:p w14:paraId="79E23849">
            <w:pPr>
              <w:suppressAutoHyphens/>
              <w:jc w:val="center"/>
              <w:rPr>
                <w:rFonts w:ascii="宋体" w:hAnsi="宋体" w:cs="宋体"/>
                <w:color w:val="000000"/>
                <w:sz w:val="24"/>
                <w:szCs w:val="32"/>
              </w:rPr>
            </w:pPr>
          </w:p>
        </w:tc>
        <w:tc>
          <w:tcPr>
            <w:tcW w:w="885" w:type="pct"/>
            <w:vMerge w:val="continue"/>
            <w:shd w:val="clear" w:color="auto" w:fill="auto"/>
            <w:vAlign w:val="center"/>
          </w:tcPr>
          <w:p w14:paraId="76963131">
            <w:pPr>
              <w:suppressAutoHyphens/>
              <w:jc w:val="center"/>
              <w:rPr>
                <w:rFonts w:ascii="宋体" w:hAnsi="宋体" w:cs="宋体"/>
                <w:color w:val="auto"/>
                <w:sz w:val="24"/>
                <w:szCs w:val="32"/>
              </w:rPr>
            </w:pPr>
          </w:p>
        </w:tc>
        <w:tc>
          <w:tcPr>
            <w:tcW w:w="431" w:type="pct"/>
            <w:shd w:val="clear" w:color="auto" w:fill="auto"/>
            <w:vAlign w:val="center"/>
          </w:tcPr>
          <w:p w14:paraId="7AEA1B8F">
            <w:pPr>
              <w:suppressAutoHyphens/>
              <w:jc w:val="center"/>
              <w:rPr>
                <w:rFonts w:ascii="宋体" w:hAnsi="宋体" w:cs="宋体"/>
                <w:color w:val="auto"/>
                <w:sz w:val="24"/>
                <w:szCs w:val="32"/>
              </w:rPr>
            </w:pPr>
            <w:r>
              <w:rPr>
                <w:rFonts w:hint="eastAsia" w:ascii="宋体" w:hAnsi="宋体" w:cs="宋体"/>
                <w:color w:val="auto"/>
                <w:sz w:val="24"/>
                <w:szCs w:val="32"/>
              </w:rPr>
              <w:t>5-2</w:t>
            </w:r>
          </w:p>
        </w:tc>
        <w:tc>
          <w:tcPr>
            <w:tcW w:w="2306" w:type="pct"/>
            <w:shd w:val="clear" w:color="auto" w:fill="auto"/>
            <w:vAlign w:val="center"/>
          </w:tcPr>
          <w:p w14:paraId="02303969">
            <w:pPr>
              <w:suppressAutoHyphens/>
              <w:jc w:val="center"/>
              <w:rPr>
                <w:rFonts w:ascii="宋体" w:hAnsi="宋体" w:cs="宋体"/>
                <w:color w:val="auto"/>
                <w:sz w:val="24"/>
                <w:szCs w:val="32"/>
              </w:rPr>
            </w:pPr>
            <w:r>
              <w:rPr>
                <w:rFonts w:hint="eastAsia" w:ascii="宋体" w:hAnsi="宋体" w:cs="宋体"/>
                <w:color w:val="auto"/>
                <w:sz w:val="24"/>
                <w:szCs w:val="32"/>
              </w:rPr>
              <w:t>鲜鸡蛋、鹌鹑蛋、松花蛋等</w:t>
            </w:r>
          </w:p>
        </w:tc>
        <w:tc>
          <w:tcPr>
            <w:tcW w:w="449" w:type="pct"/>
            <w:shd w:val="clear" w:color="auto" w:fill="auto"/>
            <w:vAlign w:val="center"/>
          </w:tcPr>
          <w:p w14:paraId="0F171962">
            <w:pPr>
              <w:suppressAutoHyphens/>
              <w:jc w:val="center"/>
              <w:rPr>
                <w:rFonts w:ascii="宋体" w:hAnsi="宋体" w:cs="宋体"/>
                <w:color w:val="auto"/>
                <w:sz w:val="24"/>
                <w:szCs w:val="32"/>
              </w:rPr>
            </w:pPr>
            <w:r>
              <w:rPr>
                <w:rFonts w:hint="eastAsia" w:ascii="宋体" w:hAnsi="宋体" w:cs="宋体"/>
                <w:color w:val="auto"/>
                <w:sz w:val="24"/>
                <w:szCs w:val="32"/>
              </w:rPr>
              <w:t>1家</w:t>
            </w:r>
          </w:p>
        </w:tc>
        <w:tc>
          <w:tcPr>
            <w:tcW w:w="564" w:type="pct"/>
            <w:shd w:val="clear" w:color="auto" w:fill="auto"/>
            <w:vAlign w:val="center"/>
          </w:tcPr>
          <w:p w14:paraId="04358CD7">
            <w:pPr>
              <w:suppressAutoHyphens/>
              <w:jc w:val="center"/>
              <w:rPr>
                <w:rFonts w:ascii="宋体" w:hAnsi="宋体" w:cs="宋体"/>
                <w:color w:val="auto"/>
                <w:sz w:val="24"/>
                <w:szCs w:val="32"/>
              </w:rPr>
            </w:pPr>
            <w:r>
              <w:rPr>
                <w:rFonts w:hint="eastAsia" w:ascii="宋体" w:hAnsi="宋体" w:cs="宋体"/>
                <w:color w:val="auto"/>
                <w:sz w:val="24"/>
                <w:szCs w:val="32"/>
              </w:rPr>
              <w:t>122</w:t>
            </w:r>
          </w:p>
        </w:tc>
      </w:tr>
      <w:tr w14:paraId="3C414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65" w:type="pct"/>
            <w:vMerge w:val="continue"/>
            <w:shd w:val="clear" w:color="auto" w:fill="auto"/>
            <w:vAlign w:val="center"/>
          </w:tcPr>
          <w:p w14:paraId="6E05A496">
            <w:pPr>
              <w:suppressAutoHyphens/>
              <w:jc w:val="center"/>
              <w:rPr>
                <w:rFonts w:ascii="宋体" w:hAnsi="宋体" w:cs="宋体"/>
                <w:color w:val="000000"/>
                <w:sz w:val="24"/>
                <w:szCs w:val="32"/>
              </w:rPr>
            </w:pPr>
          </w:p>
        </w:tc>
        <w:tc>
          <w:tcPr>
            <w:tcW w:w="885" w:type="pct"/>
            <w:vMerge w:val="continue"/>
            <w:shd w:val="clear" w:color="auto" w:fill="auto"/>
            <w:vAlign w:val="center"/>
          </w:tcPr>
          <w:p w14:paraId="6987F897">
            <w:pPr>
              <w:suppressAutoHyphens/>
              <w:jc w:val="center"/>
              <w:rPr>
                <w:rFonts w:ascii="宋体" w:hAnsi="宋体" w:cs="宋体"/>
                <w:color w:val="auto"/>
                <w:sz w:val="24"/>
                <w:szCs w:val="32"/>
              </w:rPr>
            </w:pPr>
          </w:p>
        </w:tc>
        <w:tc>
          <w:tcPr>
            <w:tcW w:w="431" w:type="pct"/>
            <w:shd w:val="clear" w:color="auto" w:fill="auto"/>
            <w:vAlign w:val="center"/>
          </w:tcPr>
          <w:p w14:paraId="20589A7D">
            <w:pPr>
              <w:suppressAutoHyphens/>
              <w:jc w:val="center"/>
              <w:rPr>
                <w:rFonts w:ascii="宋体" w:hAnsi="宋体" w:cs="宋体"/>
                <w:color w:val="auto"/>
                <w:sz w:val="24"/>
                <w:szCs w:val="32"/>
              </w:rPr>
            </w:pPr>
            <w:r>
              <w:rPr>
                <w:rFonts w:hint="eastAsia" w:ascii="宋体" w:hAnsi="宋体" w:cs="宋体"/>
                <w:color w:val="auto"/>
                <w:sz w:val="24"/>
                <w:szCs w:val="32"/>
              </w:rPr>
              <w:t>5-3</w:t>
            </w:r>
          </w:p>
        </w:tc>
        <w:tc>
          <w:tcPr>
            <w:tcW w:w="2306" w:type="pct"/>
            <w:shd w:val="clear" w:color="auto" w:fill="auto"/>
            <w:vAlign w:val="center"/>
          </w:tcPr>
          <w:p w14:paraId="022B7AE4">
            <w:pPr>
              <w:suppressAutoHyphens/>
              <w:jc w:val="center"/>
              <w:rPr>
                <w:rFonts w:ascii="宋体" w:hAnsi="宋体" w:cs="宋体"/>
                <w:color w:val="auto"/>
                <w:sz w:val="24"/>
                <w:szCs w:val="32"/>
              </w:rPr>
            </w:pPr>
            <w:r>
              <w:rPr>
                <w:rFonts w:hint="eastAsia" w:ascii="宋体" w:hAnsi="宋体" w:cs="宋体"/>
                <w:color w:val="auto"/>
                <w:sz w:val="24"/>
                <w:szCs w:val="32"/>
              </w:rPr>
              <w:t>鲜鸡蛋、鹌鹑蛋、松花蛋等</w:t>
            </w:r>
          </w:p>
        </w:tc>
        <w:tc>
          <w:tcPr>
            <w:tcW w:w="449" w:type="pct"/>
            <w:shd w:val="clear" w:color="auto" w:fill="auto"/>
            <w:vAlign w:val="center"/>
          </w:tcPr>
          <w:p w14:paraId="59162942">
            <w:pPr>
              <w:suppressAutoHyphens/>
              <w:jc w:val="center"/>
              <w:rPr>
                <w:rFonts w:ascii="宋体" w:hAnsi="宋体" w:cs="宋体"/>
                <w:color w:val="auto"/>
                <w:sz w:val="24"/>
                <w:szCs w:val="32"/>
              </w:rPr>
            </w:pPr>
            <w:r>
              <w:rPr>
                <w:rFonts w:hint="eastAsia" w:ascii="宋体" w:hAnsi="宋体" w:cs="宋体"/>
                <w:color w:val="auto"/>
                <w:sz w:val="24"/>
                <w:szCs w:val="32"/>
              </w:rPr>
              <w:t>1家</w:t>
            </w:r>
          </w:p>
        </w:tc>
        <w:tc>
          <w:tcPr>
            <w:tcW w:w="564" w:type="pct"/>
            <w:shd w:val="clear" w:color="auto" w:fill="auto"/>
            <w:vAlign w:val="center"/>
          </w:tcPr>
          <w:p w14:paraId="4239BE2B">
            <w:pPr>
              <w:suppressAutoHyphens/>
              <w:jc w:val="center"/>
              <w:rPr>
                <w:rFonts w:ascii="宋体" w:hAnsi="宋体" w:cs="宋体"/>
                <w:color w:val="auto"/>
                <w:sz w:val="24"/>
                <w:szCs w:val="32"/>
              </w:rPr>
            </w:pPr>
            <w:r>
              <w:rPr>
                <w:rFonts w:hint="eastAsia" w:ascii="宋体" w:hAnsi="宋体" w:cs="宋体"/>
                <w:color w:val="auto"/>
                <w:sz w:val="24"/>
                <w:szCs w:val="32"/>
              </w:rPr>
              <w:t>40</w:t>
            </w:r>
          </w:p>
        </w:tc>
      </w:tr>
      <w:tr w14:paraId="5F938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65" w:type="pct"/>
            <w:vMerge w:val="restart"/>
            <w:shd w:val="clear" w:color="auto" w:fill="auto"/>
            <w:vAlign w:val="center"/>
          </w:tcPr>
          <w:p w14:paraId="2F10225D">
            <w:pPr>
              <w:suppressAutoHyphens/>
              <w:jc w:val="center"/>
              <w:rPr>
                <w:rFonts w:ascii="宋体" w:hAnsi="宋体" w:cs="宋体"/>
                <w:color w:val="000000"/>
                <w:sz w:val="24"/>
                <w:szCs w:val="32"/>
              </w:rPr>
            </w:pPr>
            <w:r>
              <w:rPr>
                <w:rFonts w:hint="eastAsia" w:ascii="宋体" w:hAnsi="宋体" w:cs="宋体"/>
                <w:color w:val="000000"/>
                <w:sz w:val="24"/>
                <w:szCs w:val="32"/>
              </w:rPr>
              <w:t>9</w:t>
            </w:r>
          </w:p>
        </w:tc>
        <w:tc>
          <w:tcPr>
            <w:tcW w:w="885" w:type="pct"/>
            <w:vMerge w:val="restart"/>
            <w:shd w:val="clear" w:color="auto" w:fill="auto"/>
            <w:vAlign w:val="center"/>
          </w:tcPr>
          <w:p w14:paraId="19030821">
            <w:pPr>
              <w:suppressAutoHyphens/>
              <w:jc w:val="center"/>
              <w:rPr>
                <w:rFonts w:ascii="宋体" w:hAnsi="宋体" w:cs="宋体"/>
                <w:color w:val="auto"/>
                <w:sz w:val="24"/>
                <w:szCs w:val="32"/>
              </w:rPr>
            </w:pPr>
            <w:r>
              <w:rPr>
                <w:rFonts w:hint="eastAsia" w:ascii="宋体" w:hAnsi="宋体" w:cs="宋体"/>
                <w:color w:val="auto"/>
                <w:sz w:val="24"/>
                <w:szCs w:val="32"/>
              </w:rPr>
              <w:t>9-蔬菜、水果类</w:t>
            </w:r>
          </w:p>
        </w:tc>
        <w:tc>
          <w:tcPr>
            <w:tcW w:w="431" w:type="pct"/>
            <w:shd w:val="clear" w:color="auto" w:fill="auto"/>
            <w:vAlign w:val="center"/>
          </w:tcPr>
          <w:p w14:paraId="245B9243">
            <w:pPr>
              <w:suppressAutoHyphens/>
              <w:jc w:val="center"/>
              <w:rPr>
                <w:rFonts w:ascii="宋体" w:hAnsi="宋体" w:cs="宋体"/>
                <w:color w:val="auto"/>
                <w:sz w:val="24"/>
                <w:szCs w:val="32"/>
              </w:rPr>
            </w:pPr>
            <w:r>
              <w:rPr>
                <w:rFonts w:hint="eastAsia" w:ascii="宋体" w:hAnsi="宋体" w:cs="宋体"/>
                <w:color w:val="auto"/>
                <w:sz w:val="24"/>
                <w:szCs w:val="32"/>
              </w:rPr>
              <w:t>9-1</w:t>
            </w:r>
          </w:p>
        </w:tc>
        <w:tc>
          <w:tcPr>
            <w:tcW w:w="2306" w:type="pct"/>
            <w:shd w:val="clear" w:color="auto" w:fill="auto"/>
            <w:vAlign w:val="center"/>
          </w:tcPr>
          <w:p w14:paraId="6806D7A0">
            <w:pPr>
              <w:suppressAutoHyphens/>
              <w:jc w:val="center"/>
              <w:rPr>
                <w:rFonts w:ascii="宋体" w:hAnsi="宋体" w:cs="宋体"/>
                <w:color w:val="auto"/>
                <w:sz w:val="24"/>
                <w:szCs w:val="32"/>
              </w:rPr>
            </w:pPr>
            <w:r>
              <w:rPr>
                <w:rFonts w:hint="eastAsia" w:ascii="宋体" w:hAnsi="宋体" w:cs="宋体"/>
                <w:color w:val="auto"/>
                <w:sz w:val="24"/>
                <w:szCs w:val="32"/>
              </w:rPr>
              <w:t>蔬菜、水果类（含加工菜、大众菜、菌类、水果）</w:t>
            </w:r>
          </w:p>
        </w:tc>
        <w:tc>
          <w:tcPr>
            <w:tcW w:w="449" w:type="pct"/>
            <w:shd w:val="clear" w:color="auto" w:fill="auto"/>
            <w:vAlign w:val="center"/>
          </w:tcPr>
          <w:p w14:paraId="698AF34F">
            <w:pPr>
              <w:suppressAutoHyphens/>
              <w:jc w:val="center"/>
              <w:rPr>
                <w:rFonts w:ascii="宋体" w:hAnsi="宋体" w:cs="宋体"/>
                <w:color w:val="auto"/>
                <w:sz w:val="24"/>
                <w:szCs w:val="32"/>
              </w:rPr>
            </w:pPr>
            <w:r>
              <w:rPr>
                <w:rFonts w:hint="eastAsia" w:ascii="宋体" w:hAnsi="宋体" w:cs="宋体"/>
                <w:color w:val="auto"/>
                <w:sz w:val="24"/>
                <w:szCs w:val="32"/>
              </w:rPr>
              <w:t>1家</w:t>
            </w:r>
          </w:p>
        </w:tc>
        <w:tc>
          <w:tcPr>
            <w:tcW w:w="564" w:type="pct"/>
            <w:shd w:val="clear" w:color="auto" w:fill="auto"/>
            <w:vAlign w:val="center"/>
          </w:tcPr>
          <w:p w14:paraId="12A503E8">
            <w:pPr>
              <w:suppressAutoHyphens/>
              <w:jc w:val="center"/>
              <w:rPr>
                <w:rFonts w:ascii="宋体" w:hAnsi="宋体" w:cs="宋体"/>
                <w:color w:val="auto"/>
                <w:sz w:val="24"/>
                <w:szCs w:val="32"/>
              </w:rPr>
            </w:pPr>
            <w:r>
              <w:rPr>
                <w:rFonts w:hint="eastAsia" w:ascii="宋体" w:hAnsi="宋体" w:cs="宋体"/>
                <w:color w:val="auto"/>
                <w:sz w:val="24"/>
                <w:szCs w:val="32"/>
              </w:rPr>
              <w:t>278</w:t>
            </w:r>
          </w:p>
        </w:tc>
      </w:tr>
      <w:tr w14:paraId="5180F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65" w:type="pct"/>
            <w:vMerge w:val="continue"/>
            <w:shd w:val="clear" w:color="auto" w:fill="auto"/>
            <w:vAlign w:val="center"/>
          </w:tcPr>
          <w:p w14:paraId="39740A2F">
            <w:pPr>
              <w:suppressAutoHyphens/>
              <w:jc w:val="center"/>
              <w:rPr>
                <w:rFonts w:ascii="宋体" w:hAnsi="宋体" w:cs="宋体"/>
                <w:color w:val="000000"/>
                <w:sz w:val="24"/>
                <w:szCs w:val="32"/>
              </w:rPr>
            </w:pPr>
          </w:p>
        </w:tc>
        <w:tc>
          <w:tcPr>
            <w:tcW w:w="885" w:type="pct"/>
            <w:vMerge w:val="continue"/>
            <w:shd w:val="clear" w:color="auto" w:fill="auto"/>
            <w:vAlign w:val="center"/>
          </w:tcPr>
          <w:p w14:paraId="33B792C1">
            <w:pPr>
              <w:suppressAutoHyphens/>
              <w:jc w:val="center"/>
              <w:rPr>
                <w:rFonts w:ascii="宋体" w:hAnsi="宋体" w:cs="宋体"/>
                <w:color w:val="auto"/>
                <w:sz w:val="24"/>
                <w:szCs w:val="32"/>
              </w:rPr>
            </w:pPr>
          </w:p>
        </w:tc>
        <w:tc>
          <w:tcPr>
            <w:tcW w:w="431" w:type="pct"/>
            <w:shd w:val="clear" w:color="auto" w:fill="auto"/>
            <w:vAlign w:val="center"/>
          </w:tcPr>
          <w:p w14:paraId="2485BC40">
            <w:pPr>
              <w:suppressAutoHyphens/>
              <w:jc w:val="center"/>
              <w:rPr>
                <w:rFonts w:ascii="宋体" w:hAnsi="宋体" w:cs="宋体"/>
                <w:color w:val="auto"/>
                <w:sz w:val="24"/>
                <w:szCs w:val="32"/>
              </w:rPr>
            </w:pPr>
            <w:r>
              <w:rPr>
                <w:rFonts w:hint="eastAsia" w:ascii="宋体" w:hAnsi="宋体" w:cs="宋体"/>
                <w:color w:val="auto"/>
                <w:sz w:val="24"/>
                <w:szCs w:val="32"/>
              </w:rPr>
              <w:t>9-2</w:t>
            </w:r>
          </w:p>
        </w:tc>
        <w:tc>
          <w:tcPr>
            <w:tcW w:w="2306" w:type="pct"/>
            <w:shd w:val="clear" w:color="auto" w:fill="auto"/>
            <w:vAlign w:val="center"/>
          </w:tcPr>
          <w:p w14:paraId="39939753">
            <w:pPr>
              <w:suppressAutoHyphens/>
              <w:jc w:val="center"/>
              <w:rPr>
                <w:rFonts w:ascii="宋体" w:hAnsi="宋体" w:cs="宋体"/>
                <w:color w:val="auto"/>
                <w:sz w:val="24"/>
                <w:szCs w:val="32"/>
              </w:rPr>
            </w:pPr>
            <w:r>
              <w:rPr>
                <w:rFonts w:hint="eastAsia" w:ascii="宋体" w:hAnsi="宋体" w:cs="宋体"/>
                <w:color w:val="auto"/>
                <w:sz w:val="24"/>
                <w:szCs w:val="32"/>
              </w:rPr>
              <w:t>蔬菜、水果类（含加工菜、大众菜、菌类、水果）</w:t>
            </w:r>
          </w:p>
        </w:tc>
        <w:tc>
          <w:tcPr>
            <w:tcW w:w="449" w:type="pct"/>
            <w:shd w:val="clear" w:color="auto" w:fill="auto"/>
            <w:vAlign w:val="center"/>
          </w:tcPr>
          <w:p w14:paraId="6E212E34">
            <w:pPr>
              <w:suppressAutoHyphens/>
              <w:jc w:val="center"/>
              <w:rPr>
                <w:rFonts w:ascii="宋体" w:hAnsi="宋体" w:cs="宋体"/>
                <w:color w:val="auto"/>
                <w:sz w:val="24"/>
                <w:szCs w:val="32"/>
              </w:rPr>
            </w:pPr>
            <w:r>
              <w:rPr>
                <w:rFonts w:hint="eastAsia" w:ascii="宋体" w:hAnsi="宋体" w:cs="宋体"/>
                <w:color w:val="auto"/>
                <w:sz w:val="24"/>
                <w:szCs w:val="32"/>
              </w:rPr>
              <w:t>1家</w:t>
            </w:r>
          </w:p>
        </w:tc>
        <w:tc>
          <w:tcPr>
            <w:tcW w:w="564" w:type="pct"/>
            <w:shd w:val="clear" w:color="auto" w:fill="auto"/>
            <w:vAlign w:val="center"/>
          </w:tcPr>
          <w:p w14:paraId="09F6860B">
            <w:pPr>
              <w:suppressAutoHyphens/>
              <w:jc w:val="center"/>
              <w:rPr>
                <w:rFonts w:ascii="宋体" w:hAnsi="宋体" w:cs="宋体"/>
                <w:color w:val="auto"/>
                <w:sz w:val="24"/>
                <w:szCs w:val="32"/>
              </w:rPr>
            </w:pPr>
            <w:r>
              <w:rPr>
                <w:rFonts w:hint="eastAsia" w:ascii="宋体" w:hAnsi="宋体" w:cs="宋体"/>
                <w:color w:val="auto"/>
                <w:sz w:val="24"/>
                <w:szCs w:val="32"/>
              </w:rPr>
              <w:t>208</w:t>
            </w:r>
          </w:p>
        </w:tc>
      </w:tr>
      <w:tr w14:paraId="11F1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65" w:type="pct"/>
            <w:vMerge w:val="continue"/>
            <w:shd w:val="clear" w:color="auto" w:fill="auto"/>
            <w:vAlign w:val="center"/>
          </w:tcPr>
          <w:p w14:paraId="5CC0CD5F">
            <w:pPr>
              <w:suppressAutoHyphens/>
              <w:jc w:val="center"/>
              <w:rPr>
                <w:rFonts w:ascii="宋体" w:hAnsi="宋体" w:cs="宋体"/>
                <w:color w:val="000000"/>
                <w:sz w:val="24"/>
                <w:szCs w:val="32"/>
              </w:rPr>
            </w:pPr>
          </w:p>
        </w:tc>
        <w:tc>
          <w:tcPr>
            <w:tcW w:w="885" w:type="pct"/>
            <w:vMerge w:val="continue"/>
            <w:shd w:val="clear" w:color="auto" w:fill="auto"/>
            <w:vAlign w:val="center"/>
          </w:tcPr>
          <w:p w14:paraId="6B939857">
            <w:pPr>
              <w:suppressAutoHyphens/>
              <w:jc w:val="center"/>
              <w:rPr>
                <w:rFonts w:ascii="宋体" w:hAnsi="宋体" w:cs="宋体"/>
                <w:color w:val="auto"/>
                <w:sz w:val="24"/>
                <w:szCs w:val="32"/>
              </w:rPr>
            </w:pPr>
          </w:p>
        </w:tc>
        <w:tc>
          <w:tcPr>
            <w:tcW w:w="431" w:type="pct"/>
            <w:shd w:val="clear" w:color="auto" w:fill="auto"/>
            <w:vAlign w:val="center"/>
          </w:tcPr>
          <w:p w14:paraId="184831DA">
            <w:pPr>
              <w:suppressAutoHyphens/>
              <w:jc w:val="center"/>
              <w:rPr>
                <w:rFonts w:ascii="宋体" w:hAnsi="宋体" w:cs="宋体"/>
                <w:color w:val="auto"/>
                <w:sz w:val="24"/>
                <w:szCs w:val="32"/>
              </w:rPr>
            </w:pPr>
            <w:r>
              <w:rPr>
                <w:rFonts w:hint="eastAsia" w:ascii="宋体" w:hAnsi="宋体" w:cs="宋体"/>
                <w:color w:val="auto"/>
                <w:sz w:val="24"/>
                <w:szCs w:val="32"/>
              </w:rPr>
              <w:t>9-3</w:t>
            </w:r>
          </w:p>
        </w:tc>
        <w:tc>
          <w:tcPr>
            <w:tcW w:w="2306" w:type="pct"/>
            <w:shd w:val="clear" w:color="auto" w:fill="auto"/>
            <w:vAlign w:val="center"/>
          </w:tcPr>
          <w:p w14:paraId="24AD2F92">
            <w:pPr>
              <w:suppressAutoHyphens/>
              <w:jc w:val="center"/>
              <w:rPr>
                <w:rFonts w:ascii="宋体" w:hAnsi="宋体" w:cs="宋体"/>
                <w:color w:val="auto"/>
                <w:sz w:val="24"/>
                <w:szCs w:val="32"/>
              </w:rPr>
            </w:pPr>
            <w:r>
              <w:rPr>
                <w:rFonts w:hint="eastAsia" w:ascii="宋体" w:hAnsi="宋体" w:cs="宋体"/>
                <w:color w:val="auto"/>
                <w:sz w:val="24"/>
                <w:szCs w:val="32"/>
              </w:rPr>
              <w:t>蔬菜、水果类（含加工菜、大众菜、菌类、水果）</w:t>
            </w:r>
          </w:p>
        </w:tc>
        <w:tc>
          <w:tcPr>
            <w:tcW w:w="449" w:type="pct"/>
            <w:shd w:val="clear" w:color="auto" w:fill="auto"/>
            <w:vAlign w:val="center"/>
          </w:tcPr>
          <w:p w14:paraId="2306B06F">
            <w:pPr>
              <w:suppressAutoHyphens/>
              <w:jc w:val="center"/>
              <w:rPr>
                <w:rFonts w:ascii="宋体" w:hAnsi="宋体" w:cs="宋体"/>
                <w:color w:val="auto"/>
                <w:sz w:val="24"/>
                <w:szCs w:val="32"/>
              </w:rPr>
            </w:pPr>
            <w:r>
              <w:rPr>
                <w:rFonts w:hint="eastAsia" w:ascii="宋体" w:hAnsi="宋体" w:cs="宋体"/>
                <w:color w:val="auto"/>
                <w:sz w:val="24"/>
                <w:szCs w:val="32"/>
              </w:rPr>
              <w:t>1家</w:t>
            </w:r>
          </w:p>
        </w:tc>
        <w:tc>
          <w:tcPr>
            <w:tcW w:w="564" w:type="pct"/>
            <w:shd w:val="clear" w:color="auto" w:fill="auto"/>
            <w:vAlign w:val="center"/>
          </w:tcPr>
          <w:p w14:paraId="52AB553C">
            <w:pPr>
              <w:suppressAutoHyphens/>
              <w:jc w:val="center"/>
              <w:rPr>
                <w:rFonts w:ascii="宋体" w:hAnsi="宋体" w:cs="宋体"/>
                <w:color w:val="auto"/>
                <w:sz w:val="24"/>
                <w:szCs w:val="32"/>
              </w:rPr>
            </w:pPr>
            <w:r>
              <w:rPr>
                <w:rFonts w:hint="eastAsia" w:ascii="宋体" w:hAnsi="宋体" w:cs="宋体"/>
                <w:color w:val="auto"/>
                <w:sz w:val="24"/>
                <w:szCs w:val="32"/>
              </w:rPr>
              <w:t>139</w:t>
            </w:r>
          </w:p>
        </w:tc>
      </w:tr>
      <w:tr w14:paraId="1536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65" w:type="pct"/>
            <w:vMerge w:val="continue"/>
            <w:shd w:val="clear" w:color="auto" w:fill="auto"/>
            <w:vAlign w:val="center"/>
          </w:tcPr>
          <w:p w14:paraId="0272E950">
            <w:pPr>
              <w:suppressAutoHyphens/>
              <w:jc w:val="center"/>
              <w:rPr>
                <w:rFonts w:ascii="宋体" w:hAnsi="宋体" w:cs="宋体"/>
                <w:color w:val="000000"/>
                <w:sz w:val="24"/>
                <w:szCs w:val="32"/>
              </w:rPr>
            </w:pPr>
          </w:p>
        </w:tc>
        <w:tc>
          <w:tcPr>
            <w:tcW w:w="885" w:type="pct"/>
            <w:vMerge w:val="continue"/>
            <w:shd w:val="clear" w:color="auto" w:fill="auto"/>
            <w:vAlign w:val="center"/>
          </w:tcPr>
          <w:p w14:paraId="0D6D4A61">
            <w:pPr>
              <w:suppressAutoHyphens/>
              <w:jc w:val="center"/>
              <w:rPr>
                <w:rFonts w:ascii="宋体" w:hAnsi="宋体" w:cs="宋体"/>
                <w:color w:val="auto"/>
                <w:sz w:val="24"/>
                <w:szCs w:val="32"/>
              </w:rPr>
            </w:pPr>
          </w:p>
        </w:tc>
        <w:tc>
          <w:tcPr>
            <w:tcW w:w="431" w:type="pct"/>
            <w:shd w:val="clear" w:color="auto" w:fill="auto"/>
            <w:vAlign w:val="center"/>
          </w:tcPr>
          <w:p w14:paraId="34CB1414">
            <w:pPr>
              <w:suppressAutoHyphens/>
              <w:jc w:val="center"/>
              <w:rPr>
                <w:rFonts w:ascii="宋体" w:hAnsi="宋体" w:cs="宋体"/>
                <w:color w:val="auto"/>
                <w:sz w:val="24"/>
                <w:szCs w:val="32"/>
              </w:rPr>
            </w:pPr>
            <w:r>
              <w:rPr>
                <w:rFonts w:hint="eastAsia" w:ascii="宋体" w:hAnsi="宋体" w:cs="宋体"/>
                <w:color w:val="auto"/>
                <w:sz w:val="24"/>
                <w:szCs w:val="32"/>
              </w:rPr>
              <w:t>9-4</w:t>
            </w:r>
          </w:p>
        </w:tc>
        <w:tc>
          <w:tcPr>
            <w:tcW w:w="2306" w:type="pct"/>
            <w:shd w:val="clear" w:color="auto" w:fill="auto"/>
            <w:vAlign w:val="center"/>
          </w:tcPr>
          <w:p w14:paraId="6DCE0D84">
            <w:pPr>
              <w:suppressAutoHyphens/>
              <w:jc w:val="center"/>
              <w:rPr>
                <w:rFonts w:ascii="宋体" w:hAnsi="宋体" w:cs="宋体"/>
                <w:color w:val="auto"/>
                <w:sz w:val="24"/>
                <w:szCs w:val="32"/>
              </w:rPr>
            </w:pPr>
            <w:r>
              <w:rPr>
                <w:rFonts w:hint="eastAsia" w:ascii="宋体" w:hAnsi="宋体" w:cs="宋体"/>
                <w:color w:val="auto"/>
                <w:sz w:val="24"/>
                <w:szCs w:val="32"/>
              </w:rPr>
              <w:t>蔬菜、水果类（含加工菜、大众菜、菌类、水果）</w:t>
            </w:r>
          </w:p>
        </w:tc>
        <w:tc>
          <w:tcPr>
            <w:tcW w:w="449" w:type="pct"/>
            <w:shd w:val="clear" w:color="auto" w:fill="auto"/>
            <w:vAlign w:val="center"/>
          </w:tcPr>
          <w:p w14:paraId="14E98162">
            <w:pPr>
              <w:suppressAutoHyphens/>
              <w:jc w:val="center"/>
              <w:rPr>
                <w:rFonts w:ascii="宋体" w:hAnsi="宋体" w:cs="宋体"/>
                <w:color w:val="auto"/>
                <w:sz w:val="24"/>
                <w:szCs w:val="32"/>
              </w:rPr>
            </w:pPr>
            <w:r>
              <w:rPr>
                <w:rFonts w:hint="eastAsia" w:ascii="宋体" w:hAnsi="宋体" w:cs="宋体"/>
                <w:color w:val="auto"/>
                <w:sz w:val="24"/>
                <w:szCs w:val="32"/>
              </w:rPr>
              <w:t>1家</w:t>
            </w:r>
          </w:p>
        </w:tc>
        <w:tc>
          <w:tcPr>
            <w:tcW w:w="564" w:type="pct"/>
            <w:shd w:val="clear" w:color="auto" w:fill="auto"/>
            <w:vAlign w:val="center"/>
          </w:tcPr>
          <w:p w14:paraId="5D154CF7">
            <w:pPr>
              <w:suppressAutoHyphens/>
              <w:jc w:val="center"/>
              <w:rPr>
                <w:rFonts w:ascii="宋体" w:hAnsi="宋体" w:cs="宋体"/>
                <w:color w:val="auto"/>
                <w:sz w:val="24"/>
                <w:szCs w:val="32"/>
              </w:rPr>
            </w:pPr>
            <w:r>
              <w:rPr>
                <w:rFonts w:hint="eastAsia" w:ascii="宋体" w:hAnsi="宋体" w:cs="宋体"/>
                <w:color w:val="auto"/>
                <w:sz w:val="24"/>
                <w:szCs w:val="32"/>
              </w:rPr>
              <w:t>70</w:t>
            </w:r>
          </w:p>
        </w:tc>
      </w:tr>
    </w:tbl>
    <w:p w14:paraId="5221B5B5">
      <w:pPr>
        <w:spacing w:line="360" w:lineRule="auto"/>
        <w:ind w:firstLine="480" w:firstLineChars="200"/>
        <w:rPr>
          <w:sz w:val="24"/>
        </w:rPr>
      </w:pPr>
      <w:r>
        <w:rPr>
          <w:sz w:val="24"/>
        </w:rPr>
        <w:t>（</w:t>
      </w:r>
      <w:r>
        <w:rPr>
          <w:rFonts w:hint="eastAsia"/>
          <w:sz w:val="24"/>
        </w:rPr>
        <w:t>根据北京工业大学校本部师生就餐需求，满足日常食堂所需原材料，为师生提供用餐保障，本次采购饮食服务中心食堂所用原材料供应商，具体详见招标</w:t>
      </w:r>
      <w:r>
        <w:rPr>
          <w:sz w:val="24"/>
        </w:rPr>
        <w:t>文件第五</w:t>
      </w:r>
      <w:r>
        <w:rPr>
          <w:rFonts w:hint="eastAsia"/>
          <w:sz w:val="24"/>
        </w:rPr>
        <w:t>章</w:t>
      </w:r>
      <w:r>
        <w:rPr>
          <w:sz w:val="24"/>
        </w:rPr>
        <w:t>采购需求）</w:t>
      </w:r>
      <w:r>
        <w:rPr>
          <w:rFonts w:hint="eastAsia"/>
          <w:sz w:val="24"/>
        </w:rPr>
        <w:t>。</w:t>
      </w:r>
    </w:p>
    <w:p w14:paraId="7244CA8D">
      <w:pPr>
        <w:spacing w:line="360" w:lineRule="auto"/>
        <w:ind w:firstLine="480" w:firstLineChars="200"/>
        <w:rPr>
          <w:sz w:val="24"/>
        </w:rPr>
      </w:pPr>
      <w:r>
        <w:rPr>
          <w:rFonts w:hint="eastAsia"/>
          <w:sz w:val="24"/>
        </w:rPr>
        <w:t>说明：每品类按照分包号的递增顺序进行评标（如品类1按分包号</w:t>
      </w:r>
      <w:r>
        <w:rPr>
          <w:sz w:val="24"/>
        </w:rPr>
        <w:t>1</w:t>
      </w:r>
      <w:r>
        <w:rPr>
          <w:rFonts w:hint="eastAsia"/>
          <w:sz w:val="24"/>
        </w:rPr>
        <w:t>、2、3……顺序进行），为保证服务质量，本项目采用“兼投不兼中”模式，在分包评审过程中，若投标人获得第一个分包的中标资格，可以继续参与后面分包的评审，但不得具备中标资格，即中标某一个分包后不能中标同一品类的其他分包。（如有两包及以上同时排名第一，按照</w:t>
      </w:r>
      <w:r>
        <w:rPr>
          <w:sz w:val="24"/>
        </w:rPr>
        <w:t>1</w:t>
      </w:r>
      <w:r>
        <w:rPr>
          <w:rFonts w:hint="eastAsia"/>
          <w:sz w:val="24"/>
        </w:rPr>
        <w:t>、2、3……分包号排列顺序在前的原则进行选择。即如果某投标人在两包及以上中同时排名第一，则只能选择排序在前的包中标，同时放弃其他包中标资格。）</w:t>
      </w:r>
    </w:p>
    <w:p w14:paraId="541B6F58">
      <w:pPr>
        <w:spacing w:line="360" w:lineRule="auto"/>
        <w:ind w:firstLine="480" w:firstLineChars="200"/>
        <w:rPr>
          <w:sz w:val="24"/>
        </w:rPr>
      </w:pPr>
      <w:r>
        <w:rPr>
          <w:rFonts w:hint="eastAsia"/>
          <w:sz w:val="24"/>
        </w:rPr>
        <w:t>例如：“A 公司”获得1-1的中标资格，也可以继续参与1-2、1-3 的评审，但不得具备其中标资格，即中标某一个分包后则不能中标同一品类的其他分包。</w:t>
      </w:r>
    </w:p>
    <w:p w14:paraId="3B8B6101">
      <w:pPr>
        <w:spacing w:line="360" w:lineRule="auto"/>
        <w:ind w:firstLine="480" w:firstLineChars="200"/>
        <w:rPr>
          <w:rFonts w:ascii="宋体" w:hAnsi="宋体"/>
          <w:sz w:val="24"/>
        </w:rPr>
      </w:pPr>
      <w:r>
        <w:rPr>
          <w:rFonts w:ascii="宋体" w:hAnsi="宋体"/>
          <w:sz w:val="24"/>
        </w:rPr>
        <w:t>5.合同履行期限：</w:t>
      </w:r>
      <w:r>
        <w:rPr>
          <w:rFonts w:hint="eastAsia" w:ascii="宋体" w:hAnsi="宋体"/>
          <w:sz w:val="24"/>
        </w:rPr>
        <w:t>服务期限为1年</w:t>
      </w:r>
    </w:p>
    <w:p w14:paraId="6D153BA0">
      <w:pPr>
        <w:spacing w:line="360" w:lineRule="auto"/>
        <w:ind w:firstLine="480" w:firstLineChars="200"/>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本项目是否接受联合体投标：□是</w:t>
      </w:r>
      <w:r>
        <w:rPr>
          <w:rFonts w:ascii="宋体" w:hAnsi="宋体"/>
          <w:sz w:val="24"/>
        </w:rPr>
        <w:t xml:space="preserve">  </w:t>
      </w:r>
      <w:r>
        <w:rPr>
          <w:rFonts w:hint="eastAsia" w:ascii="宋体" w:hAnsi="宋体"/>
          <w:sz w:val="24"/>
        </w:rPr>
        <w:t>■否。</w:t>
      </w:r>
    </w:p>
    <w:p w14:paraId="629D6847">
      <w:pPr>
        <w:pStyle w:val="2"/>
        <w:spacing w:before="0" w:line="360" w:lineRule="auto"/>
        <w:ind w:firstLine="482"/>
        <w:jc w:val="left"/>
        <w:rPr>
          <w:rFonts w:ascii="Times New Roman" w:hAnsi="Times New Roman" w:eastAsia="宋体"/>
          <w:sz w:val="24"/>
          <w:szCs w:val="24"/>
        </w:rPr>
      </w:pPr>
      <w:bookmarkStart w:id="6" w:name="_Toc28359080"/>
      <w:bookmarkStart w:id="7" w:name="_Toc35393622"/>
      <w:bookmarkStart w:id="8" w:name="_Toc35393791"/>
      <w:bookmarkStart w:id="9" w:name="_Toc28359003"/>
      <w:r>
        <w:rPr>
          <w:rFonts w:ascii="Times New Roman" w:hAnsi="Times New Roman" w:eastAsia="宋体"/>
          <w:sz w:val="24"/>
          <w:szCs w:val="24"/>
        </w:rPr>
        <w:t>二、申请人的资格要求（须同时满足）</w:t>
      </w:r>
      <w:bookmarkEnd w:id="6"/>
      <w:bookmarkEnd w:id="7"/>
      <w:bookmarkEnd w:id="8"/>
      <w:bookmarkEnd w:id="9"/>
    </w:p>
    <w:p w14:paraId="4BB64F13">
      <w:pPr>
        <w:spacing w:line="360" w:lineRule="auto"/>
        <w:ind w:firstLine="480" w:firstLineChars="200"/>
        <w:rPr>
          <w:sz w:val="24"/>
        </w:rPr>
      </w:pPr>
      <w:r>
        <w:rPr>
          <w:sz w:val="24"/>
        </w:rPr>
        <w:t>1.满足《中华人民共和国政府采购法》第二十二条规定；</w:t>
      </w:r>
    </w:p>
    <w:p w14:paraId="2C04593B">
      <w:pPr>
        <w:spacing w:line="360" w:lineRule="auto"/>
        <w:ind w:firstLine="480" w:firstLineChars="200"/>
        <w:rPr>
          <w:sz w:val="24"/>
        </w:rPr>
      </w:pPr>
      <w:bookmarkStart w:id="10" w:name="_Toc28359081"/>
      <w:bookmarkStart w:id="11" w:name="_Toc28359004"/>
      <w:r>
        <w:rPr>
          <w:sz w:val="24"/>
        </w:rPr>
        <w:t>2.落实政府采购政策需满足的资格要求：</w:t>
      </w:r>
    </w:p>
    <w:p w14:paraId="3DDFF14B">
      <w:pPr>
        <w:spacing w:line="360" w:lineRule="auto"/>
        <w:ind w:firstLine="480" w:firstLineChars="200"/>
        <w:rPr>
          <w:sz w:val="24"/>
        </w:rPr>
      </w:pPr>
      <w:r>
        <w:rPr>
          <w:sz w:val="24"/>
        </w:rPr>
        <w:t>2.1 中小企业政策</w:t>
      </w:r>
    </w:p>
    <w:p w14:paraId="5338A150">
      <w:pPr>
        <w:spacing w:line="360" w:lineRule="auto"/>
        <w:ind w:firstLine="480" w:firstLineChars="200"/>
        <w:rPr>
          <w:sz w:val="24"/>
        </w:rPr>
      </w:pPr>
      <w:r>
        <w:rPr>
          <w:rFonts w:hint="eastAsia"/>
          <w:sz w:val="24"/>
        </w:rPr>
        <w:t>□</w:t>
      </w:r>
      <w:r>
        <w:rPr>
          <w:sz w:val="24"/>
        </w:rPr>
        <w:t>本项目不专门面向中小企业预留采购份额。</w:t>
      </w:r>
    </w:p>
    <w:p w14:paraId="3E915673">
      <w:pPr>
        <w:spacing w:line="360" w:lineRule="auto"/>
        <w:ind w:firstLine="480" w:firstLineChars="200"/>
        <w:rPr>
          <w:sz w:val="24"/>
        </w:rPr>
      </w:pPr>
      <w:r>
        <w:rPr>
          <w:rFonts w:hint="eastAsia"/>
          <w:sz w:val="24"/>
        </w:rPr>
        <w:t>□</w:t>
      </w:r>
      <w:r>
        <w:rPr>
          <w:sz w:val="24"/>
        </w:rPr>
        <w:t xml:space="preserve">本项目专门面向  </w:t>
      </w:r>
      <w:r>
        <w:rPr>
          <w:rFonts w:hint="eastAsia"/>
          <w:sz w:val="24"/>
        </w:rPr>
        <w:t>□</w:t>
      </w:r>
      <w:r>
        <w:rPr>
          <w:sz w:val="24"/>
        </w:rPr>
        <w:t>中小</w:t>
      </w:r>
      <w:r>
        <w:rPr>
          <w:rFonts w:hint="eastAsia" w:ascii="宋体" w:hAnsi="宋体"/>
          <w:sz w:val="24"/>
        </w:rPr>
        <w:t>■</w:t>
      </w:r>
      <w:r>
        <w:rPr>
          <w:sz w:val="24"/>
        </w:rPr>
        <w:t>小微企业  采购。即：提供的货物全部由符合政策要求的中小/小微企业制造、服务全部由符合政策要求的中小/小微企业承接。</w:t>
      </w:r>
    </w:p>
    <w:p w14:paraId="68AE5231">
      <w:pPr>
        <w:spacing w:line="360" w:lineRule="auto"/>
        <w:ind w:firstLine="480" w:firstLineChars="200"/>
        <w:rPr>
          <w:sz w:val="24"/>
        </w:rPr>
      </w:pPr>
      <w:r>
        <w:rPr>
          <w:rFonts w:hint="eastAsia"/>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w:t>
      </w:r>
      <w:r>
        <w:rPr>
          <w:rFonts w:hint="eastAsia"/>
          <w:sz w:val="24"/>
        </w:rPr>
        <w:t xml:space="preserve">  </w:t>
      </w:r>
    </w:p>
    <w:p w14:paraId="02940888">
      <w:pPr>
        <w:spacing w:line="360" w:lineRule="auto"/>
        <w:ind w:firstLine="480" w:firstLineChars="200"/>
        <w:rPr>
          <w:sz w:val="24"/>
        </w:rPr>
      </w:pPr>
      <w:r>
        <w:rPr>
          <w:sz w:val="24"/>
        </w:rPr>
        <w:t>2.2 其它落实政府采购政策的资格要求（如有）：</w:t>
      </w:r>
      <w:r>
        <w:rPr>
          <w:rFonts w:hint="eastAsia"/>
          <w:sz w:val="24"/>
        </w:rPr>
        <w:t xml:space="preserve"> </w:t>
      </w:r>
      <w:r>
        <w:rPr>
          <w:rFonts w:hint="eastAsia"/>
          <w:sz w:val="24"/>
          <w:u w:val="single"/>
        </w:rPr>
        <w:t xml:space="preserve">    /  </w:t>
      </w:r>
      <w:r>
        <w:rPr>
          <w:rFonts w:hint="eastAsia"/>
          <w:sz w:val="24"/>
        </w:rPr>
        <w:t>。</w:t>
      </w:r>
    </w:p>
    <w:p w14:paraId="0417FE03">
      <w:pPr>
        <w:spacing w:line="360" w:lineRule="auto"/>
        <w:ind w:firstLine="480" w:firstLineChars="200"/>
        <w:rPr>
          <w:i/>
          <w:iCs/>
          <w:sz w:val="24"/>
          <w:u w:val="single"/>
        </w:rPr>
      </w:pPr>
      <w:r>
        <w:rPr>
          <w:sz w:val="24"/>
        </w:rPr>
        <w:t>3.本项目的特定资格要求：</w:t>
      </w:r>
    </w:p>
    <w:p w14:paraId="277859D6">
      <w:pPr>
        <w:tabs>
          <w:tab w:val="left" w:pos="900"/>
          <w:tab w:val="left" w:pos="1134"/>
          <w:tab w:val="left" w:pos="1589"/>
          <w:tab w:val="left" w:pos="5521"/>
        </w:tabs>
        <w:snapToGrid w:val="0"/>
        <w:spacing w:line="360" w:lineRule="auto"/>
        <w:ind w:firstLine="480" w:firstLineChars="200"/>
        <w:rPr>
          <w:sz w:val="24"/>
        </w:rPr>
      </w:pPr>
      <w:r>
        <w:rPr>
          <w:sz w:val="24"/>
        </w:rPr>
        <w:t>3.</w:t>
      </w:r>
      <w:r>
        <w:rPr>
          <w:rFonts w:hint="eastAsia"/>
          <w:sz w:val="24"/>
        </w:rPr>
        <w:t>1</w:t>
      </w:r>
      <w:r>
        <w:rPr>
          <w:sz w:val="24"/>
        </w:rPr>
        <w:t>本项目是否属于政府购买服务：</w:t>
      </w:r>
    </w:p>
    <w:p w14:paraId="4F1B3FAC">
      <w:pPr>
        <w:tabs>
          <w:tab w:val="left" w:pos="900"/>
          <w:tab w:val="left" w:pos="1134"/>
          <w:tab w:val="left" w:pos="1589"/>
          <w:tab w:val="left" w:pos="5521"/>
        </w:tabs>
        <w:snapToGrid w:val="0"/>
        <w:spacing w:line="360" w:lineRule="auto"/>
        <w:ind w:left="991" w:leftChars="472" w:firstLine="482"/>
        <w:rPr>
          <w:sz w:val="24"/>
        </w:rPr>
      </w:pPr>
      <w:r>
        <w:rPr>
          <w:b/>
          <w:sz w:val="24"/>
        </w:rPr>
        <w:t>■</w:t>
      </w:r>
      <w:r>
        <w:rPr>
          <w:sz w:val="24"/>
        </w:rPr>
        <w:t>否</w:t>
      </w:r>
    </w:p>
    <w:p w14:paraId="63668B60">
      <w:pPr>
        <w:tabs>
          <w:tab w:val="left" w:pos="900"/>
          <w:tab w:val="left" w:pos="1134"/>
          <w:tab w:val="left" w:pos="1589"/>
          <w:tab w:val="left" w:pos="5521"/>
        </w:tabs>
        <w:snapToGrid w:val="0"/>
        <w:spacing w:line="360" w:lineRule="auto"/>
        <w:ind w:left="991" w:leftChars="472" w:firstLine="480"/>
        <w:rPr>
          <w:sz w:val="24"/>
        </w:rPr>
      </w:pPr>
      <w:r>
        <w:rPr>
          <w:sz w:val="24"/>
        </w:rPr>
        <w:t>□是，公益一类事业单位、使用事业编制且由财政拨款保障的群团组织，不得作为承接主体；</w:t>
      </w:r>
    </w:p>
    <w:p w14:paraId="6FFDDAF5">
      <w:pPr>
        <w:tabs>
          <w:tab w:val="left" w:pos="900"/>
          <w:tab w:val="left" w:pos="1134"/>
          <w:tab w:val="left" w:pos="1589"/>
          <w:tab w:val="left" w:pos="5521"/>
        </w:tabs>
        <w:snapToGrid w:val="0"/>
        <w:spacing w:line="360" w:lineRule="auto"/>
        <w:ind w:firstLine="480" w:firstLineChars="200"/>
        <w:rPr>
          <w:sz w:val="24"/>
        </w:rPr>
      </w:pPr>
      <w:r>
        <w:rPr>
          <w:sz w:val="24"/>
        </w:rPr>
        <w:t>3.</w:t>
      </w:r>
      <w:r>
        <w:rPr>
          <w:rFonts w:hint="eastAsia"/>
          <w:sz w:val="24"/>
        </w:rPr>
        <w:t>2</w:t>
      </w:r>
      <w:r>
        <w:rPr>
          <w:sz w:val="24"/>
        </w:rPr>
        <w:t>其他特定资格要求：</w:t>
      </w:r>
    </w:p>
    <w:p w14:paraId="78C5D738">
      <w:pPr>
        <w:tabs>
          <w:tab w:val="left" w:pos="900"/>
          <w:tab w:val="left" w:pos="1134"/>
          <w:tab w:val="left" w:pos="1589"/>
          <w:tab w:val="left" w:pos="5521"/>
        </w:tabs>
        <w:snapToGrid w:val="0"/>
        <w:spacing w:line="360" w:lineRule="auto"/>
        <w:ind w:firstLine="480" w:firstLineChars="200"/>
        <w:rPr>
          <w:sz w:val="24"/>
        </w:rPr>
      </w:pPr>
      <w:r>
        <w:rPr>
          <w:rFonts w:hint="eastAsia"/>
          <w:sz w:val="24"/>
        </w:rPr>
        <w:t>1、投标人未被列入“信用中国”网站（www.creditchina.gov.cn）列入失信被执行人和重大税收违法失信主体、未被列入被“中国政府采购网”网站（www.ccgp.gov.cn）列入政府采购严重违法失信行为记录名单</w:t>
      </w:r>
      <w:r>
        <w:rPr>
          <w:sz w:val="24"/>
        </w:rPr>
        <w:t>。</w:t>
      </w:r>
    </w:p>
    <w:p w14:paraId="58DE870A">
      <w:pPr>
        <w:tabs>
          <w:tab w:val="left" w:pos="900"/>
          <w:tab w:val="left" w:pos="1134"/>
          <w:tab w:val="left" w:pos="1589"/>
          <w:tab w:val="left" w:pos="5521"/>
        </w:tabs>
        <w:snapToGrid w:val="0"/>
        <w:spacing w:line="360" w:lineRule="auto"/>
        <w:ind w:firstLine="480" w:firstLineChars="200"/>
        <w:rPr>
          <w:sz w:val="24"/>
        </w:rPr>
      </w:pPr>
      <w:r>
        <w:rPr>
          <w:rFonts w:hint="eastAsia"/>
          <w:sz w:val="24"/>
        </w:rPr>
        <w:t>2、</w:t>
      </w:r>
      <w:r>
        <w:rPr>
          <w:sz w:val="24"/>
          <w:lang w:val="en"/>
        </w:rPr>
        <w:t>投标人须具有有效期内的《食品经营许可证》或仅预包装食品经营者取得市场监管部门核发营业执照的经营范围记载</w:t>
      </w:r>
      <w:r>
        <w:rPr>
          <w:rFonts w:hint="eastAsia"/>
          <w:sz w:val="24"/>
          <w:lang w:val="en"/>
        </w:rPr>
        <w:t>“</w:t>
      </w:r>
      <w:r>
        <w:rPr>
          <w:sz w:val="24"/>
          <w:lang w:val="en"/>
        </w:rPr>
        <w:t>食品经营（仅销售预包装食品）</w:t>
      </w:r>
      <w:r>
        <w:rPr>
          <w:rFonts w:hint="eastAsia"/>
          <w:sz w:val="24"/>
          <w:lang w:val="en"/>
        </w:rPr>
        <w:t>”</w:t>
      </w:r>
      <w:r>
        <w:rPr>
          <w:sz w:val="24"/>
          <w:lang w:val="en"/>
        </w:rPr>
        <w:t>。</w:t>
      </w:r>
    </w:p>
    <w:bookmarkEnd w:id="10"/>
    <w:bookmarkEnd w:id="11"/>
    <w:p w14:paraId="6BEF62AC">
      <w:pPr>
        <w:pStyle w:val="2"/>
        <w:widowControl/>
        <w:spacing w:before="0" w:line="360" w:lineRule="auto"/>
        <w:ind w:firstLine="482"/>
        <w:jc w:val="left"/>
        <w:rPr>
          <w:rFonts w:ascii="Times New Roman" w:hAnsi="Times New Roman" w:eastAsia="宋体"/>
          <w:sz w:val="24"/>
          <w:szCs w:val="24"/>
        </w:rPr>
      </w:pPr>
      <w:bookmarkStart w:id="12" w:name="_Toc35393792"/>
      <w:bookmarkStart w:id="13" w:name="_Toc35393623"/>
      <w:r>
        <w:rPr>
          <w:rFonts w:ascii="Times New Roman" w:hAnsi="Times New Roman" w:eastAsia="宋体"/>
          <w:sz w:val="24"/>
          <w:szCs w:val="24"/>
        </w:rPr>
        <w:t>三、获取招标文件</w:t>
      </w:r>
      <w:bookmarkEnd w:id="12"/>
      <w:bookmarkEnd w:id="13"/>
    </w:p>
    <w:p w14:paraId="59A94ABB">
      <w:pPr>
        <w:spacing w:line="360" w:lineRule="auto"/>
        <w:ind w:firstLine="480" w:firstLineChars="200"/>
        <w:rPr>
          <w:sz w:val="24"/>
        </w:rPr>
      </w:pPr>
      <w:r>
        <w:rPr>
          <w:rFonts w:hint="eastAsia"/>
          <w:sz w:val="24"/>
        </w:rPr>
        <w:t>时间：2025年</w:t>
      </w:r>
      <w:r>
        <w:rPr>
          <w:sz w:val="24"/>
        </w:rPr>
        <w:t>6</w:t>
      </w:r>
      <w:r>
        <w:rPr>
          <w:rFonts w:hint="eastAsia"/>
          <w:sz w:val="24"/>
        </w:rPr>
        <w:t>月27日至2025年7月</w:t>
      </w:r>
      <w:r>
        <w:rPr>
          <w:sz w:val="24"/>
        </w:rPr>
        <w:t>4</w:t>
      </w:r>
      <w:r>
        <w:rPr>
          <w:rFonts w:hint="eastAsia"/>
          <w:sz w:val="24"/>
        </w:rPr>
        <w:t>日，每天9：00至12：00，下午13：00至17：00（北京时间，法定节假日除外）</w:t>
      </w:r>
    </w:p>
    <w:p w14:paraId="4EA4D7A7">
      <w:pPr>
        <w:spacing w:line="360" w:lineRule="auto"/>
        <w:ind w:firstLine="480" w:firstLineChars="200"/>
        <w:jc w:val="left"/>
        <w:rPr>
          <w:sz w:val="24"/>
        </w:rPr>
      </w:pPr>
      <w:r>
        <w:rPr>
          <w:rFonts w:hint="eastAsia"/>
          <w:sz w:val="24"/>
        </w:rPr>
        <w:t>地点：北京市政府采购电子交易平台http://zbcg-bjzc.zhongcy.com/bjczj-portal-site/index.html#/home</w:t>
      </w:r>
    </w:p>
    <w:p w14:paraId="24F1F4D7">
      <w:pPr>
        <w:widowControl/>
        <w:adjustRightInd w:val="0"/>
        <w:snapToGrid w:val="0"/>
        <w:spacing w:line="360" w:lineRule="auto"/>
        <w:ind w:firstLine="480" w:firstLineChars="200"/>
        <w:jc w:val="left"/>
        <w:rPr>
          <w:rFonts w:ascii="宋体" w:hAnsi="宋体"/>
          <w:sz w:val="24"/>
          <w:lang w:bidi="ar"/>
        </w:rPr>
      </w:pPr>
      <w:r>
        <w:rPr>
          <w:rFonts w:hint="eastAsia" w:ascii="宋体" w:hAnsi="宋体"/>
          <w:sz w:val="24"/>
          <w:lang w:bidi="ar"/>
        </w:rPr>
        <w:t>（1）办理 CA数字证书或电子营业执照</w:t>
      </w:r>
    </w:p>
    <w:p w14:paraId="714AA768">
      <w:pPr>
        <w:widowControl/>
        <w:adjustRightInd w:val="0"/>
        <w:snapToGrid w:val="0"/>
        <w:spacing w:line="360" w:lineRule="auto"/>
        <w:ind w:firstLine="480" w:firstLineChars="200"/>
        <w:jc w:val="left"/>
        <w:rPr>
          <w:rFonts w:ascii="宋体" w:hAnsi="宋体"/>
          <w:sz w:val="24"/>
          <w:lang w:bidi="ar"/>
        </w:rPr>
      </w:pPr>
      <w:r>
        <w:rPr>
          <w:rFonts w:hint="eastAsia" w:ascii="宋体" w:hAnsi="宋体"/>
          <w:sz w:val="24"/>
          <w:lang w:bidi="ar"/>
        </w:rPr>
        <w:t>供应商登录北京市政府采购电子交易平台查阅 “用户指南”—“操作指南”—“市场主体 CA办理操作流程指引”/“电子营业执照使用指南”，按照程序要求办理</w:t>
      </w:r>
    </w:p>
    <w:p w14:paraId="58052FAD">
      <w:pPr>
        <w:widowControl/>
        <w:adjustRightInd w:val="0"/>
        <w:snapToGrid w:val="0"/>
        <w:spacing w:line="360" w:lineRule="auto"/>
        <w:ind w:firstLine="480" w:firstLineChars="200"/>
        <w:jc w:val="left"/>
        <w:rPr>
          <w:rFonts w:ascii="宋体" w:hAnsi="宋体"/>
          <w:sz w:val="24"/>
          <w:lang w:bidi="ar"/>
        </w:rPr>
      </w:pPr>
      <w:r>
        <w:rPr>
          <w:rFonts w:hint="eastAsia" w:ascii="宋体" w:hAnsi="宋体"/>
          <w:sz w:val="24"/>
          <w:lang w:bidi="ar"/>
        </w:rPr>
        <w:t>（2）供应商登录北京市政府采购电子交易平台“用户指南”→“操作指南”→“市场主体注册入库操作流程指引”进行自助注册绑定。</w:t>
      </w:r>
    </w:p>
    <w:p w14:paraId="5A02D317">
      <w:pPr>
        <w:widowControl/>
        <w:adjustRightInd w:val="0"/>
        <w:snapToGrid w:val="0"/>
        <w:spacing w:line="360" w:lineRule="auto"/>
        <w:ind w:firstLine="480" w:firstLineChars="200"/>
        <w:jc w:val="left"/>
        <w:rPr>
          <w:rFonts w:ascii="宋体" w:hAnsi="宋体"/>
          <w:sz w:val="24"/>
          <w:lang w:bidi="ar"/>
        </w:rPr>
      </w:pPr>
      <w:r>
        <w:rPr>
          <w:rFonts w:hint="eastAsia" w:ascii="宋体" w:hAnsi="宋体"/>
          <w:sz w:val="24"/>
          <w:lang w:bidi="ar"/>
        </w:rPr>
        <w:t>（3）招标文件获取方式:供应商按照规定办理CA数字证书或电子营业执照后，自招标公告发布之日起持供应商自身数字证书或电子营业执照登录北京市政府采购电子交易平台免费获取电子版招标文件（未按上述获取方式和期限下载招标文件的投标无效。）。</w:t>
      </w:r>
    </w:p>
    <w:p w14:paraId="396911FE">
      <w:pPr>
        <w:widowControl/>
        <w:adjustRightInd w:val="0"/>
        <w:snapToGrid w:val="0"/>
        <w:spacing w:line="360" w:lineRule="auto"/>
        <w:ind w:firstLine="480" w:firstLineChars="200"/>
        <w:jc w:val="left"/>
        <w:rPr>
          <w:rFonts w:ascii="宋体" w:hAnsi="宋体"/>
          <w:sz w:val="24"/>
          <w:lang w:bidi="ar"/>
        </w:rPr>
      </w:pPr>
      <w:r>
        <w:rPr>
          <w:rFonts w:hint="eastAsia" w:ascii="宋体" w:hAnsi="宋体"/>
          <w:sz w:val="24"/>
          <w:lang w:bidi="ar"/>
        </w:rPr>
        <w:t>投标人</w:t>
      </w:r>
      <w:r>
        <w:rPr>
          <w:rFonts w:ascii="宋体" w:hAnsi="宋体"/>
          <w:sz w:val="24"/>
          <w:lang w:bidi="ar"/>
        </w:rPr>
        <w:t>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w:t>
      </w:r>
      <w:r>
        <w:rPr>
          <w:rFonts w:hint="eastAsia" w:ascii="宋体" w:hAnsi="宋体"/>
          <w:sz w:val="24"/>
          <w:lang w:bidi="ar"/>
        </w:rPr>
        <w:t>投标人递交</w:t>
      </w:r>
      <w:r>
        <w:rPr>
          <w:rFonts w:ascii="宋体" w:hAnsi="宋体"/>
          <w:sz w:val="24"/>
          <w:lang w:bidi="ar"/>
        </w:rPr>
        <w:t>相应包的投标文件无效。</w:t>
      </w:r>
    </w:p>
    <w:p w14:paraId="0EE401B0">
      <w:pPr>
        <w:widowControl/>
        <w:adjustRightInd w:val="0"/>
        <w:snapToGrid w:val="0"/>
        <w:spacing w:line="360" w:lineRule="auto"/>
        <w:ind w:firstLine="480" w:firstLineChars="200"/>
        <w:jc w:val="left"/>
        <w:rPr>
          <w:rFonts w:ascii="宋体" w:hAnsi="宋体"/>
          <w:sz w:val="24"/>
          <w:lang w:bidi="ar"/>
        </w:rPr>
      </w:pPr>
      <w:r>
        <w:rPr>
          <w:rFonts w:hint="eastAsia" w:ascii="宋体" w:hAnsi="宋体"/>
          <w:sz w:val="24"/>
          <w:lang w:bidi="ar"/>
        </w:rPr>
        <w:t>（4）证书驱动下载:于北京市政府采购电子交易平台“用户指南”→“工具下载”→“招标采购系统文件驱动安装包”下载相关驱动。</w:t>
      </w:r>
    </w:p>
    <w:p w14:paraId="5C216A31">
      <w:pPr>
        <w:widowControl/>
        <w:adjustRightInd w:val="0"/>
        <w:snapToGrid w:val="0"/>
        <w:spacing w:line="360" w:lineRule="auto"/>
        <w:ind w:firstLine="480" w:firstLineChars="200"/>
        <w:jc w:val="left"/>
        <w:rPr>
          <w:rFonts w:ascii="宋体" w:hAnsi="宋体"/>
          <w:sz w:val="24"/>
          <w:lang w:bidi="ar"/>
        </w:rPr>
      </w:pPr>
      <w:r>
        <w:rPr>
          <w:rFonts w:hint="eastAsia" w:ascii="宋体" w:hAnsi="宋体"/>
          <w:sz w:val="24"/>
          <w:lang w:bidi="ar"/>
        </w:rPr>
        <w:t>（5）CA认证证书服务热线010-58511086；电子营业执照服务热线 400-699-7000；技术支持服务热线010-86483801。</w:t>
      </w:r>
    </w:p>
    <w:p w14:paraId="08F3CEEB">
      <w:pPr>
        <w:widowControl/>
        <w:adjustRightInd w:val="0"/>
        <w:snapToGrid w:val="0"/>
        <w:spacing w:line="360" w:lineRule="auto"/>
        <w:ind w:firstLine="480" w:firstLineChars="200"/>
        <w:jc w:val="left"/>
        <w:rPr>
          <w:rFonts w:ascii="宋体" w:hAnsi="宋体"/>
          <w:sz w:val="24"/>
          <w:lang w:bidi="ar"/>
        </w:rPr>
      </w:pPr>
      <w:r>
        <w:rPr>
          <w:rFonts w:hint="eastAsia" w:ascii="宋体" w:hAnsi="宋体"/>
          <w:sz w:val="24"/>
          <w:lang w:bidi="ar"/>
        </w:rPr>
        <w:t>注意:请供应商认真学习北京市政府采购电子交易平台发布的相关操作手册。</w:t>
      </w:r>
    </w:p>
    <w:p w14:paraId="0C55BD2E">
      <w:pPr>
        <w:widowControl/>
        <w:adjustRightInd w:val="0"/>
        <w:snapToGrid w:val="0"/>
        <w:spacing w:line="360" w:lineRule="auto"/>
        <w:ind w:firstLine="480" w:firstLineChars="200"/>
        <w:jc w:val="left"/>
        <w:rPr>
          <w:sz w:val="24"/>
        </w:rPr>
      </w:pPr>
      <w:r>
        <w:rPr>
          <w:sz w:val="24"/>
          <w:lang w:bidi="ar"/>
        </w:rPr>
        <w:t>4.售价：0元。</w:t>
      </w:r>
    </w:p>
    <w:p w14:paraId="50473CD7">
      <w:pPr>
        <w:pStyle w:val="2"/>
        <w:widowControl/>
        <w:spacing w:before="0" w:line="360" w:lineRule="auto"/>
        <w:ind w:firstLine="482"/>
        <w:jc w:val="left"/>
        <w:rPr>
          <w:rFonts w:ascii="Times New Roman" w:hAnsi="Times New Roman" w:eastAsia="宋体"/>
          <w:sz w:val="24"/>
          <w:szCs w:val="24"/>
        </w:rPr>
      </w:pPr>
      <w:bookmarkStart w:id="14" w:name="_Toc28359005"/>
      <w:bookmarkStart w:id="15" w:name="_Toc28359082"/>
      <w:bookmarkStart w:id="16" w:name="_Toc35393793"/>
      <w:bookmarkStart w:id="17" w:name="_Toc35393624"/>
      <w:r>
        <w:rPr>
          <w:rFonts w:ascii="Times New Roman" w:hAnsi="Times New Roman" w:eastAsia="宋体"/>
          <w:sz w:val="24"/>
          <w:szCs w:val="24"/>
        </w:rPr>
        <w:t>四、提交投标文件</w:t>
      </w:r>
      <w:bookmarkEnd w:id="14"/>
      <w:bookmarkEnd w:id="15"/>
      <w:r>
        <w:rPr>
          <w:rFonts w:ascii="Times New Roman" w:hAnsi="Times New Roman" w:eastAsia="宋体"/>
          <w:sz w:val="24"/>
          <w:szCs w:val="24"/>
        </w:rPr>
        <w:t>截止时间、开标时间和地点</w:t>
      </w:r>
      <w:bookmarkEnd w:id="16"/>
      <w:bookmarkEnd w:id="17"/>
    </w:p>
    <w:p w14:paraId="57F5E79C">
      <w:pPr>
        <w:spacing w:line="360" w:lineRule="auto"/>
        <w:ind w:firstLine="480" w:firstLineChars="200"/>
        <w:rPr>
          <w:bCs/>
          <w:sz w:val="24"/>
          <w:u w:val="single"/>
        </w:rPr>
      </w:pPr>
      <w:r>
        <w:rPr>
          <w:sz w:val="24"/>
          <w:lang w:bidi="ar"/>
        </w:rPr>
        <w:t>投标截止时间、开标时间：</w:t>
      </w:r>
      <w:r>
        <w:rPr>
          <w:rFonts w:hint="eastAsia"/>
          <w:sz w:val="24"/>
          <w:lang w:bidi="ar"/>
        </w:rPr>
        <w:t>2025</w:t>
      </w:r>
      <w:r>
        <w:rPr>
          <w:sz w:val="24"/>
          <w:lang w:bidi="ar"/>
        </w:rPr>
        <w:t>年</w:t>
      </w:r>
      <w:r>
        <w:rPr>
          <w:rFonts w:hint="eastAsia"/>
          <w:sz w:val="24"/>
          <w:lang w:bidi="ar"/>
        </w:rPr>
        <w:t>7</w:t>
      </w:r>
      <w:r>
        <w:rPr>
          <w:sz w:val="24"/>
          <w:lang w:bidi="ar"/>
        </w:rPr>
        <w:t>月</w:t>
      </w:r>
      <w:r>
        <w:rPr>
          <w:rFonts w:hint="eastAsia"/>
          <w:sz w:val="24"/>
          <w:lang w:bidi="ar"/>
        </w:rPr>
        <w:t>18</w:t>
      </w:r>
      <w:r>
        <w:rPr>
          <w:sz w:val="24"/>
          <w:lang w:bidi="ar"/>
        </w:rPr>
        <w:t>日9点30分</w:t>
      </w:r>
      <w:r>
        <w:rPr>
          <w:bCs/>
          <w:sz w:val="24"/>
          <w:lang w:bidi="ar"/>
        </w:rPr>
        <w:t>（北京时间）</w:t>
      </w:r>
      <w:r>
        <w:rPr>
          <w:iCs/>
          <w:sz w:val="24"/>
          <w:lang w:bidi="ar"/>
        </w:rPr>
        <w:t>。</w:t>
      </w:r>
    </w:p>
    <w:p w14:paraId="0FC32DE8">
      <w:pPr>
        <w:spacing w:line="360" w:lineRule="auto"/>
        <w:ind w:firstLine="480" w:firstLineChars="200"/>
        <w:rPr>
          <w:sz w:val="24"/>
          <w:lang w:val="zh-TW" w:bidi="ar"/>
        </w:rPr>
      </w:pPr>
      <w:r>
        <w:rPr>
          <w:sz w:val="24"/>
          <w:lang w:bidi="ar"/>
        </w:rPr>
        <w:t>地点：</w:t>
      </w:r>
      <w:r>
        <w:rPr>
          <w:rFonts w:hint="eastAsia"/>
          <w:sz w:val="24"/>
          <w:lang w:bidi="ar"/>
        </w:rPr>
        <w:t>北京市丰台区广安路9号国投财富广场6号楼15层1518会议室</w:t>
      </w:r>
      <w:r>
        <w:rPr>
          <w:sz w:val="24"/>
          <w:lang w:val="zh-TW" w:bidi="ar"/>
        </w:rPr>
        <w:t>。</w:t>
      </w:r>
    </w:p>
    <w:p w14:paraId="4DC4D5C7">
      <w:pPr>
        <w:pStyle w:val="2"/>
        <w:spacing w:before="0" w:line="360" w:lineRule="auto"/>
        <w:ind w:firstLine="482"/>
        <w:jc w:val="left"/>
        <w:rPr>
          <w:rFonts w:ascii="Times New Roman" w:hAnsi="Times New Roman" w:eastAsia="宋体"/>
          <w:sz w:val="24"/>
          <w:szCs w:val="24"/>
        </w:rPr>
      </w:pPr>
      <w:bookmarkStart w:id="18" w:name="_Toc35393794"/>
      <w:bookmarkStart w:id="19" w:name="_Toc28359084"/>
      <w:bookmarkStart w:id="20" w:name="_Toc28359007"/>
      <w:bookmarkStart w:id="21" w:name="_Toc35393625"/>
      <w:r>
        <w:rPr>
          <w:rFonts w:ascii="Times New Roman" w:hAnsi="Times New Roman" w:eastAsia="宋体"/>
          <w:sz w:val="24"/>
          <w:szCs w:val="24"/>
        </w:rPr>
        <w:t>五、公告期限</w:t>
      </w:r>
      <w:bookmarkEnd w:id="18"/>
      <w:bookmarkEnd w:id="19"/>
      <w:bookmarkEnd w:id="20"/>
      <w:bookmarkEnd w:id="21"/>
    </w:p>
    <w:p w14:paraId="134A0B7D">
      <w:pPr>
        <w:spacing w:line="360" w:lineRule="auto"/>
        <w:ind w:firstLine="480" w:firstLineChars="200"/>
        <w:rPr>
          <w:kern w:val="0"/>
          <w:sz w:val="24"/>
        </w:rPr>
      </w:pPr>
      <w:r>
        <w:rPr>
          <w:kern w:val="0"/>
          <w:sz w:val="24"/>
        </w:rPr>
        <w:t>自本公告发布之日起5个工作日。</w:t>
      </w:r>
    </w:p>
    <w:p w14:paraId="1AA765DF">
      <w:pPr>
        <w:pStyle w:val="2"/>
        <w:spacing w:before="0" w:line="360" w:lineRule="auto"/>
        <w:ind w:firstLine="482"/>
        <w:jc w:val="left"/>
        <w:rPr>
          <w:rFonts w:ascii="Times New Roman" w:hAnsi="Times New Roman" w:eastAsia="宋体"/>
          <w:sz w:val="24"/>
          <w:szCs w:val="24"/>
        </w:rPr>
      </w:pPr>
      <w:bookmarkStart w:id="22" w:name="_Toc35393626"/>
      <w:bookmarkStart w:id="23" w:name="_Toc35393795"/>
      <w:r>
        <w:rPr>
          <w:rFonts w:ascii="Times New Roman" w:hAnsi="Times New Roman" w:eastAsia="宋体"/>
          <w:sz w:val="24"/>
          <w:szCs w:val="24"/>
        </w:rPr>
        <w:t>六、其他补充事宜</w:t>
      </w:r>
      <w:bookmarkEnd w:id="22"/>
      <w:bookmarkEnd w:id="23"/>
    </w:p>
    <w:p w14:paraId="22FBDCFA">
      <w:pPr>
        <w:spacing w:line="360" w:lineRule="auto"/>
        <w:ind w:firstLine="480" w:firstLineChars="200"/>
        <w:rPr>
          <w:sz w:val="24"/>
        </w:rPr>
      </w:pPr>
      <w:r>
        <w:rPr>
          <w:sz w:val="24"/>
        </w:rPr>
        <w:t>1.本项目需要落实的政府采购政策：</w:t>
      </w:r>
      <w:r>
        <w:rPr>
          <w:rFonts w:hint="eastAsia"/>
          <w:sz w:val="24"/>
        </w:rPr>
        <w:t>节约能源、保护环境、扶持不发达地区和少数民族地区、促进中小微企业发展、支持监狱、戒毒企业发展、促进残疾人就业、支持脱贫等政府采购政策。</w:t>
      </w:r>
      <w:r>
        <w:rPr>
          <w:sz w:val="24"/>
        </w:rPr>
        <w:t xml:space="preserve"> </w:t>
      </w:r>
    </w:p>
    <w:p w14:paraId="335928CE">
      <w:pPr>
        <w:spacing w:line="360" w:lineRule="auto"/>
        <w:ind w:firstLine="480" w:firstLineChars="200"/>
        <w:rPr>
          <w:sz w:val="24"/>
        </w:rPr>
      </w:pPr>
      <w:r>
        <w:rPr>
          <w:rFonts w:hint="eastAsia"/>
          <w:sz w:val="24"/>
        </w:rPr>
        <w:t>2、本项目招标公告在中国政府采购网（http://www.ccgp.gov.cn/）、北京市政府采购网（http://www.ccgp-beijing.gov.cn/）上同步发布</w:t>
      </w:r>
    </w:p>
    <w:p w14:paraId="7E7F3356">
      <w:pPr>
        <w:pStyle w:val="2"/>
        <w:spacing w:before="0" w:line="360" w:lineRule="auto"/>
        <w:ind w:firstLine="482"/>
        <w:jc w:val="left"/>
        <w:rPr>
          <w:rFonts w:ascii="Times New Roman" w:hAnsi="Times New Roman" w:eastAsia="宋体"/>
          <w:sz w:val="24"/>
          <w:szCs w:val="24"/>
        </w:rPr>
      </w:pPr>
      <w:bookmarkStart w:id="24" w:name="_Toc28359085"/>
      <w:bookmarkStart w:id="25" w:name="_Toc35393627"/>
      <w:bookmarkStart w:id="26" w:name="_Toc28359008"/>
      <w:bookmarkStart w:id="27" w:name="_Toc35393796"/>
      <w:r>
        <w:rPr>
          <w:rFonts w:ascii="Times New Roman" w:hAnsi="Times New Roman" w:eastAsia="宋体"/>
          <w:sz w:val="24"/>
          <w:szCs w:val="24"/>
        </w:rPr>
        <w:t>七、对本次招标提出询问，请按以下方式联系。</w:t>
      </w:r>
      <w:bookmarkEnd w:id="24"/>
      <w:bookmarkEnd w:id="25"/>
      <w:bookmarkEnd w:id="26"/>
      <w:bookmarkEnd w:id="27"/>
    </w:p>
    <w:p w14:paraId="70E15589">
      <w:pPr>
        <w:widowControl/>
        <w:spacing w:line="360" w:lineRule="auto"/>
        <w:jc w:val="left"/>
        <w:rPr>
          <w:b/>
          <w:sz w:val="24"/>
        </w:rPr>
      </w:pPr>
      <w:r>
        <w:rPr>
          <w:sz w:val="24"/>
        </w:rPr>
        <w:t>　　　</w:t>
      </w:r>
      <w:r>
        <w:rPr>
          <w:b/>
          <w:sz w:val="24"/>
        </w:rPr>
        <w:t>1.采购人信息</w:t>
      </w:r>
    </w:p>
    <w:p w14:paraId="0F9B6D2C">
      <w:pPr>
        <w:spacing w:line="360" w:lineRule="auto"/>
        <w:ind w:left="1079" w:leftChars="371" w:hanging="300" w:hangingChars="125"/>
        <w:jc w:val="left"/>
        <w:rPr>
          <w:sz w:val="24"/>
        </w:rPr>
      </w:pPr>
      <w:bookmarkStart w:id="28" w:name="_Toc28359086"/>
      <w:bookmarkStart w:id="29" w:name="_Toc28359009"/>
      <w:r>
        <w:rPr>
          <w:sz w:val="24"/>
        </w:rPr>
        <w:t>名    称：</w:t>
      </w:r>
      <w:r>
        <w:rPr>
          <w:rFonts w:hint="eastAsia"/>
          <w:sz w:val="24"/>
        </w:rPr>
        <w:t>北京工业大学</w:t>
      </w:r>
    </w:p>
    <w:p w14:paraId="58B7E2F6">
      <w:pPr>
        <w:spacing w:line="360" w:lineRule="auto"/>
        <w:ind w:left="1079" w:leftChars="371" w:hanging="300" w:hangingChars="125"/>
        <w:jc w:val="left"/>
        <w:rPr>
          <w:sz w:val="24"/>
        </w:rPr>
      </w:pPr>
      <w:r>
        <w:rPr>
          <w:sz w:val="24"/>
        </w:rPr>
        <w:t>地    址：</w:t>
      </w:r>
      <w:r>
        <w:rPr>
          <w:rFonts w:hint="eastAsia"/>
          <w:sz w:val="24"/>
        </w:rPr>
        <w:t xml:space="preserve">北京市朝阳区平乐园100号 </w:t>
      </w:r>
    </w:p>
    <w:p w14:paraId="218AD721">
      <w:pPr>
        <w:spacing w:line="360" w:lineRule="auto"/>
        <w:ind w:left="1079" w:leftChars="371" w:hanging="300" w:hangingChars="125"/>
        <w:jc w:val="left"/>
        <w:rPr>
          <w:sz w:val="24"/>
          <w:u w:val="single"/>
        </w:rPr>
      </w:pPr>
      <w:r>
        <w:rPr>
          <w:sz w:val="24"/>
        </w:rPr>
        <w:t>联系方式：李老师</w:t>
      </w:r>
      <w:r>
        <w:rPr>
          <w:rFonts w:hint="eastAsia"/>
          <w:sz w:val="24"/>
        </w:rPr>
        <w:t xml:space="preserve"> </w:t>
      </w:r>
      <w:r>
        <w:rPr>
          <w:sz w:val="24"/>
        </w:rPr>
        <w:t>(010) 6739 2339</w:t>
      </w:r>
    </w:p>
    <w:p w14:paraId="666BC5B5">
      <w:pPr>
        <w:spacing w:line="360" w:lineRule="auto"/>
        <w:ind w:left="1080" w:leftChars="371" w:hanging="301" w:hangingChars="125"/>
        <w:jc w:val="left"/>
        <w:rPr>
          <w:b/>
          <w:sz w:val="24"/>
        </w:rPr>
      </w:pPr>
      <w:r>
        <w:rPr>
          <w:b/>
          <w:sz w:val="24"/>
        </w:rPr>
        <w:t>2.采购代理机构信息</w:t>
      </w:r>
      <w:bookmarkEnd w:id="28"/>
      <w:bookmarkEnd w:id="29"/>
    </w:p>
    <w:p w14:paraId="4F8C9DD9">
      <w:pPr>
        <w:spacing w:line="360" w:lineRule="auto"/>
        <w:ind w:left="1079" w:leftChars="371" w:hanging="300" w:hangingChars="125"/>
        <w:jc w:val="left"/>
        <w:rPr>
          <w:sz w:val="24"/>
        </w:rPr>
      </w:pPr>
      <w:bookmarkStart w:id="30" w:name="_Toc28359010"/>
      <w:bookmarkStart w:id="31" w:name="_Toc28359087"/>
      <w:r>
        <w:rPr>
          <w:sz w:val="24"/>
        </w:rPr>
        <w:t>名    称：</w:t>
      </w:r>
      <w:r>
        <w:rPr>
          <w:rFonts w:hint="eastAsia"/>
          <w:sz w:val="24"/>
        </w:rPr>
        <w:t>华采招标集团有限公司</w:t>
      </w:r>
    </w:p>
    <w:p w14:paraId="609079A7">
      <w:pPr>
        <w:spacing w:line="360" w:lineRule="auto"/>
        <w:ind w:left="1079" w:leftChars="371" w:hanging="300" w:hangingChars="125"/>
        <w:jc w:val="left"/>
        <w:rPr>
          <w:sz w:val="24"/>
        </w:rPr>
      </w:pPr>
      <w:r>
        <w:rPr>
          <w:sz w:val="24"/>
        </w:rPr>
        <w:t>地    址：</w:t>
      </w:r>
      <w:r>
        <w:rPr>
          <w:rFonts w:hint="eastAsia"/>
          <w:sz w:val="24"/>
        </w:rPr>
        <w:t>北京市丰台区广安路9号国投财富广场6号楼1601室</w:t>
      </w:r>
    </w:p>
    <w:p w14:paraId="2197E41F">
      <w:pPr>
        <w:spacing w:line="360" w:lineRule="auto"/>
        <w:ind w:left="1079" w:leftChars="371" w:hanging="300" w:hangingChars="125"/>
        <w:jc w:val="left"/>
        <w:rPr>
          <w:sz w:val="24"/>
        </w:rPr>
      </w:pPr>
      <w:r>
        <w:rPr>
          <w:sz w:val="24"/>
        </w:rPr>
        <w:t>联系方式：010-63509799-8078/8038/8076</w:t>
      </w:r>
    </w:p>
    <w:p w14:paraId="5B1734AE">
      <w:pPr>
        <w:spacing w:line="360" w:lineRule="auto"/>
        <w:ind w:firstLine="723" w:firstLineChars="300"/>
        <w:rPr>
          <w:b/>
          <w:sz w:val="24"/>
        </w:rPr>
      </w:pPr>
      <w:r>
        <w:rPr>
          <w:b/>
          <w:sz w:val="24"/>
        </w:rPr>
        <w:t>3.项目联系方式</w:t>
      </w:r>
      <w:bookmarkEnd w:id="30"/>
      <w:bookmarkEnd w:id="31"/>
    </w:p>
    <w:p w14:paraId="244CD2A0">
      <w:pPr>
        <w:pStyle w:val="4"/>
        <w:spacing w:line="360" w:lineRule="auto"/>
        <w:ind w:firstLine="720" w:firstLineChars="300"/>
        <w:rPr>
          <w:rFonts w:hint="default" w:ascii="Times New Roman" w:hAnsi="Times New Roman"/>
          <w:sz w:val="24"/>
          <w:szCs w:val="24"/>
        </w:rPr>
      </w:pPr>
      <w:r>
        <w:rPr>
          <w:rFonts w:hint="default" w:ascii="Times New Roman" w:hAnsi="Times New Roman"/>
          <w:sz w:val="24"/>
          <w:szCs w:val="24"/>
        </w:rPr>
        <w:t>项目联系人：</w:t>
      </w:r>
      <w:r>
        <w:rPr>
          <w:sz w:val="24"/>
        </w:rPr>
        <w:t>崔丽洁、赵娜、刘金秀、金珊、贾东敏、姚冲、马凯、白敏娜</w:t>
      </w:r>
    </w:p>
    <w:p w14:paraId="2D24A6D7">
      <w:pPr>
        <w:pStyle w:val="4"/>
        <w:spacing w:line="360" w:lineRule="auto"/>
        <w:ind w:firstLine="720" w:firstLineChars="300"/>
      </w:pPr>
      <w:r>
        <w:rPr>
          <w:rFonts w:hint="default" w:ascii="Times New Roman" w:hAnsi="Times New Roman"/>
          <w:sz w:val="24"/>
        </w:rPr>
        <w:t>电      话：010-63509799-8078/8038/8076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4526C3"/>
    <w:rsid w:val="51452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2025-06-27T08:46:00Z</dcterms:created>
  <dc:creator>M</dc:creator>
  <cp:lastModifiedBy>M</cp:lastModifiedBy>
  <dcterms:modified xsi:type="dcterms:W3CDTF">2025-06-27T08:48:01Z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0819505AE84447EEA6AE0A42642DB6CA_11</vt:lpwstr>
  </property>
  <property fmtid="{D5CDD505-2E9C-101B-9397-08002B2CF9AE}" pid="4" name="KSOTemplateDocerSaveRecord">
    <vt:lpwstr>eyJoZGlkIjoiYTFkYWU5MGM4MTE3OTRmZGM5MDAxZGUyZTYzYmYzM2YiLCJ1c2VySWQiOiIyMzM2NzQ3MzAifQ==</vt:lpwstr>
  </property>
</Properties>
</file>