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630"/>
        </w:tabs>
        <w:spacing w:line="460" w:lineRule="exact"/>
        <w:ind w:left="8"/>
        <w:jc w:val="center"/>
        <w:rPr>
          <w:rFonts w:hint="eastAsia"/>
          <w:sz w:val="33"/>
        </w:rPr>
      </w:pPr>
      <w:r>
        <w:rPr>
          <w:b/>
          <w:bCs/>
        </w:rPr>
        <w:t>采购需求</w:t>
      </w:r>
    </w:p>
    <w:p>
      <w:pPr>
        <w:pStyle w:val="3"/>
        <w:spacing w:before="1"/>
        <w:ind w:left="121"/>
        <w:rPr>
          <w:rFonts w:hint="eastAsia"/>
          <w:b/>
          <w:bCs/>
        </w:rPr>
      </w:pPr>
      <w:r>
        <w:rPr>
          <w:b/>
          <w:bCs/>
        </w:rPr>
        <w:t>一、采购标的</w:t>
      </w:r>
    </w:p>
    <w:p>
      <w:pPr>
        <w:pStyle w:val="9"/>
        <w:tabs>
          <w:tab w:val="left" w:pos="470"/>
          <w:tab w:val="left" w:pos="7040"/>
        </w:tabs>
        <w:spacing w:before="154" w:line="338" w:lineRule="auto"/>
        <w:ind w:left="121" w:right="1830" w:firstLine="273" w:firstLineChars="100"/>
        <w:rPr>
          <w:rFonts w:hint="eastAsia"/>
          <w:sz w:val="24"/>
          <w:lang w:eastAsia="zh-CN"/>
        </w:rPr>
      </w:pPr>
      <w:r>
        <w:rPr>
          <w:rFonts w:ascii="Arial" w:hAnsi="Arial" w:eastAsia="Arial" w:cs="Arial"/>
          <w:w w:val="114"/>
          <w:sz w:val="24"/>
          <w:szCs w:val="24"/>
          <w:lang w:eastAsia="zh-CN"/>
        </w:rPr>
        <w:t>1.</w:t>
      </w:r>
      <w:r>
        <w:rPr>
          <w:sz w:val="24"/>
          <w:lang w:eastAsia="zh-CN"/>
        </w:rPr>
        <w:t xml:space="preserve">采购标的（货物需求一览表或简要服务内容及数量） </w:t>
      </w:r>
    </w:p>
    <w:tbl>
      <w:tblPr>
        <w:tblStyle w:val="8"/>
        <w:tblW w:w="6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889"/>
        <w:gridCol w:w="151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vAlign w:val="center"/>
          </w:tcPr>
          <w:p>
            <w:pPr>
              <w:jc w:val="center"/>
              <w:rPr>
                <w:rFonts w:hint="eastAsia"/>
                <w:b/>
                <w:bCs/>
                <w:sz w:val="24"/>
              </w:rPr>
            </w:pPr>
            <w:r>
              <w:rPr>
                <w:rFonts w:hint="eastAsia"/>
                <w:b/>
                <w:bCs/>
                <w:sz w:val="24"/>
              </w:rPr>
              <w:t>包号</w:t>
            </w:r>
          </w:p>
        </w:tc>
        <w:tc>
          <w:tcPr>
            <w:tcW w:w="2889" w:type="dxa"/>
            <w:vAlign w:val="center"/>
          </w:tcPr>
          <w:p>
            <w:pPr>
              <w:widowControl/>
              <w:jc w:val="center"/>
              <w:rPr>
                <w:rFonts w:hint="eastAsia"/>
                <w:b/>
                <w:bCs/>
                <w:sz w:val="24"/>
              </w:rPr>
            </w:pPr>
            <w:r>
              <w:rPr>
                <w:rFonts w:hint="eastAsia"/>
                <w:b/>
                <w:bCs/>
                <w:sz w:val="24"/>
              </w:rPr>
              <w:t>采购内容</w:t>
            </w:r>
          </w:p>
        </w:tc>
        <w:tc>
          <w:tcPr>
            <w:tcW w:w="1516" w:type="dxa"/>
            <w:vAlign w:val="center"/>
          </w:tcPr>
          <w:p>
            <w:pPr>
              <w:widowControl/>
              <w:jc w:val="center"/>
              <w:rPr>
                <w:rFonts w:hint="eastAsia"/>
                <w:b/>
                <w:bCs/>
                <w:sz w:val="24"/>
              </w:rPr>
            </w:pPr>
            <w:r>
              <w:rPr>
                <w:rFonts w:hint="eastAsia"/>
                <w:b/>
                <w:bCs/>
                <w:sz w:val="24"/>
              </w:rPr>
              <w:t>数量</w:t>
            </w:r>
          </w:p>
          <w:p>
            <w:pPr>
              <w:widowControl/>
              <w:jc w:val="center"/>
              <w:rPr>
                <w:rFonts w:hint="eastAsia"/>
                <w:b/>
                <w:bCs/>
                <w:sz w:val="24"/>
                <w:lang w:eastAsia="zh-CN"/>
              </w:rPr>
            </w:pPr>
            <w:r>
              <w:rPr>
                <w:rFonts w:hint="eastAsia"/>
                <w:b/>
                <w:bCs/>
                <w:sz w:val="24"/>
                <w:lang w:eastAsia="zh-CN"/>
              </w:rPr>
              <w:t>（项）</w:t>
            </w:r>
          </w:p>
        </w:tc>
        <w:tc>
          <w:tcPr>
            <w:tcW w:w="1548" w:type="dxa"/>
            <w:vAlign w:val="center"/>
          </w:tcPr>
          <w:p>
            <w:pPr>
              <w:widowControl/>
              <w:jc w:val="center"/>
              <w:rPr>
                <w:rFonts w:hint="eastAsia"/>
                <w:b/>
                <w:bCs/>
                <w:sz w:val="24"/>
                <w:lang w:eastAsia="zh-CN"/>
              </w:rPr>
            </w:pPr>
            <w:r>
              <w:rPr>
                <w:rFonts w:hint="eastAsia"/>
                <w:b/>
                <w:bCs/>
                <w:sz w:val="24"/>
                <w:lang w:eastAsia="zh-CN"/>
              </w:rPr>
              <w:t>是否允许采购进口产品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vMerge w:val="restart"/>
            <w:vAlign w:val="center"/>
          </w:tcPr>
          <w:p>
            <w:pPr>
              <w:widowControl/>
              <w:jc w:val="center"/>
              <w:textAlignment w:val="center"/>
              <w:rPr>
                <w:rFonts w:hint="eastAsia"/>
                <w:color w:val="000000"/>
                <w:lang w:eastAsia="zh-CN" w:bidi="ar"/>
              </w:rPr>
            </w:pPr>
            <w:r>
              <w:rPr>
                <w:rFonts w:hint="eastAsia"/>
                <w:color w:val="000000"/>
                <w:lang w:eastAsia="zh-CN" w:bidi="ar"/>
              </w:rPr>
              <w:t>1</w:t>
            </w:r>
          </w:p>
        </w:tc>
        <w:tc>
          <w:tcPr>
            <w:tcW w:w="2889" w:type="dxa"/>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color w:val="000000"/>
                <w:lang w:eastAsia="zh-CN" w:bidi="ar"/>
              </w:rPr>
              <w:t>宏基因组（病毒颗粒富集）</w:t>
            </w:r>
          </w:p>
        </w:tc>
        <w:tc>
          <w:tcPr>
            <w:tcW w:w="1516" w:type="dxa"/>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color w:val="000000"/>
                <w:sz w:val="24"/>
                <w:szCs w:val="24"/>
                <w:lang w:eastAsia="zh-CN" w:bidi="ar"/>
              </w:rPr>
              <w:t>1</w:t>
            </w:r>
          </w:p>
        </w:tc>
        <w:tc>
          <w:tcPr>
            <w:tcW w:w="1548" w:type="dxa"/>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color w:val="000000"/>
                <w:sz w:val="24"/>
                <w:szCs w:val="24"/>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vMerge w:val="continue"/>
            <w:vAlign w:val="center"/>
          </w:tcPr>
          <w:p>
            <w:pPr>
              <w:widowControl/>
              <w:jc w:val="center"/>
              <w:textAlignment w:val="center"/>
              <w:rPr>
                <w:rFonts w:hint="eastAsia"/>
                <w:color w:val="000000"/>
                <w:lang w:eastAsia="zh-CN" w:bidi="ar"/>
              </w:rPr>
            </w:pPr>
          </w:p>
        </w:tc>
        <w:tc>
          <w:tcPr>
            <w:tcW w:w="2889" w:type="dxa"/>
            <w:vAlign w:val="center"/>
          </w:tcPr>
          <w:p>
            <w:pPr>
              <w:widowControl/>
              <w:jc w:val="center"/>
              <w:textAlignment w:val="center"/>
              <w:rPr>
                <w:rFonts w:hint="eastAsia"/>
                <w:sz w:val="24"/>
                <w:szCs w:val="24"/>
                <w:lang w:eastAsia="zh-CN"/>
              </w:rPr>
            </w:pPr>
            <w:r>
              <w:rPr>
                <w:rFonts w:hint="eastAsia"/>
                <w:color w:val="000000"/>
                <w:lang w:eastAsia="zh-CN" w:bidi="ar"/>
              </w:rPr>
              <w:t>代谢组测序</w:t>
            </w:r>
          </w:p>
        </w:tc>
        <w:tc>
          <w:tcPr>
            <w:tcW w:w="1516" w:type="dxa"/>
            <w:vAlign w:val="center"/>
          </w:tcPr>
          <w:p>
            <w:pPr>
              <w:widowControl/>
              <w:jc w:val="center"/>
              <w:textAlignment w:val="center"/>
              <w:rPr>
                <w:rFonts w:hint="eastAsia"/>
                <w:sz w:val="24"/>
                <w:szCs w:val="24"/>
                <w:lang w:eastAsia="zh-CN"/>
              </w:rPr>
            </w:pPr>
            <w:bookmarkStart w:id="0" w:name="OLE_LINK5"/>
            <w:r>
              <w:rPr>
                <w:rFonts w:hint="eastAsia"/>
                <w:color w:val="000000"/>
                <w:sz w:val="24"/>
                <w:szCs w:val="24"/>
                <w:lang w:eastAsia="zh-CN" w:bidi="ar"/>
              </w:rPr>
              <w:t>1</w:t>
            </w:r>
            <w:bookmarkEnd w:id="0"/>
          </w:p>
        </w:tc>
        <w:tc>
          <w:tcPr>
            <w:tcW w:w="1548" w:type="dxa"/>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color w:val="000000"/>
                <w:sz w:val="24"/>
                <w:szCs w:val="24"/>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vMerge w:val="continue"/>
            <w:vAlign w:val="center"/>
          </w:tcPr>
          <w:p>
            <w:pPr>
              <w:widowControl/>
              <w:jc w:val="center"/>
              <w:textAlignment w:val="center"/>
              <w:rPr>
                <w:rFonts w:hint="eastAsia"/>
                <w:color w:val="000000"/>
                <w:lang w:eastAsia="zh-CN" w:bidi="ar"/>
              </w:rPr>
            </w:pPr>
          </w:p>
        </w:tc>
        <w:tc>
          <w:tcPr>
            <w:tcW w:w="2889" w:type="dxa"/>
            <w:vAlign w:val="center"/>
          </w:tcPr>
          <w:p>
            <w:pPr>
              <w:widowControl/>
              <w:jc w:val="center"/>
              <w:textAlignment w:val="center"/>
              <w:rPr>
                <w:rFonts w:hint="eastAsia"/>
                <w:sz w:val="24"/>
                <w:szCs w:val="24"/>
                <w:lang w:eastAsia="zh-CN"/>
              </w:rPr>
            </w:pPr>
            <w:r>
              <w:rPr>
                <w:rFonts w:hint="eastAsia"/>
                <w:color w:val="000000"/>
                <w:lang w:eastAsia="zh-CN" w:bidi="ar"/>
              </w:rPr>
              <w:t>定量脂质组</w:t>
            </w:r>
          </w:p>
        </w:tc>
        <w:tc>
          <w:tcPr>
            <w:tcW w:w="1516" w:type="dxa"/>
            <w:vAlign w:val="center"/>
          </w:tcPr>
          <w:p>
            <w:pPr>
              <w:widowControl/>
              <w:jc w:val="center"/>
              <w:textAlignment w:val="center"/>
              <w:rPr>
                <w:rFonts w:hint="eastAsia"/>
                <w:sz w:val="24"/>
                <w:szCs w:val="24"/>
                <w:lang w:eastAsia="zh-CN"/>
              </w:rPr>
            </w:pPr>
            <w:r>
              <w:rPr>
                <w:rFonts w:hint="eastAsia"/>
                <w:color w:val="000000"/>
                <w:sz w:val="24"/>
                <w:szCs w:val="24"/>
                <w:lang w:eastAsia="zh-CN" w:bidi="ar"/>
              </w:rPr>
              <w:t>1</w:t>
            </w:r>
          </w:p>
        </w:tc>
        <w:tc>
          <w:tcPr>
            <w:tcW w:w="1548" w:type="dxa"/>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color w:val="000000"/>
                <w:sz w:val="24"/>
                <w:szCs w:val="24"/>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vAlign w:val="center"/>
          </w:tcPr>
          <w:p>
            <w:pPr>
              <w:widowControl/>
              <w:jc w:val="center"/>
              <w:textAlignment w:val="center"/>
              <w:rPr>
                <w:rFonts w:hint="eastAsia"/>
                <w:color w:val="000000"/>
                <w:lang w:eastAsia="zh-CN" w:bidi="ar"/>
              </w:rPr>
            </w:pPr>
            <w:r>
              <w:rPr>
                <w:rFonts w:hint="eastAsia"/>
                <w:color w:val="000000"/>
                <w:lang w:eastAsia="zh-CN" w:bidi="ar"/>
              </w:rPr>
              <w:t>2</w:t>
            </w:r>
          </w:p>
        </w:tc>
        <w:tc>
          <w:tcPr>
            <w:tcW w:w="2889" w:type="dxa"/>
            <w:vAlign w:val="center"/>
          </w:tcPr>
          <w:p>
            <w:pPr>
              <w:widowControl/>
              <w:jc w:val="center"/>
              <w:textAlignment w:val="center"/>
              <w:rPr>
                <w:rFonts w:hint="eastAsia"/>
                <w:color w:val="000000"/>
                <w:sz w:val="24"/>
                <w:szCs w:val="24"/>
                <w:lang w:eastAsia="zh-CN" w:bidi="ar"/>
              </w:rPr>
            </w:pPr>
            <w:r>
              <w:rPr>
                <w:rFonts w:hint="eastAsia"/>
                <w:color w:val="000000"/>
                <w:lang w:eastAsia="zh-CN" w:bidi="ar"/>
              </w:rPr>
              <w:t>单细胞测序</w:t>
            </w:r>
          </w:p>
        </w:tc>
        <w:tc>
          <w:tcPr>
            <w:tcW w:w="1516" w:type="dxa"/>
            <w:vAlign w:val="center"/>
          </w:tcPr>
          <w:p>
            <w:pPr>
              <w:widowControl/>
              <w:jc w:val="center"/>
              <w:textAlignment w:val="center"/>
              <w:rPr>
                <w:rFonts w:hint="eastAsia"/>
                <w:color w:val="000000"/>
                <w:sz w:val="24"/>
                <w:szCs w:val="24"/>
                <w:lang w:eastAsia="zh-CN" w:bidi="ar"/>
              </w:rPr>
            </w:pPr>
            <w:r>
              <w:rPr>
                <w:rFonts w:hint="eastAsia"/>
                <w:color w:val="000000"/>
                <w:sz w:val="24"/>
                <w:szCs w:val="24"/>
                <w:lang w:eastAsia="zh-CN" w:bidi="ar"/>
              </w:rPr>
              <w:t>1</w:t>
            </w:r>
          </w:p>
        </w:tc>
        <w:tc>
          <w:tcPr>
            <w:tcW w:w="1548" w:type="dxa"/>
            <w:vAlign w:val="center"/>
          </w:tcPr>
          <w:p>
            <w:pPr>
              <w:widowControl/>
              <w:jc w:val="center"/>
              <w:textAlignment w:val="center"/>
              <w:rPr>
                <w:rFonts w:hint="eastAsia"/>
                <w:color w:val="000000"/>
                <w:sz w:val="24"/>
                <w:szCs w:val="24"/>
                <w:lang w:eastAsia="zh-CN" w:bidi="ar"/>
              </w:rPr>
            </w:pPr>
            <w:r>
              <w:rPr>
                <w:rFonts w:hint="eastAsia"/>
                <w:color w:val="000000"/>
                <w:sz w:val="24"/>
                <w:szCs w:val="24"/>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2" w:type="dxa"/>
            <w:vAlign w:val="center"/>
          </w:tcPr>
          <w:p>
            <w:pPr>
              <w:widowControl/>
              <w:jc w:val="center"/>
              <w:textAlignment w:val="center"/>
              <w:rPr>
                <w:rFonts w:hint="eastAsia"/>
                <w:color w:val="000000"/>
                <w:lang w:eastAsia="zh-CN" w:bidi="ar"/>
              </w:rPr>
            </w:pPr>
            <w:r>
              <w:rPr>
                <w:rFonts w:hint="eastAsia"/>
                <w:color w:val="000000"/>
                <w:lang w:eastAsia="zh-CN" w:bidi="ar"/>
              </w:rPr>
              <w:t>3</w:t>
            </w:r>
          </w:p>
        </w:tc>
        <w:tc>
          <w:tcPr>
            <w:tcW w:w="2889" w:type="dxa"/>
            <w:vAlign w:val="center"/>
          </w:tcPr>
          <w:p>
            <w:pPr>
              <w:widowControl/>
              <w:jc w:val="center"/>
              <w:textAlignment w:val="center"/>
              <w:rPr>
                <w:rFonts w:hint="eastAsia"/>
                <w:color w:val="000000"/>
                <w:sz w:val="24"/>
                <w:szCs w:val="24"/>
                <w:lang w:eastAsia="zh-CN" w:bidi="ar"/>
              </w:rPr>
            </w:pPr>
            <w:r>
              <w:rPr>
                <w:rFonts w:hint="eastAsia"/>
                <w:color w:val="000000"/>
                <w:lang w:eastAsia="zh-CN" w:bidi="ar"/>
              </w:rPr>
              <w:t>宏基因组三代测序</w:t>
            </w:r>
          </w:p>
        </w:tc>
        <w:tc>
          <w:tcPr>
            <w:tcW w:w="1516" w:type="dxa"/>
            <w:vAlign w:val="center"/>
          </w:tcPr>
          <w:p>
            <w:pPr>
              <w:widowControl/>
              <w:jc w:val="center"/>
              <w:textAlignment w:val="center"/>
              <w:rPr>
                <w:rFonts w:hint="eastAsia"/>
                <w:color w:val="000000"/>
                <w:sz w:val="24"/>
                <w:szCs w:val="24"/>
                <w:lang w:eastAsia="zh-CN" w:bidi="ar"/>
              </w:rPr>
            </w:pPr>
            <w:r>
              <w:rPr>
                <w:rFonts w:hint="eastAsia"/>
                <w:color w:val="000000"/>
                <w:sz w:val="24"/>
                <w:szCs w:val="24"/>
                <w:lang w:eastAsia="zh-CN" w:bidi="ar"/>
              </w:rPr>
              <w:t>1</w:t>
            </w:r>
          </w:p>
        </w:tc>
        <w:tc>
          <w:tcPr>
            <w:tcW w:w="1548" w:type="dxa"/>
            <w:vAlign w:val="center"/>
          </w:tcPr>
          <w:p>
            <w:pPr>
              <w:widowControl/>
              <w:jc w:val="center"/>
              <w:textAlignment w:val="center"/>
              <w:rPr>
                <w:rFonts w:hint="eastAsia"/>
                <w:color w:val="000000"/>
                <w:sz w:val="24"/>
                <w:szCs w:val="24"/>
                <w:lang w:eastAsia="zh-CN" w:bidi="ar"/>
              </w:rPr>
            </w:pPr>
            <w:r>
              <w:rPr>
                <w:rFonts w:hint="eastAsia"/>
                <w:color w:val="000000"/>
                <w:sz w:val="24"/>
                <w:szCs w:val="24"/>
                <w:lang w:eastAsia="zh-CN" w:bidi="ar"/>
              </w:rPr>
              <w:t>否</w:t>
            </w:r>
          </w:p>
        </w:tc>
      </w:tr>
    </w:tbl>
    <w:p>
      <w:pPr>
        <w:pStyle w:val="10"/>
        <w:spacing w:before="240" w:beforeLines="100" w:line="360" w:lineRule="auto"/>
        <w:ind w:left="499" w:hanging="499" w:firstLineChars="0"/>
        <w:contextualSpacing/>
        <w:rPr>
          <w:b/>
          <w:sz w:val="24"/>
        </w:rPr>
      </w:pPr>
      <w:r>
        <w:rPr>
          <w:rFonts w:hint="eastAsia"/>
          <w:b/>
          <w:sz w:val="24"/>
        </w:rPr>
        <w:t>二</w:t>
      </w:r>
      <w:r>
        <w:rPr>
          <w:b/>
          <w:sz w:val="24"/>
        </w:rPr>
        <w:t>、商务要求</w:t>
      </w:r>
    </w:p>
    <w:p>
      <w:pPr>
        <w:spacing w:line="360" w:lineRule="auto"/>
        <w:contextualSpacing/>
        <w:rPr>
          <w:rFonts w:hint="eastAsia"/>
          <w:kern w:val="2"/>
          <w:sz w:val="24"/>
          <w:szCs w:val="24"/>
          <w:lang w:eastAsia="zh-CN"/>
        </w:rPr>
      </w:pPr>
      <w:r>
        <w:rPr>
          <w:sz w:val="24"/>
        </w:rPr>
        <w:t>1.</w:t>
      </w:r>
      <w:r>
        <w:rPr>
          <w:rFonts w:hint="eastAsia"/>
          <w:kern w:val="2"/>
          <w:sz w:val="24"/>
          <w:szCs w:val="24"/>
          <w:lang w:eastAsia="zh-CN"/>
        </w:rPr>
        <w:t xml:space="preserve"> 实施的期限和地点</w:t>
      </w:r>
    </w:p>
    <w:p>
      <w:pPr>
        <w:autoSpaceDE/>
        <w:autoSpaceDN/>
        <w:spacing w:line="360" w:lineRule="auto"/>
        <w:contextualSpacing/>
        <w:rPr>
          <w:rFonts w:hint="eastAsia"/>
          <w:kern w:val="2"/>
          <w:sz w:val="24"/>
          <w:szCs w:val="24"/>
          <w:lang w:eastAsia="zh-CN"/>
        </w:rPr>
      </w:pPr>
      <w:r>
        <w:rPr>
          <w:rFonts w:hint="eastAsia"/>
          <w:kern w:val="2"/>
          <w:sz w:val="24"/>
          <w:szCs w:val="24"/>
          <w:lang w:eastAsia="zh-CN"/>
        </w:rPr>
        <w:t>1.1 交付时间/实施期限：合同签订后3个月内</w:t>
      </w:r>
    </w:p>
    <w:p>
      <w:pPr>
        <w:autoSpaceDE/>
        <w:autoSpaceDN/>
        <w:spacing w:line="360" w:lineRule="auto"/>
        <w:contextualSpacing/>
        <w:rPr>
          <w:rFonts w:hint="eastAsia"/>
          <w:kern w:val="2"/>
          <w:sz w:val="24"/>
          <w:szCs w:val="24"/>
          <w:lang w:eastAsia="zh-CN"/>
        </w:rPr>
      </w:pPr>
      <w:r>
        <w:rPr>
          <w:rFonts w:hint="eastAsia"/>
          <w:kern w:val="2"/>
          <w:sz w:val="24"/>
          <w:szCs w:val="24"/>
          <w:lang w:eastAsia="zh-CN"/>
        </w:rPr>
        <w:t>1.2 交付地点：北京市朝阳区工体南路8号</w:t>
      </w:r>
    </w:p>
    <w:p>
      <w:pPr>
        <w:autoSpaceDE/>
        <w:autoSpaceDN/>
        <w:spacing w:line="360" w:lineRule="auto"/>
        <w:contextualSpacing/>
        <w:rPr>
          <w:rFonts w:hint="eastAsia"/>
          <w:kern w:val="2"/>
          <w:sz w:val="24"/>
          <w:szCs w:val="24"/>
          <w:lang w:eastAsia="zh-CN"/>
        </w:rPr>
      </w:pPr>
      <w:r>
        <w:rPr>
          <w:rFonts w:hint="eastAsia"/>
          <w:kern w:val="2"/>
          <w:sz w:val="24"/>
          <w:szCs w:val="24"/>
          <w:lang w:eastAsia="zh-CN"/>
        </w:rPr>
        <w:t>2. 付款条件（进度和方式）</w:t>
      </w:r>
    </w:p>
    <w:p>
      <w:pPr>
        <w:autoSpaceDE/>
        <w:autoSpaceDN/>
        <w:spacing w:line="360" w:lineRule="auto"/>
        <w:ind w:firstLine="360"/>
        <w:rPr>
          <w:rFonts w:hint="eastAsia"/>
          <w:sz w:val="24"/>
          <w:lang w:eastAsia="zh-CN"/>
        </w:rPr>
      </w:pPr>
      <w:r>
        <w:rPr>
          <w:rFonts w:hint="eastAsia"/>
          <w:sz w:val="24"/>
          <w:lang w:eastAsia="zh-CN"/>
        </w:rPr>
        <w:t>自合同签订生效后15个工作日内，支付本合同70%货款；完成验收后30天内支付本合同30%货款。</w:t>
      </w:r>
    </w:p>
    <w:p>
      <w:pPr>
        <w:numPr>
          <w:ilvl w:val="0"/>
          <w:numId w:val="1"/>
        </w:numPr>
        <w:spacing w:line="360" w:lineRule="auto"/>
        <w:contextualSpacing/>
        <w:rPr>
          <w:rFonts w:hint="eastAsia"/>
          <w:sz w:val="24"/>
          <w:lang w:eastAsia="zh-CN"/>
        </w:rPr>
      </w:pPr>
      <w:r>
        <w:rPr>
          <w:sz w:val="24"/>
          <w:lang w:eastAsia="zh-CN"/>
        </w:rPr>
        <w:t>包装和运输（如适用，须满足《关于印发〈商品包装政府采购需求标准（试行）〉、〈快递包装政府采购需求标准（试行）〉的通知》（财办库﹝2020﹞123号））</w:t>
      </w:r>
    </w:p>
    <w:p>
      <w:pPr>
        <w:pStyle w:val="5"/>
        <w:ind w:left="0" w:leftChars="0"/>
        <w:rPr>
          <w:rFonts w:hint="eastAsia"/>
          <w:sz w:val="24"/>
          <w:lang w:eastAsia="zh-CN"/>
        </w:rPr>
      </w:pPr>
      <w:r>
        <w:rPr>
          <w:rFonts w:hint="eastAsia"/>
          <w:sz w:val="24"/>
          <w:lang w:eastAsia="zh-CN"/>
        </w:rPr>
        <w:t>4. 售后服务要求（质保期等）：交付结果后的1年内及时解决课题组对于项目相关的问题。</w:t>
      </w:r>
    </w:p>
    <w:p>
      <w:pPr>
        <w:pStyle w:val="10"/>
        <w:spacing w:line="360" w:lineRule="auto"/>
        <w:ind w:left="500" w:hanging="500" w:firstLineChars="0"/>
        <w:contextualSpacing/>
        <w:rPr>
          <w:b/>
          <w:sz w:val="24"/>
        </w:rPr>
      </w:pPr>
      <w:r>
        <w:rPr>
          <w:rFonts w:hint="eastAsia"/>
          <w:b/>
          <w:sz w:val="24"/>
        </w:rPr>
        <w:t>三</w:t>
      </w:r>
      <w:r>
        <w:rPr>
          <w:b/>
          <w:sz w:val="24"/>
        </w:rPr>
        <w:t>、技术要求</w:t>
      </w:r>
    </w:p>
    <w:p>
      <w:pPr>
        <w:spacing w:line="360" w:lineRule="auto"/>
        <w:contextualSpacing/>
        <w:rPr>
          <w:rFonts w:hint="eastAsia"/>
          <w:sz w:val="24"/>
          <w:lang w:eastAsia="zh-CN"/>
        </w:rPr>
      </w:pPr>
      <w:r>
        <w:rPr>
          <w:sz w:val="24"/>
          <w:lang w:eastAsia="zh-CN"/>
        </w:rPr>
        <w:t>1. 基本要求</w:t>
      </w:r>
    </w:p>
    <w:p>
      <w:pPr>
        <w:spacing w:line="360" w:lineRule="auto"/>
        <w:ind w:firstLine="480" w:firstLineChars="200"/>
        <w:contextualSpacing/>
        <w:rPr>
          <w:rFonts w:hint="eastAsia"/>
          <w:sz w:val="24"/>
          <w:lang w:eastAsia="zh-CN"/>
        </w:rPr>
      </w:pPr>
      <w:r>
        <w:rPr>
          <w:sz w:val="24"/>
          <w:lang w:eastAsia="zh-CN"/>
        </w:rPr>
        <w:t>1.1 采购标的需实现的功能或者目标</w:t>
      </w:r>
    </w:p>
    <w:p>
      <w:pPr>
        <w:adjustRightInd w:val="0"/>
        <w:spacing w:before="50" w:line="360" w:lineRule="auto"/>
        <w:ind w:left="502" w:leftChars="228" w:firstLine="480" w:firstLineChars="200"/>
        <w:rPr>
          <w:rFonts w:hint="eastAsia"/>
          <w:sz w:val="24"/>
          <w:lang w:eastAsia="zh-CN"/>
        </w:rPr>
      </w:pPr>
      <w:r>
        <w:rPr>
          <w:rFonts w:hint="eastAsia"/>
          <w:sz w:val="24"/>
          <w:lang w:eastAsia="zh-CN"/>
        </w:rPr>
        <w:t>本次招标采购是为</w:t>
      </w:r>
      <w:r>
        <w:rPr>
          <w:rFonts w:hint="eastAsia"/>
          <w:kern w:val="2"/>
          <w:sz w:val="24"/>
          <w:szCs w:val="24"/>
          <w:lang w:eastAsia="zh-CN"/>
        </w:rPr>
        <w:t>北京市呼吸疾病研究所</w:t>
      </w:r>
      <w:r>
        <w:rPr>
          <w:rFonts w:hint="eastAsia"/>
          <w:sz w:val="24"/>
          <w:lang w:eastAsia="zh-CN"/>
        </w:rPr>
        <w:t>配置基因测序，供应商应根据招标文件所提出的技术规格和服务要求，综合考虑所投货物的适用性，选择需要最佳性能价格比的货物前来投标。供应商应以先进的技术、优良的服务和优惠的价格，充分显示自己的竞争实力。</w:t>
      </w:r>
    </w:p>
    <w:p>
      <w:pPr>
        <w:spacing w:line="360" w:lineRule="auto"/>
        <w:contextualSpacing/>
        <w:rPr>
          <w:rFonts w:hint="eastAsia"/>
          <w:sz w:val="24"/>
          <w:szCs w:val="24"/>
          <w:lang w:eastAsia="zh-CN"/>
        </w:rPr>
      </w:pPr>
      <w:r>
        <w:rPr>
          <w:sz w:val="24"/>
          <w:szCs w:val="24"/>
          <w:lang w:eastAsia="zh-CN"/>
        </w:rPr>
        <w:t>1.2 需执行的国家相关标准、行业标准、地方标准或者其他标准、规范</w:t>
      </w:r>
    </w:p>
    <w:p>
      <w:pPr>
        <w:spacing w:line="360" w:lineRule="auto"/>
        <w:ind w:firstLine="480" w:firstLineChars="200"/>
        <w:contextualSpacing/>
        <w:rPr>
          <w:rFonts w:hint="eastAsia"/>
          <w:sz w:val="24"/>
          <w:szCs w:val="24"/>
          <w:lang w:eastAsia="zh-CN"/>
        </w:rPr>
      </w:pPr>
      <w:r>
        <w:rPr>
          <w:rFonts w:hint="eastAsia"/>
          <w:sz w:val="24"/>
          <w:lang w:eastAsia="zh-CN"/>
        </w:rPr>
        <w:t>供应商应保证所提供的服务符合国家相关法律法规的要求。</w:t>
      </w:r>
    </w:p>
    <w:p>
      <w:pPr>
        <w:spacing w:line="360" w:lineRule="auto"/>
        <w:contextualSpacing/>
        <w:rPr>
          <w:rFonts w:hint="eastAsia"/>
          <w:i/>
          <w:iCs/>
          <w:sz w:val="24"/>
          <w:lang w:eastAsia="zh-CN"/>
        </w:rPr>
      </w:pPr>
      <w:r>
        <w:rPr>
          <w:rFonts w:hint="eastAsia"/>
          <w:sz w:val="24"/>
          <w:lang w:eastAsia="zh-CN"/>
        </w:rPr>
        <w:t>2.</w:t>
      </w:r>
      <w:r>
        <w:rPr>
          <w:sz w:val="24"/>
          <w:lang w:eastAsia="zh-CN"/>
        </w:rPr>
        <w:t xml:space="preserve"> 验收标准</w:t>
      </w:r>
    </w:p>
    <w:p>
      <w:pPr>
        <w:pStyle w:val="6"/>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1</w:t>
      </w:r>
      <w:r>
        <w:rPr>
          <w:rFonts w:hint="eastAsia"/>
          <w:b w:val="0"/>
          <w:sz w:val="24"/>
          <w:szCs w:val="24"/>
          <w:lang w:eastAsia="zh-CN"/>
        </w:rPr>
        <w:t>符合采购人服务范围要求。</w:t>
      </w:r>
    </w:p>
    <w:p>
      <w:pPr>
        <w:pStyle w:val="6"/>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2</w:t>
      </w:r>
      <w:r>
        <w:rPr>
          <w:rFonts w:hint="eastAsia"/>
          <w:b w:val="0"/>
          <w:sz w:val="24"/>
          <w:szCs w:val="24"/>
          <w:lang w:eastAsia="zh-CN"/>
        </w:rPr>
        <w:t>供应商配置的硬件设备符合采购人要求。</w:t>
      </w:r>
    </w:p>
    <w:p>
      <w:pPr>
        <w:pStyle w:val="6"/>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3</w:t>
      </w:r>
      <w:r>
        <w:rPr>
          <w:rFonts w:hint="eastAsia"/>
          <w:b w:val="0"/>
          <w:sz w:val="24"/>
          <w:szCs w:val="24"/>
          <w:lang w:eastAsia="zh-CN"/>
        </w:rPr>
        <w:t>完成采购人要求的工作内容。</w:t>
      </w:r>
    </w:p>
    <w:p>
      <w:pPr>
        <w:pStyle w:val="6"/>
        <w:spacing w:line="360" w:lineRule="auto"/>
        <w:jc w:val="both"/>
        <w:outlineLvl w:val="9"/>
        <w:rPr>
          <w:rFonts w:hint="eastAsia"/>
          <w:b w:val="0"/>
          <w:sz w:val="24"/>
          <w:szCs w:val="24"/>
          <w:lang w:eastAsia="zh-CN"/>
        </w:rPr>
      </w:pPr>
      <w:r>
        <w:rPr>
          <w:rFonts w:hint="eastAsia"/>
          <w:b w:val="0"/>
          <w:sz w:val="24"/>
          <w:szCs w:val="24"/>
          <w:lang w:eastAsia="zh-CN"/>
        </w:rPr>
        <w:t>2.</w:t>
      </w:r>
      <w:r>
        <w:rPr>
          <w:b w:val="0"/>
          <w:sz w:val="24"/>
          <w:szCs w:val="24"/>
          <w:lang w:eastAsia="zh-CN"/>
        </w:rPr>
        <w:t>4</w:t>
      </w:r>
      <w:r>
        <w:rPr>
          <w:rFonts w:hint="eastAsia"/>
          <w:b w:val="0"/>
          <w:sz w:val="24"/>
          <w:szCs w:val="24"/>
          <w:lang w:eastAsia="zh-CN"/>
        </w:rPr>
        <w:t>达到采购人要求的服务和质量标准。</w:t>
      </w:r>
    </w:p>
    <w:p>
      <w:pPr>
        <w:spacing w:line="360" w:lineRule="auto"/>
        <w:contextualSpacing/>
        <w:rPr>
          <w:rFonts w:hint="eastAsia"/>
          <w:sz w:val="24"/>
          <w:lang w:eastAsia="zh-CN"/>
        </w:rPr>
      </w:pPr>
      <w:r>
        <w:rPr>
          <w:rFonts w:hint="eastAsia"/>
          <w:sz w:val="24"/>
          <w:lang w:eastAsia="zh-CN"/>
        </w:rPr>
        <w:t>3</w:t>
      </w:r>
      <w:r>
        <w:rPr>
          <w:sz w:val="24"/>
          <w:lang w:eastAsia="zh-CN"/>
        </w:rPr>
        <w:t xml:space="preserve">. </w:t>
      </w:r>
      <w:r>
        <w:rPr>
          <w:rFonts w:hint="eastAsia"/>
          <w:sz w:val="24"/>
          <w:lang w:eastAsia="zh-CN"/>
        </w:rPr>
        <w:t>服务内容要求、</w:t>
      </w:r>
      <w:r>
        <w:rPr>
          <w:sz w:val="24"/>
          <w:lang w:eastAsia="zh-CN"/>
        </w:rPr>
        <w:t>技术要求</w:t>
      </w:r>
    </w:p>
    <w:p>
      <w:pPr>
        <w:widowControl/>
        <w:spacing w:line="360" w:lineRule="auto"/>
        <w:contextualSpacing/>
        <w:rPr>
          <w:rFonts w:hint="eastAsia"/>
          <w:sz w:val="24"/>
          <w:lang w:eastAsia="zh-CN"/>
        </w:rPr>
      </w:pPr>
      <w:r>
        <w:rPr>
          <w:rFonts w:hint="eastAsia"/>
          <w:sz w:val="24"/>
          <w:lang w:eastAsia="zh-CN"/>
        </w:rPr>
        <w:t>3</w:t>
      </w:r>
      <w:r>
        <w:rPr>
          <w:sz w:val="24"/>
          <w:lang w:eastAsia="zh-CN"/>
        </w:rPr>
        <w:t>.1采购标的需满足的性能、材料、结构、外观、质量、安全、技术规格、物理特性等要求；</w:t>
      </w:r>
    </w:p>
    <w:p>
      <w:pPr>
        <w:widowControl/>
        <w:spacing w:line="360" w:lineRule="auto"/>
        <w:ind w:firstLine="480" w:firstLineChars="200"/>
        <w:contextualSpacing/>
        <w:rPr>
          <w:rFonts w:hint="eastAsia"/>
          <w:sz w:val="24"/>
          <w:lang w:eastAsia="zh-CN"/>
        </w:rPr>
      </w:pPr>
      <w:r>
        <w:rPr>
          <w:rFonts w:hint="eastAsia"/>
          <w:sz w:val="24"/>
          <w:lang w:eastAsia="zh-CN"/>
        </w:rPr>
        <w:t>详见</w:t>
      </w:r>
      <w:r>
        <w:rPr>
          <w:sz w:val="24"/>
          <w:lang w:eastAsia="zh-CN"/>
        </w:rPr>
        <w:t>其他技术、服务等要求</w:t>
      </w:r>
    </w:p>
    <w:p>
      <w:pPr>
        <w:widowControl/>
        <w:spacing w:line="360" w:lineRule="auto"/>
        <w:contextualSpacing/>
        <w:rPr>
          <w:rFonts w:hint="eastAsia"/>
          <w:sz w:val="24"/>
          <w:lang w:eastAsia="zh-CN"/>
        </w:rPr>
      </w:pPr>
      <w:r>
        <w:rPr>
          <w:rFonts w:hint="eastAsia"/>
          <w:sz w:val="24"/>
          <w:lang w:eastAsia="zh-CN"/>
        </w:rPr>
        <w:t>3</w:t>
      </w:r>
      <w:r>
        <w:rPr>
          <w:sz w:val="24"/>
          <w:lang w:eastAsia="zh-CN"/>
        </w:rPr>
        <w:t>.2采购标的需满足的服务标准、期限、效率等要求；</w:t>
      </w:r>
    </w:p>
    <w:p>
      <w:pPr>
        <w:widowControl/>
        <w:spacing w:line="360" w:lineRule="auto"/>
        <w:ind w:firstLine="480" w:firstLineChars="200"/>
        <w:contextualSpacing/>
        <w:rPr>
          <w:rFonts w:hint="eastAsia"/>
          <w:sz w:val="24"/>
          <w:lang w:eastAsia="zh-CN"/>
        </w:rPr>
      </w:pPr>
      <w:r>
        <w:rPr>
          <w:rFonts w:hint="eastAsia"/>
          <w:sz w:val="24"/>
          <w:lang w:eastAsia="zh-CN"/>
        </w:rPr>
        <w:t>详见</w:t>
      </w:r>
      <w:r>
        <w:rPr>
          <w:sz w:val="24"/>
          <w:lang w:eastAsia="zh-CN"/>
        </w:rPr>
        <w:t>其他技术、服务等要求</w:t>
      </w:r>
    </w:p>
    <w:p>
      <w:pPr>
        <w:tabs>
          <w:tab w:val="left" w:pos="900"/>
        </w:tabs>
        <w:spacing w:line="360" w:lineRule="auto"/>
        <w:ind w:left="480" w:hanging="480" w:hangingChars="200"/>
        <w:rPr>
          <w:rFonts w:hint="eastAsia"/>
          <w:b/>
          <w:bCs/>
          <w:sz w:val="24"/>
          <w:lang w:eastAsia="zh-CN"/>
        </w:rPr>
      </w:pPr>
      <w:r>
        <w:rPr>
          <w:rFonts w:hint="eastAsia"/>
          <w:sz w:val="24"/>
          <w:lang w:eastAsia="zh-CN"/>
        </w:rPr>
        <w:t>3</w:t>
      </w:r>
      <w:r>
        <w:rPr>
          <w:sz w:val="24"/>
          <w:lang w:eastAsia="zh-CN"/>
        </w:rPr>
        <w:t>.3为落实政府采购政策需满足的要求为落实政府采购政策需满足的要求</w:t>
      </w:r>
      <w:r>
        <w:rPr>
          <w:rFonts w:hint="eastAsia"/>
          <w:b/>
          <w:bCs/>
          <w:sz w:val="24"/>
          <w:lang w:eastAsia="zh-CN"/>
        </w:rPr>
        <w:t>（专门面向中小企业采购或预留份额的情况不享受政策优惠扣除）</w:t>
      </w:r>
    </w:p>
    <w:p>
      <w:pPr>
        <w:tabs>
          <w:tab w:val="left" w:pos="900"/>
        </w:tabs>
        <w:spacing w:line="360" w:lineRule="auto"/>
        <w:rPr>
          <w:rFonts w:hint="eastAsia"/>
          <w:sz w:val="24"/>
          <w:lang w:eastAsia="zh-CN"/>
        </w:rPr>
      </w:pPr>
      <w:r>
        <w:rPr>
          <w:rFonts w:hint="eastAsia"/>
          <w:sz w:val="24"/>
          <w:lang w:eastAsia="zh-CN"/>
        </w:rPr>
        <w:t>1）促进中小企业发展政策：根据《政府采购促进中小企业发展管理办法》的通知（财库〔</w:t>
      </w:r>
      <w:r>
        <w:rPr>
          <w:sz w:val="24"/>
          <w:lang w:eastAsia="zh-CN"/>
        </w:rPr>
        <w:t>2020</w:t>
      </w:r>
      <w:r>
        <w:rPr>
          <w:rFonts w:hint="eastAsia"/>
          <w:sz w:val="24"/>
          <w:lang w:eastAsia="zh-CN"/>
        </w:rPr>
        <w:t>〕</w:t>
      </w:r>
      <w:r>
        <w:rPr>
          <w:sz w:val="24"/>
          <w:lang w:eastAsia="zh-CN"/>
        </w:rPr>
        <w:t>46</w:t>
      </w:r>
      <w:r>
        <w:rPr>
          <w:rFonts w:hint="eastAsia"/>
          <w:sz w:val="24"/>
          <w:lang w:eastAsia="zh-CN"/>
        </w:rPr>
        <w:t>号）规定，本项目供应商所投产品为中小企业制造或提供服务由中小企业承接的，</w:t>
      </w:r>
      <w:r>
        <w:rPr>
          <w:rFonts w:hint="eastAsia"/>
          <w:b/>
          <w:bCs/>
          <w:sz w:val="24"/>
          <w:lang w:eastAsia="zh-CN"/>
        </w:rPr>
        <w:t>供应商应出具招标文件要求的《中小企业声明函》给予证明，否则评标时不予认可</w:t>
      </w:r>
      <w:r>
        <w:rPr>
          <w:rFonts w:hint="eastAsia"/>
          <w:sz w:val="24"/>
          <w:lang w:eastAsia="zh-CN"/>
        </w:rPr>
        <w:t>。</w:t>
      </w:r>
      <w:r>
        <w:rPr>
          <w:rFonts w:hint="eastAsia"/>
          <w:b/>
          <w:bCs/>
          <w:sz w:val="24"/>
          <w:lang w:eastAsia="zh-CN"/>
        </w:rPr>
        <w:t>供应商应对提交的中小企业声明函的真实性负责，</w:t>
      </w:r>
      <w:r>
        <w:rPr>
          <w:rFonts w:hint="eastAsia"/>
          <w:sz w:val="24"/>
          <w:lang w:eastAsia="zh-CN"/>
        </w:rPr>
        <w:t>提交的中小企业声明函不真实的，应承担相应的法律责任。</w:t>
      </w:r>
    </w:p>
    <w:p>
      <w:pPr>
        <w:tabs>
          <w:tab w:val="left" w:pos="900"/>
        </w:tabs>
        <w:spacing w:line="360" w:lineRule="auto"/>
        <w:rPr>
          <w:rFonts w:hint="eastAsia"/>
          <w:sz w:val="24"/>
          <w:lang w:eastAsia="zh-CN"/>
        </w:rPr>
      </w:pPr>
      <w:r>
        <w:rPr>
          <w:rFonts w:hint="eastAsia"/>
          <w:sz w:val="24"/>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pPr>
        <w:tabs>
          <w:tab w:val="left" w:pos="900"/>
        </w:tabs>
        <w:spacing w:line="360" w:lineRule="auto"/>
        <w:rPr>
          <w:rFonts w:hint="eastAsia"/>
          <w:sz w:val="24"/>
          <w:lang w:eastAsia="zh-CN"/>
        </w:rPr>
      </w:pPr>
      <w:r>
        <w:rPr>
          <w:rFonts w:hint="eastAsia"/>
          <w:sz w:val="24"/>
          <w:lang w:eastAsia="zh-CN"/>
        </w:rPr>
        <w:t>3）促进残疾人就业政府采购政策：根据《三部门联合发布关于促进残疾人就业政府采购政策的通知》（财库〔</w:t>
      </w:r>
      <w:r>
        <w:rPr>
          <w:sz w:val="24"/>
          <w:lang w:eastAsia="zh-CN"/>
        </w:rPr>
        <w:t>2017</w:t>
      </w:r>
      <w:r>
        <w:rPr>
          <w:rFonts w:hint="eastAsia"/>
          <w:sz w:val="24"/>
          <w:lang w:eastAsia="zh-CN"/>
        </w:rPr>
        <w:t>〕</w:t>
      </w:r>
      <w:r>
        <w:rPr>
          <w:sz w:val="24"/>
          <w:lang w:eastAsia="zh-CN"/>
        </w:rPr>
        <w:t>141</w:t>
      </w:r>
      <w:r>
        <w:rPr>
          <w:rFonts w:hint="eastAsia"/>
          <w:sz w:val="24"/>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tabs>
          <w:tab w:val="left" w:pos="900"/>
        </w:tabs>
        <w:spacing w:before="120" w:beforeLines="50" w:line="360" w:lineRule="auto"/>
        <w:rPr>
          <w:rFonts w:hint="eastAsia"/>
          <w:b/>
          <w:sz w:val="24"/>
          <w:lang w:eastAsia="zh-CN"/>
        </w:rPr>
      </w:pPr>
      <w:r>
        <w:rPr>
          <w:rFonts w:hint="eastAsia"/>
          <w:sz w:val="24"/>
          <w:lang w:eastAsia="zh-CN"/>
        </w:rPr>
        <w:t>4）鼓励节能、环保政策：依据《财政部发展改革委生态环境部市场监管总局关于调整优化节能产品、环境标志产品政府采购执行机制的通知（财库（</w:t>
      </w:r>
      <w:r>
        <w:rPr>
          <w:sz w:val="24"/>
          <w:lang w:eastAsia="zh-CN"/>
        </w:rPr>
        <w:t>2019</w:t>
      </w:r>
      <w:r>
        <w:rPr>
          <w:rFonts w:hint="eastAsia"/>
          <w:sz w:val="24"/>
          <w:lang w:eastAsia="zh-CN"/>
        </w:rPr>
        <w:t>）</w:t>
      </w:r>
      <w:r>
        <w:rPr>
          <w:sz w:val="24"/>
          <w:lang w:eastAsia="zh-CN"/>
        </w:rPr>
        <w:t>9</w:t>
      </w:r>
      <w:r>
        <w:rPr>
          <w:rFonts w:hint="eastAsia"/>
          <w:sz w:val="24"/>
          <w:lang w:eastAsia="zh-CN"/>
        </w:rPr>
        <w:t>号）》执行</w:t>
      </w:r>
      <w:r>
        <w:rPr>
          <w:sz w:val="24"/>
          <w:lang w:eastAsia="zh-CN"/>
        </w:rPr>
        <w:t>。</w:t>
      </w:r>
    </w:p>
    <w:p>
      <w:pPr>
        <w:autoSpaceDE/>
        <w:autoSpaceDN/>
        <w:spacing w:before="20" w:line="360" w:lineRule="auto"/>
        <w:rPr>
          <w:rFonts w:hint="eastAsia"/>
          <w:sz w:val="24"/>
          <w:lang w:eastAsia="zh-CN"/>
        </w:rPr>
      </w:pPr>
      <w:r>
        <w:rPr>
          <w:rFonts w:hint="eastAsia"/>
          <w:sz w:val="24"/>
          <w:lang w:eastAsia="zh-CN"/>
        </w:rPr>
        <w:t>3</w:t>
      </w:r>
      <w:r>
        <w:rPr>
          <w:sz w:val="24"/>
          <w:lang w:eastAsia="zh-CN"/>
        </w:rPr>
        <w:t>.4采购标的的其他技术、服务等要求；</w:t>
      </w:r>
    </w:p>
    <w:p>
      <w:pPr>
        <w:pStyle w:val="4"/>
        <w:spacing w:line="360" w:lineRule="auto"/>
        <w:rPr>
          <w:rFonts w:hint="eastAsia" w:ascii="宋体" w:hAnsi="宋体"/>
          <w:b/>
          <w:bCs/>
          <w:color w:val="auto"/>
          <w:sz w:val="32"/>
          <w:szCs w:val="32"/>
        </w:rPr>
      </w:pPr>
    </w:p>
    <w:p>
      <w:pPr>
        <w:pStyle w:val="4"/>
        <w:spacing w:line="360" w:lineRule="auto"/>
        <w:rPr>
          <w:rFonts w:hint="eastAsia" w:ascii="宋体" w:hAnsi="宋体"/>
          <w:color w:val="auto"/>
        </w:rPr>
      </w:pPr>
      <w:r>
        <w:rPr>
          <w:rFonts w:hint="eastAsia" w:ascii="宋体" w:hAnsi="宋体"/>
          <w:b/>
          <w:bCs/>
          <w:color w:val="auto"/>
          <w:sz w:val="32"/>
          <w:szCs w:val="32"/>
        </w:rPr>
        <w:t>01包：</w:t>
      </w:r>
    </w:p>
    <w:p>
      <w:pPr>
        <w:pStyle w:val="4"/>
        <w:spacing w:line="360" w:lineRule="auto"/>
        <w:rPr>
          <w:rFonts w:hint="eastAsia" w:ascii="宋体" w:hAnsi="宋体"/>
          <w:b/>
          <w:bCs/>
          <w:color w:val="auto"/>
        </w:rPr>
      </w:pPr>
      <w:r>
        <w:rPr>
          <w:rFonts w:hint="eastAsia" w:ascii="宋体" w:hAnsi="宋体" w:cs="宋体"/>
          <w:b/>
          <w:bCs/>
          <w:color w:val="auto"/>
        </w:rPr>
        <w:t>品目1-1：</w:t>
      </w:r>
      <w:r>
        <w:rPr>
          <w:rFonts w:hint="eastAsia" w:ascii="宋体" w:hAnsi="宋体" w:cs="宋体"/>
          <w:b/>
          <w:bCs/>
          <w:lang w:bidi="ar"/>
        </w:rPr>
        <w:t>宏基因组（病毒颗粒富集）</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用途：对 133 例样本进行病毒颗粒富集，通过宏基因组测序技术分析病毒群落组成、病毒基因组信息及其多样性。通过生物信息学分析病毒种类、变异情况及其与宿主的相互作用，探究病毒的潜在功能特征。</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需求：</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1.1样本</w:t>
      </w:r>
      <w:r>
        <w:rPr>
          <w:rFonts w:ascii="Arial" w:hAnsi="Arial" w:eastAsia="微软雅黑" w:cs="Arial"/>
          <w:color w:val="000000"/>
          <w:szCs w:val="24"/>
          <w:lang w:eastAsia="zh-CN"/>
        </w:rPr>
        <w:t>≥</w:t>
      </w:r>
      <w:r>
        <w:rPr>
          <w:rFonts w:hint="eastAsia" w:ascii="微软雅黑" w:hAnsi="微软雅黑" w:eastAsia="微软雅黑" w:cs="微软雅黑"/>
          <w:color w:val="000000"/>
          <w:szCs w:val="24"/>
          <w:lang w:eastAsia="zh-CN"/>
        </w:rPr>
        <w:t>133例，提供详细工作方案。</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1.2 完成工作：样本预处理、病毒颗粒富集、核酸提取与定量、文库构建以及测序分析。提供每一步工作的过程记录或结果报告。</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1.3 提供病毒颗粒富集方法的方案： 具备去除其他细胞组分功能，描述提高病毒相关数据的准确性和灵敏度的方法；具备进行宏基因组测序，分析病毒的种类和变异，识别病毒的潜在特征等功能。</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1.4 完成全部样本的宏基因组测序后，提供完整的分析报告及储存数据。</w:t>
      </w:r>
    </w:p>
    <w:p>
      <w:pPr>
        <w:spacing w:line="360" w:lineRule="auto"/>
        <w:rPr>
          <w:rFonts w:hint="eastAsia"/>
          <w:sz w:val="24"/>
          <w:lang w:eastAsia="zh-CN"/>
        </w:rPr>
      </w:pPr>
    </w:p>
    <w:p>
      <w:pPr>
        <w:spacing w:line="360" w:lineRule="auto"/>
        <w:rPr>
          <w:rFonts w:hint="eastAsia"/>
          <w:sz w:val="24"/>
          <w:lang w:eastAsia="zh-CN"/>
        </w:rPr>
      </w:pPr>
    </w:p>
    <w:p>
      <w:pPr>
        <w:spacing w:line="360" w:lineRule="auto"/>
        <w:rPr>
          <w:rFonts w:hint="eastAsia"/>
          <w:b/>
          <w:bCs/>
          <w:sz w:val="24"/>
          <w:szCs w:val="24"/>
          <w:lang w:eastAsia="zh-CN"/>
        </w:rPr>
      </w:pPr>
      <w:r>
        <w:rPr>
          <w:rFonts w:hint="eastAsia"/>
          <w:b/>
          <w:bCs/>
          <w:sz w:val="24"/>
          <w:szCs w:val="24"/>
          <w:lang w:eastAsia="zh-CN"/>
        </w:rPr>
        <w:t>品目1-2：代谢组测序</w:t>
      </w:r>
    </w:p>
    <w:p>
      <w:pPr>
        <w:pStyle w:val="3"/>
        <w:spacing w:line="360" w:lineRule="auto"/>
        <w:rPr>
          <w:rFonts w:hint="eastAsia"/>
          <w:lang w:eastAsia="zh-CN"/>
        </w:rPr>
      </w:pP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用途：对 255 例样本进行代谢组学分析，以检测和定量其中的小分子代谢物，揭示代谢通路的活性变化及生理状态。通过代谢组学数据分析代谢物的动态变化，并结合多组学数据进行功能富集分析，以挖掘潜在的生物标志物。</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需求：</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2.1 样本</w:t>
      </w:r>
      <w:r>
        <w:rPr>
          <w:rFonts w:ascii="Arial" w:hAnsi="Arial" w:eastAsia="微软雅黑" w:cs="Arial"/>
          <w:color w:val="000000"/>
          <w:szCs w:val="24"/>
          <w:lang w:eastAsia="zh-CN"/>
        </w:rPr>
        <w:t>≥</w:t>
      </w:r>
      <w:r>
        <w:rPr>
          <w:rFonts w:hint="eastAsia" w:ascii="微软雅黑" w:hAnsi="微软雅黑" w:eastAsia="微软雅黑" w:cs="微软雅黑"/>
          <w:color w:val="000000"/>
          <w:szCs w:val="24"/>
          <w:lang w:eastAsia="zh-CN"/>
        </w:rPr>
        <w:t>255，提供详细工作方案。</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2.2 完成工作：样本处理、代谢物提取、质谱分析和数据处理。</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2.3 通过高通量代谢组学技术分析样本中代谢物的变化，提供分析报告；</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2.4 具备多维度数据分析功能，具备代谢网络分析、功能富集、代谢特征、潜在生物标志物等。</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2.5 完成全部样本的代谢组测序后，提供完整的分析报告及储存数据。</w:t>
      </w:r>
    </w:p>
    <w:p>
      <w:pPr>
        <w:spacing w:line="360" w:lineRule="auto"/>
        <w:rPr>
          <w:rFonts w:hint="eastAsia"/>
          <w:b/>
          <w:bCs/>
          <w:color w:val="000000"/>
          <w:sz w:val="24"/>
          <w:szCs w:val="24"/>
          <w:lang w:eastAsia="zh-CN" w:bidi="ar"/>
        </w:rPr>
      </w:pPr>
    </w:p>
    <w:p>
      <w:pPr>
        <w:spacing w:line="360" w:lineRule="auto"/>
        <w:rPr>
          <w:rFonts w:hint="eastAsia"/>
          <w:color w:val="000000"/>
          <w:sz w:val="24"/>
          <w:szCs w:val="24"/>
          <w:lang w:eastAsia="zh-CN"/>
        </w:rPr>
      </w:pPr>
      <w:r>
        <w:rPr>
          <w:rFonts w:hint="eastAsia"/>
          <w:b/>
          <w:bCs/>
          <w:sz w:val="24"/>
          <w:szCs w:val="24"/>
          <w:lang w:eastAsia="zh-CN"/>
        </w:rPr>
        <w:t>品目1-3：定量脂质组</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用途：对 70 例样本进行定量脂质组学分析，以测定蛋白质、核酸等物质的丰度，评估其在不同生理或病理状态下的变化情况。通过定量分析结合统计学方法，揭示目标分子在特定生物过程中所扮演的角色，为疾病机制研究及潜在生物标志物的筛选提供数据支持。</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需求：</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3.1 样本</w:t>
      </w:r>
      <w:r>
        <w:rPr>
          <w:rFonts w:ascii="Arial" w:hAnsi="Arial" w:eastAsia="微软雅黑" w:cs="Arial"/>
          <w:color w:val="000000"/>
          <w:szCs w:val="24"/>
          <w:lang w:eastAsia="zh-CN"/>
        </w:rPr>
        <w:t>≥</w:t>
      </w:r>
      <w:r>
        <w:rPr>
          <w:rFonts w:hint="eastAsia" w:ascii="微软雅黑" w:hAnsi="微软雅黑" w:eastAsia="微软雅黑" w:cs="微软雅黑"/>
          <w:color w:val="000000"/>
          <w:szCs w:val="24"/>
          <w:lang w:eastAsia="zh-CN"/>
        </w:rPr>
        <w:t>70，提供详细工作方案。</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3.2 完成样本预处理、定量分析、数据统计及后续功能富集分析等工作。</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3.3 具备脂质组技术高效定量各类生物分子功能，</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3.4 具备定量分析生物分子在不同组别、不同处理下的变化情况 功能。</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3.5完成全部样本的定量脂质组分析后，提供完整的报告及储存数据。</w:t>
      </w:r>
    </w:p>
    <w:p>
      <w:pPr>
        <w:pStyle w:val="9"/>
        <w:spacing w:before="0" w:line="360" w:lineRule="auto"/>
        <w:ind w:left="0" w:firstLine="0"/>
        <w:rPr>
          <w:rFonts w:hint="eastAsia"/>
          <w:b/>
          <w:bCs/>
          <w:sz w:val="32"/>
          <w:szCs w:val="40"/>
          <w:lang w:eastAsia="zh-CN"/>
        </w:rPr>
      </w:pPr>
    </w:p>
    <w:p>
      <w:pPr>
        <w:pStyle w:val="9"/>
        <w:spacing w:before="0" w:line="360" w:lineRule="auto"/>
        <w:ind w:left="0" w:firstLine="0"/>
        <w:rPr>
          <w:rFonts w:hint="eastAsia"/>
          <w:b/>
          <w:bCs/>
          <w:color w:val="000000"/>
          <w:sz w:val="24"/>
          <w:szCs w:val="24"/>
          <w:lang w:eastAsia="zh-CN" w:bidi="ar"/>
        </w:rPr>
      </w:pPr>
      <w:r>
        <w:rPr>
          <w:rFonts w:hint="eastAsia"/>
          <w:b/>
          <w:bCs/>
          <w:sz w:val="32"/>
          <w:szCs w:val="40"/>
          <w:lang w:eastAsia="zh-CN"/>
        </w:rPr>
        <w:t>02包：</w:t>
      </w:r>
    </w:p>
    <w:p>
      <w:pPr>
        <w:spacing w:line="360" w:lineRule="auto"/>
        <w:rPr>
          <w:rFonts w:hint="eastAsia"/>
          <w:b/>
          <w:bCs/>
          <w:sz w:val="24"/>
          <w:szCs w:val="24"/>
          <w:lang w:eastAsia="zh-CN"/>
        </w:rPr>
      </w:pPr>
      <w:r>
        <w:rPr>
          <w:rFonts w:hint="eastAsia"/>
          <w:b/>
          <w:bCs/>
          <w:sz w:val="24"/>
          <w:szCs w:val="24"/>
          <w:lang w:eastAsia="zh-CN"/>
        </w:rPr>
        <w:t>品目2-1：单细胞测序</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用途：对 60 例样本进行单细胞测序分析，解析个体细胞的基因表达特征，识别不同细胞亚群及功能特性。通过高通量单细胞测序技术，对细胞群体进行分型和差异分析，结合功能富集方法解析细胞亚群的生物学特征。</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需求：</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4.1 样本</w:t>
      </w:r>
      <w:r>
        <w:rPr>
          <w:rFonts w:ascii="Arial" w:hAnsi="Arial" w:eastAsia="微软雅黑" w:cs="Arial"/>
          <w:color w:val="000000"/>
          <w:szCs w:val="24"/>
          <w:lang w:eastAsia="zh-CN"/>
        </w:rPr>
        <w:t>≥</w:t>
      </w:r>
      <w:r>
        <w:rPr>
          <w:rFonts w:hint="eastAsia" w:ascii="微软雅黑" w:hAnsi="微软雅黑" w:eastAsia="微软雅黑" w:cs="微软雅黑"/>
          <w:color w:val="000000"/>
          <w:szCs w:val="24"/>
          <w:lang w:eastAsia="zh-CN"/>
        </w:rPr>
        <w:t>60例，提供详细工作方案。</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4.2  完成从受试者样本中分离单个细胞，进行细胞裂解、RNA提取、文库构建及高通量测序等工作。</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4.3 通过单细胞测序技术，获得单细胞转录组数据。</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4.4 具备数据分析软件：可进行细胞分型、差异基因分析，细胞群体的功能差异等。</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4.5 完成全部样本的单细胞组测序后，提供完整的报告及储存数据。</w:t>
      </w:r>
    </w:p>
    <w:p>
      <w:pPr>
        <w:pStyle w:val="3"/>
        <w:spacing w:line="360" w:lineRule="auto"/>
        <w:rPr>
          <w:rFonts w:hint="eastAsia"/>
          <w:lang w:eastAsia="zh-CN"/>
        </w:rPr>
      </w:pPr>
    </w:p>
    <w:p>
      <w:pPr>
        <w:pStyle w:val="4"/>
        <w:spacing w:line="360" w:lineRule="auto"/>
        <w:rPr>
          <w:rFonts w:hint="eastAsia"/>
        </w:rPr>
      </w:pPr>
    </w:p>
    <w:p>
      <w:pPr>
        <w:pStyle w:val="9"/>
        <w:spacing w:before="0" w:line="360" w:lineRule="auto"/>
        <w:ind w:left="0" w:firstLine="0"/>
        <w:rPr>
          <w:rFonts w:hint="eastAsia"/>
          <w:b/>
          <w:bCs/>
          <w:color w:val="000000"/>
          <w:sz w:val="24"/>
          <w:szCs w:val="24"/>
          <w:lang w:eastAsia="zh-CN" w:bidi="ar"/>
        </w:rPr>
      </w:pPr>
      <w:r>
        <w:rPr>
          <w:rFonts w:hint="eastAsia"/>
          <w:b/>
          <w:bCs/>
          <w:sz w:val="32"/>
          <w:szCs w:val="40"/>
          <w:lang w:eastAsia="zh-CN"/>
        </w:rPr>
        <w:t>03包：</w:t>
      </w:r>
    </w:p>
    <w:p>
      <w:pPr>
        <w:spacing w:line="360" w:lineRule="auto"/>
        <w:rPr>
          <w:rFonts w:hint="eastAsia"/>
          <w:b/>
          <w:bCs/>
          <w:sz w:val="24"/>
          <w:szCs w:val="24"/>
          <w:lang w:eastAsia="zh-CN"/>
        </w:rPr>
      </w:pPr>
      <w:r>
        <w:rPr>
          <w:rFonts w:hint="eastAsia"/>
          <w:b/>
          <w:bCs/>
          <w:sz w:val="24"/>
          <w:szCs w:val="24"/>
          <w:lang w:eastAsia="zh-CN"/>
        </w:rPr>
        <w:t>品目3-1：宏基因组三代测序</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用途：对 60 例样本进行宏基因组三代测序，解析微生物群落的基因组结构及功能特征。通过长读长测序技术获取完整的微生物基因组信息，进行微生物分类和基因功能注释，研究微生物群体的功能特征及其在健康与疾病中的作用。</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需求：</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5.1 样本</w:t>
      </w:r>
      <w:r>
        <w:rPr>
          <w:rFonts w:ascii="Arial" w:hAnsi="Arial" w:eastAsia="微软雅黑" w:cs="Arial"/>
          <w:color w:val="000000"/>
          <w:szCs w:val="24"/>
          <w:lang w:eastAsia="zh-CN"/>
        </w:rPr>
        <w:t>≥</w:t>
      </w:r>
      <w:r>
        <w:rPr>
          <w:rFonts w:hint="eastAsia" w:ascii="微软雅黑" w:hAnsi="微软雅黑" w:eastAsia="微软雅黑" w:cs="微软雅黑"/>
          <w:color w:val="000000"/>
          <w:szCs w:val="24"/>
          <w:lang w:eastAsia="zh-CN"/>
        </w:rPr>
        <w:t>60例，提供详细的分子方案。</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5.2 完成样本处理、DNA提取、三代测序文库构建、测序分析等工作。</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5.3具备三代测序技术；对样本中的微生物群体进行高分辨率分析，揭示不同微生物的基因组特征和功能；</w:t>
      </w:r>
    </w:p>
    <w:p>
      <w:pPr>
        <w:pStyle w:val="11"/>
        <w:spacing w:line="360" w:lineRule="auto"/>
        <w:ind w:left="420" w:firstLine="440"/>
        <w:rPr>
          <w:rFonts w:hint="eastAsia" w:ascii="微软雅黑" w:hAnsi="微软雅黑" w:eastAsia="微软雅黑" w:cs="微软雅黑"/>
          <w:color w:val="000000"/>
          <w:szCs w:val="24"/>
          <w:lang w:eastAsia="zh-CN"/>
        </w:rPr>
      </w:pPr>
      <w:r>
        <w:rPr>
          <w:rFonts w:hint="eastAsia" w:ascii="微软雅黑" w:hAnsi="微软雅黑" w:eastAsia="微软雅黑" w:cs="微软雅黑"/>
          <w:color w:val="000000"/>
          <w:szCs w:val="24"/>
          <w:lang w:eastAsia="zh-CN"/>
        </w:rPr>
        <w:t>5.4 具备解析该测序样本在疾病或健康状态下的作用机制的功能。</w:t>
      </w:r>
    </w:p>
    <w:p>
      <w:pPr>
        <w:pStyle w:val="11"/>
        <w:spacing w:line="360" w:lineRule="auto"/>
        <w:ind w:left="420" w:firstLine="440"/>
        <w:rPr>
          <w:rFonts w:hint="eastAsia" w:ascii="微软雅黑" w:hAnsi="微软雅黑" w:eastAsia="微软雅黑" w:cs="微软雅黑"/>
          <w:color w:val="auto"/>
          <w:szCs w:val="24"/>
          <w:highlight w:val="none"/>
          <w:lang w:eastAsia="zh-CN"/>
        </w:rPr>
      </w:pPr>
      <w:r>
        <w:rPr>
          <w:rFonts w:hint="eastAsia" w:ascii="微软雅黑" w:hAnsi="微软雅黑" w:eastAsia="微软雅黑" w:cs="微软雅黑"/>
          <w:color w:val="000000"/>
          <w:szCs w:val="24"/>
          <w:lang w:eastAsia="zh-CN"/>
        </w:rPr>
        <w:t>5.5完成全部样本的宏基因组三代测序后，提</w:t>
      </w:r>
      <w:r>
        <w:rPr>
          <w:rFonts w:hint="eastAsia" w:ascii="微软雅黑" w:hAnsi="微软雅黑" w:eastAsia="微软雅黑" w:cs="微软雅黑"/>
          <w:color w:val="auto"/>
          <w:szCs w:val="24"/>
          <w:highlight w:val="none"/>
          <w:lang w:eastAsia="zh-CN"/>
        </w:rPr>
        <w:t>供完整的报告及储存数据。</w:t>
      </w:r>
    </w:p>
    <w:p>
      <w:pPr>
        <w:pStyle w:val="11"/>
        <w:ind w:left="420" w:firstLine="440"/>
        <w:rPr>
          <w:rFonts w:hint="eastAsia" w:ascii="微软雅黑" w:hAnsi="微软雅黑" w:eastAsia="微软雅黑" w:cs="微软雅黑"/>
          <w:color w:val="auto"/>
          <w:szCs w:val="24"/>
          <w:highlight w:val="none"/>
          <w:lang w:eastAsia="zh-CN"/>
        </w:rPr>
      </w:pPr>
    </w:p>
    <w:p>
      <w:pPr>
        <w:pStyle w:val="11"/>
        <w:ind w:left="420" w:firstLine="440"/>
        <w:rPr>
          <w:rFonts w:hint="eastAsia" w:ascii="微软雅黑" w:hAnsi="微软雅黑" w:eastAsia="微软雅黑" w:cs="微软雅黑"/>
          <w:color w:val="auto"/>
          <w:szCs w:val="24"/>
          <w:highlight w:val="none"/>
          <w:lang w:eastAsia="zh-CN"/>
        </w:rPr>
      </w:pPr>
    </w:p>
    <w:p>
      <w:pPr>
        <w:pStyle w:val="11"/>
        <w:ind w:left="420" w:firstLine="440"/>
        <w:rPr>
          <w:rFonts w:hint="eastAsia" w:ascii="微软雅黑" w:hAnsi="微软雅黑" w:eastAsia="微软雅黑" w:cs="微软雅黑"/>
          <w:color w:val="auto"/>
          <w:szCs w:val="24"/>
          <w:highlight w:val="none"/>
          <w:lang w:eastAsia="zh-CN"/>
        </w:rPr>
      </w:pPr>
      <w:r>
        <w:rPr>
          <w:rFonts w:hint="eastAsia" w:ascii="微软雅黑" w:hAnsi="微软雅黑" w:eastAsia="微软雅黑" w:cs="微软雅黑"/>
          <w:color w:val="auto"/>
          <w:szCs w:val="24"/>
          <w:highlight w:val="none"/>
          <w:lang w:eastAsia="zh-CN"/>
        </w:rPr>
        <w:t>注：1、该项目为“样本”实验服务项目，供应商</w:t>
      </w:r>
      <w:r>
        <w:rPr>
          <w:rFonts w:hint="eastAsia" w:ascii="微软雅黑" w:hAnsi="微软雅黑" w:eastAsia="微软雅黑" w:cs="微软雅黑"/>
          <w:color w:val="auto"/>
          <w:szCs w:val="24"/>
          <w:highlight w:val="none"/>
          <w:lang w:val="en-US" w:eastAsia="zh-CN"/>
        </w:rPr>
        <w:t>为具备实验资格的供应商。不需要提供实验设备证明材料。</w:t>
      </w:r>
    </w:p>
    <w:p>
      <w:pPr/>
      <w:r>
        <w:rPr>
          <w:rFonts w:hint="eastAsia" w:ascii="微软雅黑" w:hAnsi="微软雅黑" w:eastAsia="微软雅黑" w:cs="微软雅黑"/>
          <w:color w:val="auto"/>
          <w:szCs w:val="24"/>
          <w:highlight w:val="none"/>
          <w:lang w:eastAsia="zh-CN"/>
        </w:rPr>
        <w:t>2、完成所要求样本试验后工作即完成，需要提供项目结题报告。</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modern"/>
    <w:pitch w:val="default"/>
    <w:sig w:usb0="00000287" w:usb1="00000000" w:usb2="00000000" w:usb3="00000000" w:csb0="2000009F" w:csb1="DFD70000"/>
  </w:font>
  <w:font w:name="Trebuchet MS">
    <w:panose1 w:val="020B0603020202020204"/>
    <w:charset w:val="00"/>
    <w:family w:val="modern"/>
    <w:pitch w:val="default"/>
    <w:sig w:usb0="00000687" w:usb1="00000000" w:usb2="00000000" w:usb3="00000000" w:csb0="2000009F" w:csb1="00000000"/>
  </w:font>
  <w:font w:name="Arial Narrow">
    <w:panose1 w:val="020B0606020202030204"/>
    <w:charset w:val="00"/>
    <w:family w:val="modern"/>
    <w:pitch w:val="default"/>
    <w:sig w:usb0="00000287" w:usb1="00000800" w:usb2="00000000" w:usb3="00000000" w:csb0="2000009F" w:csb1="DFD70000"/>
  </w:font>
  <w:font w:name="Lucida Sans">
    <w:panose1 w:val="020B0602030504020204"/>
    <w:charset w:val="00"/>
    <w:family w:val="modern"/>
    <w:pitch w:val="default"/>
    <w:sig w:usb0="00000003" w:usb1="00000000" w:usb2="00000000" w:usb3="00000000" w:csb0="20000001" w:csb1="00000000"/>
  </w:font>
  <w:font w:name="Century">
    <w:panose1 w:val="02040604050505020304"/>
    <w:charset w:val="00"/>
    <w:family w:val="decorative"/>
    <w:pitch w:val="default"/>
    <w:sig w:usb0="00000287" w:usb1="00000000" w:usb2="00000000" w:usb3="00000000" w:csb0="2000009F" w:csb1="DFD70000"/>
  </w:font>
  <w:font w:name="微软雅黑">
    <w:panose1 w:val="020B0503020204020204"/>
    <w:charset w:val="86"/>
    <w:family w:val="modern"/>
    <w:pitch w:val="default"/>
    <w:sig w:usb0="80000287" w:usb1="2ACF3C50" w:usb2="00000016" w:usb3="00000000" w:csb0="0004001F" w:csb1="00000000"/>
  </w:font>
  <w:font w:name="Verdana">
    <w:panose1 w:val="020B0604030504040204"/>
    <w:charset w:val="00"/>
    <w:family w:val="modern"/>
    <w:pitch w:val="default"/>
    <w:sig w:usb0="A00006FF" w:usb1="4000205B" w:usb2="00000010" w:usb3="00000000" w:csb0="2000019F" w:csb1="00000000"/>
  </w:font>
  <w:font w:name="Bookman Old Style">
    <w:panose1 w:val="02050604050505020204"/>
    <w:charset w:val="00"/>
    <w:family w:val="decorative"/>
    <w:pitch w:val="default"/>
    <w:sig w:usb0="00000287" w:usb1="00000000" w:usb2="00000000" w:usb3="00000000" w:csb0="2000009F" w:csb1="DFD70000"/>
  </w:font>
  <w:font w:name="Arial Black">
    <w:panose1 w:val="020B0A04020102020204"/>
    <w:charset w:val="00"/>
    <w:family w:val="modern"/>
    <w:pitch w:val="default"/>
    <w:sig w:usb0="A00002AF" w:usb1="400078FB" w:usb2="00000000" w:usb3="00000000" w:csb0="6000009F" w:csb1="DFD7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decorative"/>
    <w:pitch w:val="default"/>
    <w:sig w:usb0="00000000" w:usb1="00000000" w:usb2="00000000" w:usb3="00000000" w:csb0="00040000" w:csb1="00000000"/>
  </w:font>
  <w:font w:name="Century Gothic">
    <w:panose1 w:val="020B0502020202020204"/>
    <w:charset w:val="00"/>
    <w:family w:val="decorative"/>
    <w:pitch w:val="default"/>
    <w:sig w:usb0="00000287" w:usb1="00000000" w:usb2="00000000" w:usb3="00000000" w:csb0="2000009F" w:csb1="DFD70000"/>
  </w:font>
  <w:font w:name="Trebuchet MS">
    <w:panose1 w:val="020B0603020202020204"/>
    <w:charset w:val="00"/>
    <w:family w:val="decorative"/>
    <w:pitch w:val="default"/>
    <w:sig w:usb0="00000687" w:usb1="00000000" w:usb2="00000000" w:usb3="00000000" w:csb0="2000009F" w:csb1="00000000"/>
  </w:font>
  <w:font w:name="Arial Narrow">
    <w:panose1 w:val="020B0606020202030204"/>
    <w:charset w:val="00"/>
    <w:family w:val="decorative"/>
    <w:pitch w:val="default"/>
    <w:sig w:usb0="00000287" w:usb1="00000800" w:usb2="00000000" w:usb3="00000000" w:csb0="2000009F" w:csb1="DFD70000"/>
  </w:font>
  <w:font w:name="Lucida Sans">
    <w:panose1 w:val="020B0602030504020204"/>
    <w:charset w:val="00"/>
    <w:family w:val="decorative"/>
    <w:pitch w:val="default"/>
    <w:sig w:usb0="00000003" w:usb1="00000000" w:usb2="00000000" w:usb3="00000000" w:csb0="20000001" w:csb1="00000000"/>
  </w:font>
  <w:font w:name="Century">
    <w:panose1 w:val="02040604050505020304"/>
    <w:charset w:val="00"/>
    <w:family w:val="modern"/>
    <w:pitch w:val="default"/>
    <w:sig w:usb0="00000287" w:usb1="00000000" w:usb2="00000000" w:usb3="00000000" w:csb0="2000009F" w:csb1="DFD70000"/>
  </w:font>
  <w:font w:name="微软雅黑">
    <w:panose1 w:val="020B0503020204020204"/>
    <w:charset w:val="86"/>
    <w:family w:val="decorative"/>
    <w:pitch w:val="default"/>
    <w:sig w:usb0="80000287" w:usb1="2ACF3C50" w:usb2="00000016" w:usb3="00000000" w:csb0="0004001F" w:csb1="00000000"/>
  </w:font>
  <w:font w:name="Verdana">
    <w:panose1 w:val="020B0604030504040204"/>
    <w:charset w:val="00"/>
    <w:family w:val="decorative"/>
    <w:pitch w:val="default"/>
    <w:sig w:usb0="A00006FF" w:usb1="4000205B" w:usb2="00000010" w:usb3="00000000" w:csb0="2000019F" w:csb1="00000000"/>
  </w:font>
  <w:font w:name="Bookman Old Style">
    <w:panose1 w:val="02050604050505020204"/>
    <w:charset w:val="00"/>
    <w:family w:val="modern"/>
    <w:pitch w:val="default"/>
    <w:sig w:usb0="00000287" w:usb1="00000000" w:usb2="00000000" w:usb3="00000000" w:csb0="2000009F" w:csb1="DFD70000"/>
  </w:font>
  <w:font w:name="Arial Black">
    <w:panose1 w:val="020B0A04020102020204"/>
    <w:charset w:val="00"/>
    <w:family w:val="decorative"/>
    <w:pitch w:val="default"/>
    <w:sig w:usb0="A00002AF" w:usb1="400078FB" w:usb2="00000000" w:usb3="00000000" w:csb0="6000009F" w:csb1="DFD70000"/>
  </w:font>
  <w:font w:name="仿宋_GB2312">
    <w:altName w:val="仿宋"/>
    <w:panose1 w:val="00000000000000000000"/>
    <w:charset w:val="86"/>
    <w:family w:val="roman"/>
    <w:pitch w:val="default"/>
    <w:sig w:usb0="00000000" w:usb1="00000000" w:usb2="00000000" w:usb3="00000000" w:csb0="00040000" w:csb1="00000000"/>
  </w:font>
  <w:font w:name="Century Gothic">
    <w:panose1 w:val="020B0502020202020204"/>
    <w:charset w:val="00"/>
    <w:family w:val="roman"/>
    <w:pitch w:val="default"/>
    <w:sig w:usb0="00000287" w:usb1="00000000" w:usb2="00000000" w:usb3="00000000" w:csb0="2000009F" w:csb1="DFD70000"/>
  </w:font>
  <w:font w:name="Trebuchet MS">
    <w:panose1 w:val="020B0603020202020204"/>
    <w:charset w:val="00"/>
    <w:family w:val="roman"/>
    <w:pitch w:val="default"/>
    <w:sig w:usb0="00000687" w:usb1="00000000" w:usb2="00000000" w:usb3="00000000" w:csb0="2000009F" w:csb1="00000000"/>
  </w:font>
  <w:font w:name="Arial Narrow">
    <w:panose1 w:val="020B0606020202030204"/>
    <w:charset w:val="00"/>
    <w:family w:val="roman"/>
    <w:pitch w:val="default"/>
    <w:sig w:usb0="00000287" w:usb1="00000800" w:usb2="00000000" w:usb3="00000000" w:csb0="2000009F" w:csb1="DFD70000"/>
  </w:font>
  <w:font w:name="Lucida Sans">
    <w:panose1 w:val="020B0602030504020204"/>
    <w:charset w:val="00"/>
    <w:family w:val="roman"/>
    <w:pitch w:val="default"/>
    <w:sig w:usb0="00000003" w:usb1="00000000" w:usb2="00000000" w:usb3="00000000" w:csb0="20000001" w:csb1="00000000"/>
  </w:font>
  <w:font w:name="Century">
    <w:panose1 w:val="02040604050505020304"/>
    <w:charset w:val="00"/>
    <w:family w:val="swiss"/>
    <w:pitch w:val="default"/>
    <w:sig w:usb0="00000287" w:usb1="00000000" w:usb2="00000000" w:usb3="00000000" w:csb0="2000009F" w:csb1="DFD70000"/>
  </w:font>
  <w:font w:name="微软雅黑">
    <w:panose1 w:val="020B0503020204020204"/>
    <w:charset w:val="86"/>
    <w:family w:val="roman"/>
    <w:pitch w:val="default"/>
    <w:sig w:usb0="80000287" w:usb1="2ACF3C50" w:usb2="00000016" w:usb3="00000000" w:csb0="0004001F" w:csb1="00000000"/>
  </w:font>
  <w:font w:name="Verdana">
    <w:panose1 w:val="020B0604030504040204"/>
    <w:charset w:val="00"/>
    <w:family w:val="roman"/>
    <w:pitch w:val="default"/>
    <w:sig w:usb0="A00006FF" w:usb1="4000205B" w:usb2="00000010" w:usb3="00000000" w:csb0="2000019F" w:csb1="00000000"/>
  </w:font>
  <w:font w:name="Bookman Old Style">
    <w:panose1 w:val="02050604050505020204"/>
    <w:charset w:val="00"/>
    <w:family w:val="swiss"/>
    <w:pitch w:val="default"/>
    <w:sig w:usb0="00000287" w:usb1="00000000" w:usb2="00000000" w:usb3="00000000" w:csb0="2000009F" w:csb1="DFD70000"/>
  </w:font>
  <w:font w:name="Arial Black">
    <w:panose1 w:val="020B0A04020102020204"/>
    <w:charset w:val="00"/>
    <w:family w:val="roman"/>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6605343">
    <w:nsid w:val="681B151F"/>
    <w:multiLevelType w:val="singleLevel"/>
    <w:tmpl w:val="681B151F"/>
    <w:lvl w:ilvl="0" w:tentative="1">
      <w:start w:val="3"/>
      <w:numFmt w:val="decimal"/>
      <w:suff w:val="space"/>
      <w:lvlText w:val="%1."/>
      <w:lvlJc w:val="left"/>
    </w:lvl>
  </w:abstractNum>
  <w:num w:numId="1">
    <w:abstractNumId w:val="17466053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47EE2"/>
    <w:rsid w:val="7F247E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160" w:line="278" w:lineRule="auto"/>
    </w:pPr>
    <w:rPr>
      <w:rFonts w:ascii="宋体" w:hAnsi="宋体" w:eastAsia="宋体" w:cs="宋体"/>
      <w:sz w:val="22"/>
      <w:szCs w:val="22"/>
      <w:lang w:val="en-US" w:eastAsia="en-US" w:bidi="ar-SA"/>
    </w:rPr>
  </w:style>
  <w:style w:type="paragraph" w:styleId="2">
    <w:name w:val="heading 1"/>
    <w:basedOn w:val="1"/>
    <w:next w:val="1"/>
    <w:qFormat/>
    <w:uiPriority w:val="0"/>
    <w:pPr>
      <w:outlineLvl w:val="0"/>
    </w:pPr>
    <w:rPr>
      <w:sz w:val="36"/>
      <w:szCs w:val="36"/>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uiPriority w:val="0"/>
    <w:rPr>
      <w:sz w:val="24"/>
      <w:szCs w:val="24"/>
    </w:rPr>
  </w:style>
  <w:style w:type="paragraph" w:customStyle="1" w:styleId="4">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styleId="5">
    <w:name w:val="toc 2"/>
    <w:basedOn w:val="1"/>
    <w:next w:val="1"/>
    <w:uiPriority w:val="0"/>
    <w:pPr>
      <w:tabs>
        <w:tab w:val="right" w:leader="dot" w:pos="8937"/>
      </w:tabs>
      <w:spacing w:line="312" w:lineRule="auto"/>
      <w:ind w:left="420" w:leftChars="200"/>
    </w:pPr>
  </w:style>
  <w:style w:type="paragraph" w:styleId="6">
    <w:name w:val="Title"/>
    <w:basedOn w:val="1"/>
    <w:qFormat/>
    <w:uiPriority w:val="0"/>
    <w:pPr>
      <w:jc w:val="center"/>
      <w:outlineLvl w:val="0"/>
    </w:pPr>
    <w:rPr>
      <w:b/>
      <w:sz w:val="32"/>
      <w:szCs w:val="20"/>
    </w:rPr>
  </w:style>
  <w:style w:type="paragraph" w:customStyle="1" w:styleId="9">
    <w:name w:val="列出段落1"/>
    <w:basedOn w:val="1"/>
    <w:qFormat/>
    <w:uiPriority w:val="1"/>
    <w:pPr>
      <w:spacing w:before="134"/>
      <w:ind w:left="1196" w:hanging="720"/>
    </w:pPr>
    <w:rPr>
      <w:sz w:val="20"/>
    </w:rPr>
  </w:style>
  <w:style w:type="paragraph" w:customStyle="1" w:styleId="10">
    <w:name w:val="列表段落1"/>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11">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2025-05-21T08:09:00Z</dcterms:created>
  <dc:creator>wangjingxuan</dc:creator>
  <cp:lastModifiedBy>wangjingxuan</cp:lastModifiedBy>
  <dcterms:modified xsi:type="dcterms:W3CDTF">2025-05-21T08:09:49Z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