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98C8C">
      <w:pPr>
        <w:spacing w:line="360" w:lineRule="auto"/>
        <w:jc w:val="center"/>
        <w:outlineLvl w:val="0"/>
        <w:rPr>
          <w:b/>
          <w:sz w:val="36"/>
          <w:szCs w:val="36"/>
        </w:rPr>
      </w:pPr>
      <w:r>
        <w:rPr>
          <w:b/>
          <w:sz w:val="36"/>
          <w:szCs w:val="36"/>
        </w:rPr>
        <w:t>第五章</w:t>
      </w:r>
      <w:r>
        <w:rPr>
          <w:rFonts w:hint="eastAsia"/>
          <w:b/>
          <w:sz w:val="36"/>
          <w:szCs w:val="36"/>
        </w:rPr>
        <w:t xml:space="preserve">  </w:t>
      </w:r>
      <w:r>
        <w:rPr>
          <w:b/>
          <w:sz w:val="36"/>
          <w:szCs w:val="36"/>
        </w:rPr>
        <w:t>采购需求</w:t>
      </w:r>
    </w:p>
    <w:p w14:paraId="13CD7F9C">
      <w:pPr>
        <w:pStyle w:val="5"/>
      </w:pPr>
    </w:p>
    <w:p w14:paraId="5B9CA959">
      <w:pPr>
        <w:pStyle w:val="8"/>
        <w:spacing w:line="360" w:lineRule="auto"/>
        <w:ind w:firstLine="482"/>
        <w:contextualSpacing/>
        <w:jc w:val="left"/>
        <w:rPr>
          <w:rFonts w:asciiTheme="minorEastAsia" w:hAnsiTheme="minorEastAsia" w:eastAsiaTheme="minorEastAsia"/>
          <w:b/>
          <w:sz w:val="24"/>
          <w:szCs w:val="24"/>
        </w:rPr>
      </w:pPr>
      <w:r>
        <w:rPr>
          <w:rFonts w:asciiTheme="minorEastAsia" w:hAnsiTheme="minorEastAsia" w:eastAsiaTheme="minorEastAsia"/>
          <w:b/>
          <w:sz w:val="24"/>
          <w:szCs w:val="24"/>
        </w:rPr>
        <w:t>一、采购标的</w:t>
      </w:r>
    </w:p>
    <w:tbl>
      <w:tblPr>
        <w:tblStyle w:val="6"/>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268"/>
        <w:gridCol w:w="1842"/>
        <w:gridCol w:w="1701"/>
        <w:gridCol w:w="1510"/>
      </w:tblGrid>
      <w:tr w14:paraId="45FF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1001" w:type="dxa"/>
            <w:vAlign w:val="center"/>
          </w:tcPr>
          <w:p w14:paraId="1EBB5958">
            <w:pPr>
              <w:spacing w:line="276" w:lineRule="auto"/>
              <w:jc w:val="center"/>
              <w:rPr>
                <w:rFonts w:ascii="宋体" w:hAnsi="宋体"/>
                <w:bCs/>
                <w:sz w:val="24"/>
              </w:rPr>
            </w:pPr>
            <w:r>
              <w:rPr>
                <w:rFonts w:hint="eastAsia" w:ascii="宋体" w:hAnsi="宋体"/>
                <w:bCs/>
                <w:sz w:val="24"/>
              </w:rPr>
              <w:t>序号</w:t>
            </w:r>
          </w:p>
        </w:tc>
        <w:tc>
          <w:tcPr>
            <w:tcW w:w="2268" w:type="dxa"/>
            <w:vAlign w:val="center"/>
          </w:tcPr>
          <w:p w14:paraId="3E639AA5">
            <w:pPr>
              <w:spacing w:line="276" w:lineRule="auto"/>
              <w:jc w:val="center"/>
              <w:rPr>
                <w:rFonts w:ascii="宋体" w:hAnsi="宋体"/>
                <w:bCs/>
                <w:sz w:val="24"/>
              </w:rPr>
            </w:pPr>
            <w:r>
              <w:rPr>
                <w:rFonts w:hint="eastAsia" w:ascii="宋体" w:hAnsi="宋体"/>
                <w:bCs/>
                <w:sz w:val="24"/>
              </w:rPr>
              <w:t>标的名称</w:t>
            </w:r>
          </w:p>
        </w:tc>
        <w:tc>
          <w:tcPr>
            <w:tcW w:w="1842" w:type="dxa"/>
            <w:vAlign w:val="center"/>
          </w:tcPr>
          <w:p w14:paraId="06CD2FF1">
            <w:pPr>
              <w:spacing w:line="276" w:lineRule="auto"/>
              <w:jc w:val="center"/>
              <w:rPr>
                <w:rFonts w:ascii="宋体" w:hAnsi="宋体"/>
                <w:bCs/>
                <w:sz w:val="24"/>
              </w:rPr>
            </w:pPr>
            <w:r>
              <w:rPr>
                <w:rFonts w:hint="eastAsia" w:ascii="宋体" w:hAnsi="宋体"/>
                <w:bCs/>
                <w:sz w:val="24"/>
              </w:rPr>
              <w:t>单价最高限价</w:t>
            </w:r>
          </w:p>
        </w:tc>
        <w:tc>
          <w:tcPr>
            <w:tcW w:w="1701" w:type="dxa"/>
            <w:vAlign w:val="center"/>
          </w:tcPr>
          <w:p w14:paraId="2AE4B2EA">
            <w:pPr>
              <w:spacing w:line="276" w:lineRule="auto"/>
              <w:jc w:val="center"/>
              <w:rPr>
                <w:rFonts w:ascii="宋体" w:hAnsi="宋体"/>
                <w:bCs/>
                <w:sz w:val="24"/>
              </w:rPr>
            </w:pPr>
            <w:r>
              <w:rPr>
                <w:rFonts w:hint="eastAsia" w:ascii="宋体" w:hAnsi="宋体"/>
                <w:bCs/>
                <w:sz w:val="24"/>
              </w:rPr>
              <w:t>数量</w:t>
            </w:r>
          </w:p>
          <w:p w14:paraId="558FF9DA">
            <w:pPr>
              <w:spacing w:line="276" w:lineRule="auto"/>
              <w:jc w:val="center"/>
              <w:rPr>
                <w:rFonts w:ascii="宋体" w:hAnsi="宋体"/>
                <w:bCs/>
                <w:sz w:val="24"/>
              </w:rPr>
            </w:pPr>
            <w:r>
              <w:rPr>
                <w:rFonts w:hint="eastAsia" w:ascii="宋体" w:hAnsi="宋体"/>
                <w:bCs/>
                <w:sz w:val="24"/>
              </w:rPr>
              <w:t>（台/套）</w:t>
            </w:r>
          </w:p>
        </w:tc>
        <w:tc>
          <w:tcPr>
            <w:tcW w:w="1510" w:type="dxa"/>
            <w:vAlign w:val="center"/>
          </w:tcPr>
          <w:p w14:paraId="6551D6EA">
            <w:pPr>
              <w:spacing w:line="276" w:lineRule="auto"/>
              <w:jc w:val="center"/>
              <w:rPr>
                <w:rFonts w:ascii="宋体" w:hAnsi="宋体"/>
                <w:bCs/>
                <w:sz w:val="24"/>
              </w:rPr>
            </w:pPr>
            <w:r>
              <w:rPr>
                <w:rFonts w:hint="eastAsia" w:ascii="宋体" w:hAnsi="宋体"/>
                <w:bCs/>
                <w:sz w:val="24"/>
              </w:rPr>
              <w:t>是否为核心产品</w:t>
            </w:r>
          </w:p>
        </w:tc>
      </w:tr>
      <w:tr w14:paraId="4C37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1001" w:type="dxa"/>
            <w:vAlign w:val="center"/>
          </w:tcPr>
          <w:p w14:paraId="66E93D89">
            <w:pPr>
              <w:spacing w:line="276" w:lineRule="auto"/>
              <w:jc w:val="center"/>
              <w:rPr>
                <w:rFonts w:ascii="宋体" w:hAnsi="宋体"/>
                <w:bCs/>
                <w:sz w:val="24"/>
              </w:rPr>
            </w:pPr>
            <w:r>
              <w:rPr>
                <w:rFonts w:hint="eastAsia" w:ascii="宋体" w:hAnsi="宋体"/>
                <w:bCs/>
                <w:sz w:val="24"/>
              </w:rPr>
              <w:t>1</w:t>
            </w:r>
          </w:p>
        </w:tc>
        <w:tc>
          <w:tcPr>
            <w:tcW w:w="2268" w:type="dxa"/>
            <w:vAlign w:val="center"/>
          </w:tcPr>
          <w:p w14:paraId="5D80B71E">
            <w:pPr>
              <w:spacing w:line="276" w:lineRule="auto"/>
              <w:jc w:val="center"/>
              <w:rPr>
                <w:rFonts w:ascii="宋体" w:hAnsi="宋体"/>
                <w:bCs/>
                <w:sz w:val="24"/>
              </w:rPr>
            </w:pPr>
            <w:r>
              <w:rPr>
                <w:rFonts w:hint="eastAsia" w:ascii="宋体" w:hAnsi="宋体"/>
                <w:bCs/>
                <w:sz w:val="24"/>
              </w:rPr>
              <w:t>脑磁图扫描仪</w:t>
            </w:r>
          </w:p>
        </w:tc>
        <w:tc>
          <w:tcPr>
            <w:tcW w:w="1842" w:type="dxa"/>
            <w:vAlign w:val="center"/>
          </w:tcPr>
          <w:p w14:paraId="3191535A">
            <w:pPr>
              <w:spacing w:line="276" w:lineRule="auto"/>
              <w:jc w:val="center"/>
              <w:rPr>
                <w:rFonts w:ascii="宋体" w:hAnsi="宋体"/>
                <w:bCs/>
                <w:sz w:val="24"/>
              </w:rPr>
            </w:pPr>
            <w:r>
              <w:rPr>
                <w:rFonts w:hint="eastAsia" w:ascii="宋体" w:hAnsi="宋体"/>
                <w:bCs/>
                <w:sz w:val="24"/>
              </w:rPr>
              <w:t>1166万元</w:t>
            </w:r>
          </w:p>
        </w:tc>
        <w:tc>
          <w:tcPr>
            <w:tcW w:w="1701" w:type="dxa"/>
            <w:vAlign w:val="center"/>
          </w:tcPr>
          <w:p w14:paraId="3F66772D">
            <w:pPr>
              <w:spacing w:line="276" w:lineRule="auto"/>
              <w:jc w:val="center"/>
              <w:rPr>
                <w:rFonts w:ascii="宋体" w:hAnsi="宋体"/>
                <w:bCs/>
                <w:sz w:val="24"/>
              </w:rPr>
            </w:pPr>
            <w:r>
              <w:rPr>
                <w:rFonts w:hint="eastAsia" w:ascii="宋体" w:hAnsi="宋体"/>
                <w:bCs/>
                <w:sz w:val="24"/>
              </w:rPr>
              <w:t>1</w:t>
            </w:r>
          </w:p>
        </w:tc>
        <w:tc>
          <w:tcPr>
            <w:tcW w:w="1510" w:type="dxa"/>
            <w:vAlign w:val="center"/>
          </w:tcPr>
          <w:p w14:paraId="641537DC">
            <w:pPr>
              <w:spacing w:line="276" w:lineRule="auto"/>
              <w:jc w:val="center"/>
              <w:rPr>
                <w:rFonts w:ascii="宋体" w:hAnsi="宋体"/>
                <w:bCs/>
                <w:sz w:val="24"/>
              </w:rPr>
            </w:pPr>
            <w:r>
              <w:rPr>
                <w:rFonts w:hint="eastAsia"/>
                <w:sz w:val="24"/>
              </w:rPr>
              <w:t>是</w:t>
            </w:r>
          </w:p>
        </w:tc>
      </w:tr>
    </w:tbl>
    <w:p w14:paraId="267A72DB">
      <w:pPr>
        <w:pStyle w:val="8"/>
        <w:spacing w:line="360" w:lineRule="auto"/>
        <w:ind w:firstLine="480"/>
        <w:contextualSpacing/>
        <w:jc w:val="left"/>
        <w:rPr>
          <w:rFonts w:asciiTheme="minorEastAsia" w:hAnsiTheme="minorEastAsia" w:eastAsiaTheme="minorEastAsia"/>
          <w:b/>
          <w:sz w:val="24"/>
          <w:szCs w:val="24"/>
        </w:rPr>
      </w:pPr>
      <w:r>
        <w:rPr>
          <w:rFonts w:hint="eastAsia" w:asciiTheme="minorEastAsia" w:hAnsiTheme="minorEastAsia" w:eastAsiaTheme="minorEastAsia"/>
          <w:bCs/>
          <w:sz w:val="24"/>
          <w:lang w:val="en-US" w:eastAsia="zh-CN"/>
        </w:rPr>
        <w:t>二</w:t>
      </w:r>
      <w:r>
        <w:rPr>
          <w:rFonts w:hint="eastAsia" w:asciiTheme="minorEastAsia" w:hAnsiTheme="minorEastAsia" w:eastAsiaTheme="minorEastAsia"/>
          <w:bCs/>
          <w:sz w:val="24"/>
        </w:rPr>
        <w:t>、</w:t>
      </w:r>
      <w:r>
        <w:rPr>
          <w:rFonts w:hint="eastAsia" w:asciiTheme="minorEastAsia" w:hAnsiTheme="minorEastAsia" w:eastAsiaTheme="minorEastAsia"/>
          <w:b/>
          <w:sz w:val="24"/>
          <w:szCs w:val="24"/>
        </w:rPr>
        <w:t>货物</w:t>
      </w:r>
      <w:r>
        <w:rPr>
          <w:rFonts w:asciiTheme="minorEastAsia" w:hAnsiTheme="minorEastAsia" w:eastAsiaTheme="minorEastAsia"/>
          <w:b/>
          <w:sz w:val="24"/>
          <w:szCs w:val="24"/>
        </w:rPr>
        <w:t>技术要求</w:t>
      </w:r>
    </w:p>
    <w:p w14:paraId="490AA3B1">
      <w:pPr>
        <w:spacing w:line="360" w:lineRule="auto"/>
        <w:ind w:firstLine="480" w:firstLineChars="200"/>
        <w:jc w:val="left"/>
        <w:rPr>
          <w:rFonts w:ascii="宋体" w:hAnsi="宋体" w:cs="宋体"/>
          <w:kern w:val="0"/>
          <w:sz w:val="24"/>
          <w:lang w:bidi="ar"/>
        </w:rPr>
      </w:pPr>
      <w:bookmarkStart w:id="0" w:name="_Hlk201649916"/>
      <w:r>
        <w:rPr>
          <w:rFonts w:hint="eastAsia" w:asciiTheme="minorEastAsia" w:hAnsiTheme="minorEastAsia" w:eastAsiaTheme="minorEastAsia"/>
          <w:bCs/>
          <w:sz w:val="24"/>
          <w:szCs w:val="22"/>
        </w:rPr>
        <w:t>★1.设备工作无需液氦。</w:t>
      </w:r>
      <w:r>
        <w:rPr>
          <w:rFonts w:hint="eastAsia" w:asciiTheme="minorEastAsia" w:hAnsiTheme="minorEastAsia" w:eastAsiaTheme="minorEastAsia"/>
          <w:b/>
          <w:bCs/>
          <w:sz w:val="24"/>
          <w:szCs w:val="22"/>
        </w:rPr>
        <w:t>（</w:t>
      </w:r>
      <w:r>
        <w:rPr>
          <w:rFonts w:hint="eastAsia" w:ascii="宋体" w:hAnsi="宋体"/>
          <w:b/>
          <w:sz w:val="24"/>
        </w:rPr>
        <w:t>提供设备生产厂家公开发布的印刷资料或检测机构出具的检验报告复印件并加盖投标人单位公章</w:t>
      </w:r>
      <w:r>
        <w:rPr>
          <w:rFonts w:hint="eastAsia" w:asciiTheme="minorEastAsia" w:hAnsiTheme="minorEastAsia" w:eastAsiaTheme="minorEastAsia"/>
          <w:b/>
          <w:bCs/>
          <w:sz w:val="24"/>
          <w:szCs w:val="22"/>
        </w:rPr>
        <w:t>）</w:t>
      </w:r>
    </w:p>
    <w:bookmarkEnd w:id="0"/>
    <w:p w14:paraId="2CBE60BD">
      <w:pPr>
        <w:spacing w:line="360" w:lineRule="auto"/>
        <w:ind w:firstLine="480" w:firstLineChars="200"/>
        <w:jc w:val="left"/>
        <w:rPr>
          <w:rFonts w:asciiTheme="minorEastAsia" w:hAnsiTheme="minorEastAsia" w:eastAsiaTheme="minorEastAsia"/>
          <w:bCs/>
          <w:sz w:val="24"/>
          <w:szCs w:val="22"/>
        </w:rPr>
      </w:pPr>
      <w:r>
        <w:rPr>
          <w:rFonts w:hint="eastAsia" w:asciiTheme="minorEastAsia" w:hAnsiTheme="minorEastAsia" w:eastAsiaTheme="minorEastAsia"/>
          <w:bCs/>
          <w:sz w:val="24"/>
          <w:szCs w:val="22"/>
        </w:rPr>
        <w:t>2.设备工作条件：电源AC 220V/10A，非永久性安装设备，无需额外屏蔽设施。</w:t>
      </w:r>
    </w:p>
    <w:p w14:paraId="169CC1F6">
      <w:pPr>
        <w:spacing w:line="360" w:lineRule="auto"/>
        <w:ind w:firstLine="482" w:firstLineChars="200"/>
        <w:jc w:val="left"/>
        <w:rPr>
          <w:rFonts w:ascii="宋体" w:hAnsi="宋体" w:cs="宋体"/>
          <w:b/>
          <w:color w:val="000000" w:themeColor="text1"/>
          <w:kern w:val="0"/>
          <w:sz w:val="24"/>
          <w:lang w:bidi="ar"/>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3.</w:t>
      </w:r>
      <w:r>
        <w:rPr>
          <w:rFonts w:hint="eastAsia" w:ascii="宋体" w:hAnsi="宋体" w:cs="宋体"/>
          <w:b/>
          <w:bCs/>
          <w:color w:val="000000" w:themeColor="text1"/>
          <w:kern w:val="0"/>
          <w:sz w:val="24"/>
          <w:lang w:bidi="ar"/>
          <w14:textFill>
            <w14:solidFill>
              <w14:schemeClr w14:val="tx1"/>
            </w14:solidFill>
          </w14:textFill>
        </w:rPr>
        <w:t>脑磁探测与采集系统</w:t>
      </w:r>
    </w:p>
    <w:p w14:paraId="0CE54AEF">
      <w:pPr>
        <w:spacing w:line="360" w:lineRule="auto"/>
        <w:ind w:firstLine="480" w:firstLineChars="200"/>
        <w:jc w:val="left"/>
        <w:rPr>
          <w:rFonts w:ascii="宋体" w:hAnsi="宋体" w:cs="宋体"/>
          <w:kern w:val="0"/>
          <w:sz w:val="24"/>
          <w:lang w:bidi="ar"/>
        </w:rPr>
      </w:pPr>
      <w:r>
        <w:rPr>
          <w:rFonts w:hint="eastAsia" w:asciiTheme="minorEastAsia" w:hAnsiTheme="minorEastAsia" w:eastAsiaTheme="minorEastAsia"/>
          <w:bCs/>
          <w:sz w:val="24"/>
          <w:szCs w:val="22"/>
        </w:rPr>
        <w:t>★</w:t>
      </w:r>
      <w:r>
        <w:rPr>
          <w:rFonts w:hint="eastAsia" w:ascii="宋体" w:hAnsi="宋体" w:cs="宋体" w:eastAsiaTheme="minorEastAsia"/>
          <w:kern w:val="0"/>
          <w:sz w:val="24"/>
          <w:lang w:bidi="ar"/>
        </w:rPr>
        <w:t>3</w:t>
      </w:r>
      <w:r>
        <w:rPr>
          <w:rFonts w:hint="eastAsia" w:ascii="宋体" w:hAnsi="宋体" w:cs="宋体"/>
          <w:kern w:val="0"/>
          <w:sz w:val="24"/>
          <w:lang w:bidi="ar"/>
        </w:rPr>
        <w:t>.1脑磁探测器数量：≥64个。</w:t>
      </w:r>
      <w:r>
        <w:rPr>
          <w:rFonts w:hint="eastAsia" w:ascii="宋体" w:hAnsi="宋体" w:cs="宋体"/>
          <w:b/>
          <w:kern w:val="0"/>
          <w:sz w:val="24"/>
          <w:lang w:bidi="ar"/>
        </w:rPr>
        <w:t>（</w:t>
      </w:r>
      <w:r>
        <w:rPr>
          <w:rFonts w:hint="eastAsia" w:ascii="宋体" w:hAnsi="宋体"/>
          <w:b/>
          <w:sz w:val="24"/>
        </w:rPr>
        <w:t>提供药监局备案的产品说明书或检测机构出具的检验报告复印件并加盖投标人单位公章</w:t>
      </w:r>
      <w:r>
        <w:rPr>
          <w:rFonts w:hint="eastAsia" w:ascii="宋体" w:hAnsi="宋体" w:cs="宋体"/>
          <w:b/>
          <w:kern w:val="0"/>
          <w:sz w:val="24"/>
          <w:lang w:bidi="ar"/>
        </w:rPr>
        <w:t>）</w:t>
      </w:r>
    </w:p>
    <w:p w14:paraId="6DB9944E">
      <w:pPr>
        <w:spacing w:line="360" w:lineRule="auto"/>
        <w:ind w:firstLine="480" w:firstLineChars="200"/>
        <w:jc w:val="left"/>
        <w:rPr>
          <w:rFonts w:ascii="宋体" w:hAnsi="宋体" w:cs="宋体"/>
          <w:b/>
          <w:kern w:val="0"/>
          <w:sz w:val="24"/>
          <w:lang w:bidi="ar"/>
        </w:rPr>
      </w:pPr>
      <w:r>
        <w:rPr>
          <w:rFonts w:hint="eastAsia" w:ascii="宋体" w:hAnsi="宋体" w:cs="宋体"/>
          <w:kern w:val="0"/>
          <w:sz w:val="24"/>
          <w:lang w:bidi="ar"/>
        </w:rPr>
        <w:t>▲3.2脑磁探测器本底噪声≤15fT/Hz</w:t>
      </w:r>
      <w:r>
        <w:rPr>
          <w:rFonts w:hint="eastAsia" w:ascii="宋体" w:hAnsi="宋体" w:cs="宋体"/>
          <w:kern w:val="0"/>
          <w:sz w:val="24"/>
          <w:vertAlign w:val="superscript"/>
          <w:lang w:bidi="ar"/>
        </w:rPr>
        <w:t>1/2</w:t>
      </w:r>
      <w:r>
        <w:rPr>
          <w:rFonts w:hint="eastAsia" w:ascii="宋体" w:hAnsi="宋体" w:cs="宋体"/>
          <w:kern w:val="0"/>
          <w:sz w:val="24"/>
          <w:lang w:bidi="ar"/>
        </w:rPr>
        <w:t>。</w:t>
      </w:r>
      <w:r>
        <w:rPr>
          <w:rFonts w:hint="eastAsia" w:ascii="宋体" w:hAnsi="宋体" w:cs="宋体"/>
          <w:b/>
          <w:kern w:val="0"/>
          <w:sz w:val="24"/>
          <w:lang w:bidi="ar"/>
        </w:rPr>
        <w:t>（</w:t>
      </w:r>
      <w:r>
        <w:rPr>
          <w:rFonts w:hint="eastAsia" w:ascii="宋体" w:hAnsi="宋体"/>
          <w:b/>
          <w:sz w:val="24"/>
        </w:rPr>
        <w:t>提供药监局备案的产品说明书或检测机构出具的检验报告复印件并加盖投标人单位公章</w:t>
      </w:r>
      <w:r>
        <w:rPr>
          <w:rFonts w:hint="eastAsia" w:ascii="宋体" w:hAnsi="宋体" w:cs="宋体"/>
          <w:b/>
          <w:kern w:val="0"/>
          <w:sz w:val="24"/>
          <w:lang w:bidi="ar"/>
        </w:rPr>
        <w:t>）</w:t>
      </w:r>
    </w:p>
    <w:p w14:paraId="4B34C145">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3.3多通道工作无干扰：脑磁探测器可以在紧密排布状态下同步工作无串扰。</w:t>
      </w:r>
    </w:p>
    <w:p w14:paraId="2466B2A7">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3.4脑磁探测器动态范围：≥1nT。</w:t>
      </w:r>
      <w:r>
        <w:rPr>
          <w:rFonts w:hint="eastAsia" w:ascii="宋体" w:hAnsi="宋体" w:cs="宋体"/>
          <w:b/>
          <w:kern w:val="0"/>
          <w:sz w:val="24"/>
          <w:lang w:bidi="ar"/>
        </w:rPr>
        <w:t>（</w:t>
      </w:r>
      <w:r>
        <w:rPr>
          <w:rFonts w:hint="eastAsia" w:ascii="宋体" w:hAnsi="宋体"/>
          <w:b/>
          <w:sz w:val="24"/>
        </w:rPr>
        <w:t>提供药监局备案的产品说明书或检测机构出具的检验报告复印件并加盖投标人单位公章</w:t>
      </w:r>
      <w:r>
        <w:rPr>
          <w:rFonts w:hint="eastAsia" w:ascii="宋体" w:hAnsi="宋体" w:cs="宋体"/>
          <w:b/>
          <w:kern w:val="0"/>
          <w:sz w:val="24"/>
          <w:lang w:bidi="ar"/>
        </w:rPr>
        <w:t>）</w:t>
      </w:r>
    </w:p>
    <w:p w14:paraId="2B09583A">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3.5传感器阵列与头皮距离：≤1cm。</w:t>
      </w:r>
    </w:p>
    <w:p w14:paraId="6FE85134">
      <w:pPr>
        <w:spacing w:line="360" w:lineRule="auto"/>
        <w:ind w:firstLine="480" w:firstLineChars="200"/>
        <w:rPr>
          <w:rFonts w:ascii="宋体" w:hAnsi="宋体" w:cs="宋体"/>
          <w:kern w:val="0"/>
          <w:sz w:val="24"/>
          <w:lang w:bidi="ar"/>
        </w:rPr>
      </w:pPr>
      <w:r>
        <w:rPr>
          <w:rFonts w:hint="eastAsia" w:ascii="宋体" w:hAnsi="宋体" w:cs="宋体"/>
          <w:kern w:val="0"/>
          <w:sz w:val="24"/>
          <w:lang w:bidi="ar"/>
        </w:rPr>
        <w:t>▲3.6脑磁探测器测量信号准确度：≤±5%</w:t>
      </w:r>
      <w:r>
        <w:rPr>
          <w:rFonts w:ascii="宋体" w:hAnsi="宋体" w:cs="宋体"/>
          <w:kern w:val="0"/>
          <w:sz w:val="24"/>
          <w:lang w:bidi="ar"/>
        </w:rPr>
        <w:t>@10Hz</w:t>
      </w:r>
      <w:r>
        <w:rPr>
          <w:rFonts w:hint="eastAsia" w:ascii="宋体" w:hAnsi="宋体" w:cs="宋体"/>
          <w:kern w:val="0"/>
          <w:sz w:val="24"/>
          <w:lang w:bidi="ar"/>
        </w:rPr>
        <w:t>。</w:t>
      </w:r>
      <w:r>
        <w:rPr>
          <w:rFonts w:hint="eastAsia" w:ascii="宋体" w:hAnsi="宋体" w:cs="宋体"/>
          <w:b/>
          <w:kern w:val="0"/>
          <w:sz w:val="24"/>
          <w:lang w:bidi="ar"/>
        </w:rPr>
        <w:t>（</w:t>
      </w:r>
      <w:r>
        <w:rPr>
          <w:rFonts w:hint="eastAsia" w:ascii="宋体" w:hAnsi="宋体"/>
          <w:b/>
          <w:sz w:val="24"/>
        </w:rPr>
        <w:t>提供药监局备案的产品说明书或检测机构出具的检验报告复印件并加盖投标人单位公章</w:t>
      </w:r>
      <w:r>
        <w:rPr>
          <w:rFonts w:hint="eastAsia" w:ascii="宋体" w:hAnsi="宋体" w:cs="宋体"/>
          <w:b/>
          <w:kern w:val="0"/>
          <w:sz w:val="24"/>
          <w:lang w:bidi="ar"/>
        </w:rPr>
        <w:t>）</w:t>
      </w:r>
    </w:p>
    <w:p w14:paraId="4FFBAEFE">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3</w:t>
      </w:r>
      <w:r>
        <w:rPr>
          <w:rFonts w:ascii="宋体" w:hAnsi="宋体" w:cs="宋体"/>
          <w:kern w:val="0"/>
          <w:sz w:val="24"/>
          <w:lang w:bidi="ar"/>
        </w:rPr>
        <w:t>.</w:t>
      </w:r>
      <w:r>
        <w:rPr>
          <w:rFonts w:hint="eastAsia" w:ascii="宋体" w:hAnsi="宋体" w:cs="宋体"/>
          <w:kern w:val="0"/>
          <w:sz w:val="24"/>
          <w:lang w:bidi="ar"/>
        </w:rPr>
        <w:t>7脑磁探测带宽范围：≥1-80Hz。</w:t>
      </w:r>
      <w:r>
        <w:rPr>
          <w:rFonts w:hint="eastAsia" w:ascii="宋体" w:hAnsi="宋体" w:cs="宋体"/>
          <w:b/>
          <w:kern w:val="0"/>
          <w:sz w:val="24"/>
          <w:lang w:bidi="ar"/>
        </w:rPr>
        <w:t>（</w:t>
      </w:r>
      <w:r>
        <w:rPr>
          <w:rFonts w:hint="eastAsia" w:ascii="宋体" w:hAnsi="宋体"/>
          <w:b/>
          <w:sz w:val="24"/>
        </w:rPr>
        <w:t>提供药监局备案的产品说明书或检测机构出具的检验报告复印件并加盖投标人单位公章</w:t>
      </w:r>
      <w:r>
        <w:rPr>
          <w:rFonts w:hint="eastAsia" w:ascii="宋体" w:hAnsi="宋体" w:cs="宋体"/>
          <w:b/>
          <w:kern w:val="0"/>
          <w:sz w:val="24"/>
          <w:lang w:bidi="ar"/>
        </w:rPr>
        <w:t>）</w:t>
      </w:r>
    </w:p>
    <w:p w14:paraId="043E65B2">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3.8信号采集系统最高采样率：≥1kHz。</w:t>
      </w:r>
    </w:p>
    <w:p w14:paraId="549A3EE4">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3.9多通道同步误差：≤5μs。</w:t>
      </w:r>
    </w:p>
    <w:p w14:paraId="0183AA0C">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▲3.</w:t>
      </w:r>
      <w:bookmarkStart w:id="1" w:name="OLE_LINK2"/>
      <w:r>
        <w:rPr>
          <w:rFonts w:hint="eastAsia" w:ascii="宋体" w:hAnsi="宋体" w:cs="宋体"/>
          <w:kern w:val="0"/>
          <w:sz w:val="24"/>
          <w:lang w:bidi="ar"/>
        </w:rPr>
        <w:t>10脑磁探测头盔与头皮接触的最高温度：≤41℃。</w:t>
      </w:r>
      <w:bookmarkEnd w:id="1"/>
      <w:r>
        <w:rPr>
          <w:rFonts w:hint="eastAsia" w:ascii="宋体" w:hAnsi="宋体" w:cs="宋体"/>
          <w:b/>
          <w:kern w:val="0"/>
          <w:sz w:val="24"/>
          <w:lang w:bidi="ar"/>
        </w:rPr>
        <w:t>（</w:t>
      </w:r>
      <w:r>
        <w:rPr>
          <w:rFonts w:hint="eastAsia" w:ascii="宋体" w:hAnsi="宋体"/>
          <w:b/>
          <w:sz w:val="24"/>
        </w:rPr>
        <w:t>提供药监局备案的产品说明书或检测机构出具的检验报告复印件并加盖投标人单位公章</w:t>
      </w:r>
      <w:r>
        <w:rPr>
          <w:rFonts w:hint="eastAsia" w:ascii="宋体" w:hAnsi="宋体" w:cs="宋体"/>
          <w:b/>
          <w:kern w:val="0"/>
          <w:sz w:val="24"/>
          <w:lang w:bidi="ar"/>
        </w:rPr>
        <w:t>）</w:t>
      </w:r>
    </w:p>
    <w:p w14:paraId="5FF5290E">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▲3.</w:t>
      </w:r>
      <w:r>
        <w:rPr>
          <w:rFonts w:ascii="宋体" w:hAnsi="宋体" w:cs="宋体"/>
          <w:kern w:val="0"/>
          <w:sz w:val="24"/>
          <w:lang w:bidi="ar"/>
        </w:rPr>
        <w:t>1</w:t>
      </w:r>
      <w:r>
        <w:rPr>
          <w:rFonts w:hint="eastAsia" w:ascii="宋体" w:hAnsi="宋体" w:cs="宋体"/>
          <w:kern w:val="0"/>
          <w:sz w:val="24"/>
          <w:lang w:bidi="ar"/>
        </w:rPr>
        <w:t>1系统空间溯源定位误差≤3mm。</w:t>
      </w:r>
      <w:r>
        <w:rPr>
          <w:rFonts w:hint="eastAsia" w:asciiTheme="minorEastAsia" w:hAnsiTheme="minorEastAsia" w:eastAsiaTheme="minorEastAsia"/>
          <w:b/>
          <w:bCs/>
          <w:sz w:val="24"/>
          <w:szCs w:val="22"/>
        </w:rPr>
        <w:t>（</w:t>
      </w:r>
      <w:r>
        <w:rPr>
          <w:rFonts w:hint="eastAsia" w:ascii="宋体" w:hAnsi="宋体"/>
          <w:b/>
          <w:sz w:val="24"/>
        </w:rPr>
        <w:t>提供设备生产厂家公开发布的印刷资料或检测机构出具的检验报告复印件并加盖投标人单位公章</w:t>
      </w:r>
      <w:r>
        <w:rPr>
          <w:rFonts w:hint="eastAsia" w:asciiTheme="minorEastAsia" w:hAnsiTheme="minorEastAsia" w:eastAsiaTheme="minorEastAsia"/>
          <w:b/>
          <w:bCs/>
          <w:sz w:val="24"/>
          <w:szCs w:val="22"/>
        </w:rPr>
        <w:t>）</w:t>
      </w:r>
    </w:p>
    <w:p w14:paraId="2EACA127">
      <w:pPr>
        <w:spacing w:line="360" w:lineRule="auto"/>
        <w:ind w:firstLine="480" w:firstLineChars="200"/>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3.12各个脑磁探测器工作状态须有硬件系统或软件系统显示功能，无需拆卸脑磁系统外壳操作员直接可见。</w:t>
      </w:r>
      <w:r>
        <w:rPr>
          <w:rFonts w:hint="eastAsia" w:ascii="宋体" w:hAnsi="宋体" w:cs="宋体"/>
          <w:b/>
          <w:kern w:val="0"/>
          <w:sz w:val="24"/>
          <w:lang w:bidi="ar"/>
        </w:rPr>
        <w:t>（提供软件相关功能界面截图复印件并加盖投标人单位公章）</w:t>
      </w:r>
    </w:p>
    <w:p w14:paraId="3EB23C31">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▲3.13系统支持与脑电图同步采集。</w:t>
      </w:r>
      <w:r>
        <w:rPr>
          <w:rFonts w:hint="eastAsia" w:asciiTheme="minorEastAsia" w:hAnsiTheme="minorEastAsia" w:eastAsiaTheme="minorEastAsia"/>
          <w:b/>
          <w:bCs/>
          <w:sz w:val="24"/>
          <w:szCs w:val="22"/>
        </w:rPr>
        <w:t>（</w:t>
      </w:r>
      <w:r>
        <w:rPr>
          <w:rFonts w:hint="eastAsia" w:ascii="宋体" w:hAnsi="宋体"/>
          <w:b/>
          <w:sz w:val="24"/>
        </w:rPr>
        <w:t>提供设备生产厂家公开发布的印刷资料或检测机构出具的检验报告复印件并加盖投标人单位公章</w:t>
      </w:r>
      <w:r>
        <w:rPr>
          <w:rFonts w:hint="eastAsia" w:asciiTheme="minorEastAsia" w:hAnsiTheme="minorEastAsia" w:eastAsiaTheme="minorEastAsia"/>
          <w:b/>
          <w:bCs/>
          <w:sz w:val="24"/>
          <w:szCs w:val="22"/>
        </w:rPr>
        <w:t>）</w:t>
      </w:r>
    </w:p>
    <w:p w14:paraId="4DAC3AF8">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3.14数据采集及处理工作站</w:t>
      </w:r>
    </w:p>
    <w:p w14:paraId="3C193BFD">
      <w:pPr>
        <w:spacing w:line="360" w:lineRule="auto"/>
        <w:ind w:firstLine="480" w:firstLineChars="200"/>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3.14.1显示器尺寸≥27英寸，显示器</w:t>
      </w:r>
      <w:bookmarkStart w:id="2" w:name="OLE_LINK4"/>
      <w:r>
        <w:rPr>
          <w:rFonts w:hint="eastAsia" w:ascii="宋体" w:hAnsi="宋体" w:cs="宋体"/>
          <w:color w:val="000000" w:themeColor="text1"/>
          <w:kern w:val="0"/>
          <w:sz w:val="24"/>
          <w:lang w:bidi="ar"/>
          <w14:textFill>
            <w14:solidFill>
              <w14:schemeClr w14:val="tx1"/>
            </w14:solidFill>
          </w14:textFill>
        </w:rPr>
        <w:t>≥</w:t>
      </w:r>
      <w:bookmarkEnd w:id="2"/>
      <w:r>
        <w:rPr>
          <w:rFonts w:hint="eastAsia" w:ascii="宋体" w:hAnsi="宋体" w:cs="宋体"/>
          <w:color w:val="000000" w:themeColor="text1"/>
          <w:kern w:val="0"/>
          <w:sz w:val="24"/>
          <w:lang w:bidi="ar"/>
          <w14:textFill>
            <w14:solidFill>
              <w14:schemeClr w14:val="tx1"/>
            </w14:solidFill>
          </w14:textFill>
        </w:rPr>
        <w:t>3台，分辨率≥4K，刷新率≥60Hz。</w:t>
      </w:r>
    </w:p>
    <w:p w14:paraId="643E5C85">
      <w:pPr>
        <w:spacing w:line="360" w:lineRule="auto"/>
        <w:ind w:firstLine="480" w:firstLineChars="200"/>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3.14.2</w:t>
      </w:r>
      <w:r>
        <w:rPr>
          <w:rFonts w:hint="eastAsia" w:ascii="宋体" w:hAnsi="宋体" w:cs="宋体"/>
          <w:color w:val="000000" w:themeColor="text1"/>
          <w:kern w:val="0"/>
          <w:sz w:val="24"/>
          <w:lang w:val="en-US" w:eastAsia="zh-CN" w:bidi="ar"/>
          <w14:textFill>
            <w14:solidFill>
              <w14:schemeClr w14:val="tx1"/>
            </w14:solidFill>
          </w14:textFill>
        </w:rPr>
        <w:t xml:space="preserve"> 显卡: 单张显卡内存</w:t>
      </w:r>
      <w:r>
        <w:rPr>
          <w:rFonts w:hint="eastAsia" w:ascii="宋体" w:hAnsi="宋体" w:cs="宋体"/>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lang w:val="en-US" w:eastAsia="zh-CN" w:bidi="ar"/>
          <w14:textFill>
            <w14:solidFill>
              <w14:schemeClr w14:val="tx1"/>
            </w14:solidFill>
          </w14:textFill>
        </w:rPr>
        <w:t>48G ，总计</w:t>
      </w:r>
      <w:r>
        <w:rPr>
          <w:rFonts w:hint="eastAsia" w:ascii="宋体" w:hAnsi="宋体" w:cs="宋体"/>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lang w:val="en-US" w:eastAsia="zh-CN" w:bidi="ar"/>
          <w14:textFill>
            <w14:solidFill>
              <w14:schemeClr w14:val="tx1"/>
            </w14:solidFill>
          </w14:textFill>
        </w:rPr>
        <w:t>4张</w:t>
      </w:r>
      <w:r>
        <w:rPr>
          <w:rFonts w:ascii="宋体" w:hAnsi="宋体" w:cs="宋体"/>
          <w:color w:val="000000" w:themeColor="text1"/>
          <w:kern w:val="0"/>
          <w:sz w:val="24"/>
          <w:lang w:bidi="ar"/>
          <w14:textFill>
            <w14:solidFill>
              <w14:schemeClr w14:val="tx1"/>
            </w14:solidFill>
          </w14:textFill>
        </w:rPr>
        <w:t>。</w:t>
      </w:r>
    </w:p>
    <w:p w14:paraId="07C22CAC">
      <w:pPr>
        <w:spacing w:line="360" w:lineRule="auto"/>
        <w:ind w:firstLine="480" w:firstLineChars="200"/>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3.14.3</w:t>
      </w:r>
      <w:r>
        <w:rPr>
          <w:rFonts w:ascii="宋体" w:hAnsi="宋体" w:cs="宋体"/>
          <w:color w:val="000000" w:themeColor="text1"/>
          <w:kern w:val="0"/>
          <w:sz w:val="24"/>
          <w:lang w:bidi="ar"/>
          <w14:textFill>
            <w14:solidFill>
              <w14:schemeClr w14:val="tx1"/>
            </w14:solidFill>
          </w14:textFill>
        </w:rPr>
        <w:t>用于数据处理的双路服务器</w:t>
      </w:r>
      <w:r>
        <w:rPr>
          <w:rFonts w:hint="eastAsia" w:ascii="宋体" w:hAnsi="宋体" w:cs="宋体"/>
          <w:color w:val="000000" w:themeColor="text1"/>
          <w:kern w:val="0"/>
          <w:sz w:val="24"/>
          <w:lang w:bidi="ar"/>
          <w14:textFill>
            <w14:solidFill>
              <w14:schemeClr w14:val="tx1"/>
            </w14:solidFill>
          </w14:textFill>
        </w:rPr>
        <w:t>，</w:t>
      </w:r>
      <w:r>
        <w:rPr>
          <w:rFonts w:ascii="宋体" w:hAnsi="宋体" w:cs="宋体"/>
          <w:color w:val="000000" w:themeColor="text1"/>
          <w:kern w:val="0"/>
          <w:sz w:val="24"/>
          <w:lang w:bidi="ar"/>
          <w14:textFill>
            <w14:solidFill>
              <w14:schemeClr w14:val="tx1"/>
            </w14:solidFill>
          </w14:textFill>
        </w:rPr>
        <w:t>单路CPU</w:t>
      </w:r>
      <w:r>
        <w:rPr>
          <w:rFonts w:hint="eastAsia" w:ascii="宋体" w:hAnsi="宋体" w:cs="宋体"/>
          <w:color w:val="000000" w:themeColor="text1"/>
          <w:kern w:val="0"/>
          <w:sz w:val="24"/>
          <w:lang w:bidi="ar"/>
          <w14:textFill>
            <w14:solidFill>
              <w14:schemeClr w14:val="tx1"/>
            </w14:solidFill>
          </w14:textFill>
        </w:rPr>
        <w:t>≥</w:t>
      </w:r>
      <w:r>
        <w:rPr>
          <w:rFonts w:ascii="宋体" w:hAnsi="宋体" w:cs="宋体"/>
          <w:color w:val="000000" w:themeColor="text1"/>
          <w:kern w:val="0"/>
          <w:sz w:val="24"/>
          <w:lang w:bidi="ar"/>
          <w14:textFill>
            <w14:solidFill>
              <w14:schemeClr w14:val="tx1"/>
            </w14:solidFill>
          </w14:textFill>
        </w:rPr>
        <w:t>48</w:t>
      </w:r>
      <w:r>
        <w:rPr>
          <w:rFonts w:hint="eastAsia" w:ascii="宋体" w:hAnsi="宋体" w:cs="宋体"/>
          <w:color w:val="000000" w:themeColor="text1"/>
          <w:kern w:val="0"/>
          <w:sz w:val="24"/>
          <w:lang w:bidi="ar"/>
          <w14:textFill>
            <w14:solidFill>
              <w14:schemeClr w14:val="tx1"/>
            </w14:solidFill>
          </w14:textFill>
        </w:rPr>
        <w:t>核</w:t>
      </w:r>
      <w:r>
        <w:rPr>
          <w:rFonts w:ascii="宋体" w:hAnsi="宋体" w:cs="宋体"/>
          <w:color w:val="000000" w:themeColor="text1"/>
          <w:kern w:val="0"/>
          <w:sz w:val="24"/>
          <w:lang w:bidi="ar"/>
          <w14:textFill>
            <w14:solidFill>
              <w14:schemeClr w14:val="tx1"/>
            </w14:solidFill>
          </w14:textFill>
        </w:rPr>
        <w:t>，总计</w:t>
      </w:r>
      <w:r>
        <w:rPr>
          <w:rFonts w:hint="eastAsia" w:ascii="宋体" w:hAnsi="宋体" w:cs="宋体"/>
          <w:color w:val="000000" w:themeColor="text1"/>
          <w:kern w:val="0"/>
          <w:sz w:val="24"/>
          <w:lang w:bidi="ar"/>
          <w14:textFill>
            <w14:solidFill>
              <w14:schemeClr w14:val="tx1"/>
            </w14:solidFill>
          </w14:textFill>
        </w:rPr>
        <w:t>≥</w:t>
      </w:r>
      <w:r>
        <w:rPr>
          <w:rFonts w:ascii="宋体" w:hAnsi="宋体" w:cs="宋体"/>
          <w:color w:val="000000" w:themeColor="text1"/>
          <w:kern w:val="0"/>
          <w:sz w:val="24"/>
          <w:lang w:bidi="ar"/>
          <w14:textFill>
            <w14:solidFill>
              <w14:schemeClr w14:val="tx1"/>
            </w14:solidFill>
          </w14:textFill>
        </w:rPr>
        <w:t>2块同类型CPU</w:t>
      </w:r>
      <w:r>
        <w:rPr>
          <w:rFonts w:hint="eastAsia" w:ascii="宋体" w:hAnsi="宋体" w:cs="宋体"/>
          <w:color w:val="000000" w:themeColor="text1"/>
          <w:kern w:val="0"/>
          <w:sz w:val="24"/>
          <w:lang w:bidi="ar"/>
          <w14:textFill>
            <w14:solidFill>
              <w14:schemeClr w14:val="tx1"/>
            </w14:solidFill>
          </w14:textFill>
        </w:rPr>
        <w:t>。</w:t>
      </w:r>
    </w:p>
    <w:p w14:paraId="46F61477">
      <w:pPr>
        <w:spacing w:line="360" w:lineRule="auto"/>
        <w:ind w:firstLine="480" w:firstLineChars="200"/>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3.14.4内存≥512G。</w:t>
      </w:r>
    </w:p>
    <w:p w14:paraId="6C2BEFBA">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3.14.5用于系统和软件安装的固态硬盘：≥2TB；用于数据储存的机械硬盘矩阵：≥24TB。移动硬盘：≥2块，每块：≥8T。</w:t>
      </w:r>
    </w:p>
    <w:p w14:paraId="14EC93E4">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4.磁场屏蔽系统</w:t>
      </w:r>
    </w:p>
    <w:p w14:paraId="67EB3069">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▲4.1磁场均匀区直流剩余磁场≤0.5nT。</w:t>
      </w:r>
      <w:r>
        <w:rPr>
          <w:rFonts w:hint="eastAsia" w:ascii="宋体" w:hAnsi="宋体" w:cs="宋体"/>
          <w:b/>
          <w:kern w:val="0"/>
          <w:sz w:val="24"/>
          <w:lang w:bidi="ar"/>
        </w:rPr>
        <w:t>（</w:t>
      </w:r>
      <w:r>
        <w:rPr>
          <w:rFonts w:hint="eastAsia" w:ascii="宋体" w:hAnsi="宋体"/>
          <w:b/>
          <w:sz w:val="24"/>
        </w:rPr>
        <w:t>提供药监局备案的产品说明书或检测机构出具的检验报告复印件并加盖投标人单位公章</w:t>
      </w:r>
      <w:r>
        <w:rPr>
          <w:rFonts w:hint="eastAsia" w:ascii="宋体" w:hAnsi="宋体" w:cs="宋体"/>
          <w:b/>
          <w:kern w:val="0"/>
          <w:sz w:val="24"/>
          <w:lang w:bidi="ar"/>
        </w:rPr>
        <w:t>）</w:t>
      </w:r>
    </w:p>
    <w:p w14:paraId="5B51B023">
      <w:pPr>
        <w:spacing w:line="360" w:lineRule="auto"/>
        <w:ind w:firstLine="480" w:firstLineChars="200"/>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▲4.2均匀区范围≥300mm。</w:t>
      </w:r>
      <w:r>
        <w:rPr>
          <w:rFonts w:hint="eastAsia" w:asciiTheme="minorEastAsia" w:hAnsiTheme="minorEastAsia" w:eastAsiaTheme="minorEastAsia"/>
          <w:b/>
          <w:bCs/>
          <w:sz w:val="24"/>
          <w:szCs w:val="22"/>
        </w:rPr>
        <w:t>（</w:t>
      </w:r>
      <w:r>
        <w:rPr>
          <w:rFonts w:hint="eastAsia" w:ascii="宋体" w:hAnsi="宋体"/>
          <w:b/>
          <w:sz w:val="24"/>
        </w:rPr>
        <w:t>提供设备生产厂家公开发布的印刷资料或检测机构出具的检验报告复印件并加盖投标人单位公章</w:t>
      </w:r>
      <w:r>
        <w:rPr>
          <w:rFonts w:hint="eastAsia" w:asciiTheme="minorEastAsia" w:hAnsiTheme="minorEastAsia" w:eastAsiaTheme="minorEastAsia"/>
          <w:b/>
          <w:bCs/>
          <w:sz w:val="24"/>
          <w:szCs w:val="22"/>
        </w:rPr>
        <w:t>）</w:t>
      </w:r>
    </w:p>
    <w:p w14:paraId="47A5C444">
      <w:pPr>
        <w:spacing w:line="360" w:lineRule="auto"/>
        <w:ind w:firstLine="480" w:firstLineChars="200"/>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4.3具备无磁照明功能。</w:t>
      </w:r>
    </w:p>
    <w:p w14:paraId="7CA8B673">
      <w:pPr>
        <w:spacing w:line="360" w:lineRule="auto"/>
        <w:ind w:firstLine="480" w:firstLineChars="200"/>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5.光学扫描与监测功能</w:t>
      </w:r>
    </w:p>
    <w:p w14:paraId="4DEBCB5B">
      <w:pPr>
        <w:spacing w:line="360" w:lineRule="auto"/>
        <w:ind w:firstLine="480" w:firstLineChars="200"/>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5.1扫描模式：红外光及可见光双扫描模式。</w:t>
      </w:r>
    </w:p>
    <w:p w14:paraId="6F64C785">
      <w:pPr>
        <w:spacing w:line="360" w:lineRule="auto"/>
        <w:ind w:firstLine="480" w:firstLineChars="200"/>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5.2 拼接模式：无需使用标志点即可拼接。</w:t>
      </w:r>
    </w:p>
    <w:p w14:paraId="4949D656">
      <w:pPr>
        <w:spacing w:line="360" w:lineRule="auto"/>
        <w:ind w:firstLine="480" w:firstLineChars="200"/>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5.3头部几何尺寸扫描精度≤0.1mm。</w:t>
      </w:r>
    </w:p>
    <w:p w14:paraId="035529F6">
      <w:pPr>
        <w:spacing w:line="360" w:lineRule="auto"/>
        <w:ind w:firstLine="480" w:firstLineChars="200"/>
        <w:jc w:val="left"/>
        <w:rPr>
          <w:rFonts w:ascii="宋体" w:hAnsi="宋体" w:cs="宋体"/>
          <w:kern w:val="0"/>
          <w:sz w:val="24"/>
          <w:lang w:bidi="ar"/>
        </w:rPr>
      </w:pPr>
      <w:r>
        <w:rPr>
          <w:rFonts w:hint="eastAsia" w:ascii="宋体" w:hAnsi="宋体" w:cs="宋体"/>
          <w:color w:val="000000" w:themeColor="text1"/>
          <w:kern w:val="0"/>
          <w:sz w:val="24"/>
          <w:lang w:bidi="ar"/>
          <w14:textFill>
            <w14:solidFill>
              <w14:schemeClr w14:val="tx1"/>
            </w14:solidFill>
          </w14:textFill>
        </w:rPr>
        <w:t>5.4具</w:t>
      </w:r>
      <w:r>
        <w:rPr>
          <w:rFonts w:hint="eastAsia" w:ascii="宋体" w:hAnsi="宋体" w:cs="宋体"/>
          <w:kern w:val="0"/>
          <w:sz w:val="24"/>
          <w:lang w:bidi="ar"/>
        </w:rPr>
        <w:t>备实时头动监测功能，头动监测误差≤2mm。</w:t>
      </w:r>
    </w:p>
    <w:p w14:paraId="244A33B5">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6.刺激与反馈系统</w:t>
      </w:r>
    </w:p>
    <w:p w14:paraId="6F9AFA4B">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6.1听觉刺激系统:配备双耳无磁耳机，</w:t>
      </w:r>
      <w:r>
        <w:rPr>
          <w:rFonts w:hint="eastAsia" w:ascii="宋体" w:hAnsi="宋体" w:cs="宋体"/>
          <w:color w:val="000000" w:themeColor="text1"/>
          <w:kern w:val="0"/>
          <w:sz w:val="24"/>
          <w:lang w:bidi="ar"/>
          <w14:textFill>
            <w14:solidFill>
              <w14:schemeClr w14:val="tx1"/>
            </w14:solidFill>
          </w14:textFill>
        </w:rPr>
        <w:t>延时≤</w:t>
      </w:r>
      <w:r>
        <w:rPr>
          <w:rFonts w:ascii="宋体" w:hAnsi="宋体" w:cs="宋体"/>
          <w:color w:val="000000" w:themeColor="text1"/>
          <w:kern w:val="0"/>
          <w:sz w:val="24"/>
          <w:lang w:bidi="ar"/>
          <w14:textFill>
            <w14:solidFill>
              <w14:schemeClr w14:val="tx1"/>
            </w14:solidFill>
          </w14:textFill>
        </w:rPr>
        <w:t>5ms。</w:t>
      </w:r>
      <w:r>
        <w:rPr>
          <w:rFonts w:hint="eastAsia" w:ascii="宋体" w:hAnsi="宋体" w:cs="宋体"/>
          <w:b/>
          <w:kern w:val="0"/>
          <w:sz w:val="24"/>
          <w:lang w:bidi="ar"/>
        </w:rPr>
        <w:t>（</w:t>
      </w:r>
      <w:r>
        <w:rPr>
          <w:rFonts w:hint="eastAsia" w:ascii="宋体" w:hAnsi="宋体"/>
          <w:b/>
          <w:sz w:val="24"/>
        </w:rPr>
        <w:t>提供药监局备案的产品说明书或检测机构出具的检验报告复印件并加盖投标人单位公章</w:t>
      </w:r>
      <w:r>
        <w:rPr>
          <w:rFonts w:hint="eastAsia" w:ascii="宋体" w:hAnsi="宋体" w:cs="宋体"/>
          <w:b/>
          <w:kern w:val="0"/>
          <w:sz w:val="24"/>
          <w:lang w:bidi="ar"/>
        </w:rPr>
        <w:t>）</w:t>
      </w:r>
    </w:p>
    <w:p w14:paraId="3C6FC0D8">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6.2视觉刺激系统：配置无磁投影幕，最高频率120Hz，延时≤1ms。</w:t>
      </w:r>
      <w:r>
        <w:rPr>
          <w:rFonts w:hint="eastAsia" w:ascii="宋体" w:hAnsi="宋体" w:cs="宋体"/>
          <w:b/>
          <w:kern w:val="0"/>
          <w:sz w:val="24"/>
          <w:lang w:bidi="ar"/>
        </w:rPr>
        <w:t>（</w:t>
      </w:r>
      <w:r>
        <w:rPr>
          <w:rFonts w:hint="eastAsia" w:ascii="宋体" w:hAnsi="宋体"/>
          <w:b/>
          <w:sz w:val="24"/>
        </w:rPr>
        <w:t>提供药监局备案的产品说明书或检测机构出具的检验报告复印件并加盖投标人单位公章</w:t>
      </w:r>
      <w:r>
        <w:rPr>
          <w:rFonts w:hint="eastAsia" w:ascii="宋体" w:hAnsi="宋体" w:cs="宋体"/>
          <w:b/>
          <w:kern w:val="0"/>
          <w:sz w:val="24"/>
          <w:lang w:bidi="ar"/>
        </w:rPr>
        <w:t>）</w:t>
      </w:r>
    </w:p>
    <w:p w14:paraId="22305A52">
      <w:pPr>
        <w:spacing w:line="360" w:lineRule="auto"/>
        <w:ind w:firstLine="480" w:firstLineChars="200"/>
        <w:rPr>
          <w:rFonts w:ascii="宋体" w:hAnsi="宋体" w:cs="宋体"/>
          <w:color w:val="000000" w:themeColor="text1"/>
          <w:kern w:val="0"/>
          <w:sz w:val="24"/>
          <w:lang w:bidi="ar"/>
          <w14:textFill>
            <w14:solidFill>
              <w14:schemeClr w14:val="tx1"/>
            </w14:solidFill>
          </w14:textFill>
        </w:rPr>
      </w:pPr>
      <w:r>
        <w:rPr>
          <w:rFonts w:hint="eastAsia" w:ascii="宋体" w:hAnsi="宋体" w:cs="宋体"/>
          <w:kern w:val="0"/>
          <w:sz w:val="24"/>
          <w:lang w:bidi="ar"/>
        </w:rPr>
        <w:t>6.3体感刺激功能：</w:t>
      </w:r>
      <w:r>
        <w:rPr>
          <w:rFonts w:hint="eastAsia" w:ascii="宋体" w:hAnsi="宋体" w:cs="宋体"/>
          <w:color w:val="000000" w:themeColor="text1"/>
          <w:kern w:val="0"/>
          <w:sz w:val="24"/>
          <w:lang w:bidi="ar"/>
          <w14:textFill>
            <w14:solidFill>
              <w14:schemeClr w14:val="tx1"/>
            </w14:solidFill>
          </w14:textFill>
        </w:rPr>
        <w:t>体感刺激功能：电流强度60mA，脉冲宽度：75-300μs，脉冲频率1-120Hz。</w:t>
      </w:r>
    </w:p>
    <w:p w14:paraId="6390ADA8">
      <w:pPr>
        <w:spacing w:line="360" w:lineRule="auto"/>
        <w:ind w:firstLine="480" w:firstLineChars="200"/>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6.4按键反馈功能：左右手各五个按键；延时≤2ms。</w:t>
      </w:r>
      <w:r>
        <w:rPr>
          <w:rFonts w:hint="eastAsia" w:ascii="宋体" w:hAnsi="宋体" w:cs="宋体"/>
          <w:b/>
          <w:kern w:val="0"/>
          <w:sz w:val="24"/>
          <w:lang w:bidi="ar"/>
        </w:rPr>
        <w:t>（</w:t>
      </w:r>
      <w:r>
        <w:rPr>
          <w:rFonts w:hint="eastAsia" w:ascii="宋体" w:hAnsi="宋体"/>
          <w:b/>
          <w:sz w:val="24"/>
        </w:rPr>
        <w:t>提供药监局备案的产品说明书或检测机构出具的检验报告复印件并加盖投标人单位公章</w:t>
      </w:r>
      <w:r>
        <w:rPr>
          <w:rFonts w:hint="eastAsia" w:ascii="宋体" w:hAnsi="宋体" w:cs="宋体"/>
          <w:b/>
          <w:kern w:val="0"/>
          <w:sz w:val="24"/>
          <w:lang w:bidi="ar"/>
        </w:rPr>
        <w:t>）</w:t>
      </w:r>
    </w:p>
    <w:p w14:paraId="1C2C4691">
      <w:pPr>
        <w:spacing w:line="360" w:lineRule="auto"/>
        <w:ind w:firstLine="480" w:firstLineChars="200"/>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6.5刺激同步功能</w:t>
      </w:r>
    </w:p>
    <w:p w14:paraId="14A255A8">
      <w:pPr>
        <w:spacing w:line="360" w:lineRule="auto"/>
        <w:ind w:firstLine="480" w:firstLineChars="200"/>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6.5.1可对各刺激系统产生信号同步，并可调节触发电压阈值。</w:t>
      </w:r>
    </w:p>
    <w:p w14:paraId="55A3738C">
      <w:pPr>
        <w:spacing w:line="360" w:lineRule="auto"/>
        <w:ind w:firstLine="480" w:firstLineChars="200"/>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6.5.2支持触发通道数≥8，可与其他设备进行同步采集。</w:t>
      </w:r>
    </w:p>
    <w:p w14:paraId="2529C0E9">
      <w:pPr>
        <w:spacing w:line="360" w:lineRule="auto"/>
        <w:ind w:firstLine="480" w:firstLineChars="200"/>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6.5.3支持同步信号的分流，支持开源及第三方，如Psychopy等刺激呈现软件可同时向其他设备（如脑电、近红外等）发送同步信号，实现系统同步。</w:t>
      </w:r>
    </w:p>
    <w:p w14:paraId="49FF172F">
      <w:pPr>
        <w:spacing w:line="360" w:lineRule="auto"/>
        <w:ind w:firstLine="480" w:firstLineChars="200"/>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6.6刺激工作站</w:t>
      </w:r>
    </w:p>
    <w:p w14:paraId="64A4A975">
      <w:pPr>
        <w:spacing w:line="360" w:lineRule="auto"/>
        <w:ind w:firstLine="480" w:firstLineChars="200"/>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6.6.1显示器尺寸≥27英寸。</w:t>
      </w:r>
    </w:p>
    <w:p w14:paraId="643B134D">
      <w:pPr>
        <w:spacing w:line="360" w:lineRule="auto"/>
        <w:ind w:firstLine="480" w:firstLineChars="200"/>
        <w:jc w:val="left"/>
        <w:rPr>
          <w:rFonts w:ascii="宋体" w:hAnsi="宋体" w:cs="宋体"/>
          <w:kern w:val="0"/>
          <w:sz w:val="24"/>
          <w:lang w:bidi="ar"/>
        </w:rPr>
      </w:pPr>
      <w:r>
        <w:rPr>
          <w:rFonts w:hint="eastAsia" w:ascii="宋体" w:hAnsi="宋体" w:cs="宋体"/>
          <w:color w:val="000000" w:themeColor="text1"/>
          <w:kern w:val="0"/>
          <w:sz w:val="24"/>
          <w:lang w:bidi="ar"/>
          <w14:textFill>
            <w14:solidFill>
              <w14:schemeClr w14:val="tx1"/>
            </w14:solidFill>
          </w14:textFill>
        </w:rPr>
        <w:t>6</w:t>
      </w:r>
      <w:r>
        <w:rPr>
          <w:rFonts w:hint="eastAsia" w:ascii="宋体" w:hAnsi="宋体" w:cs="宋体"/>
          <w:kern w:val="0"/>
          <w:sz w:val="24"/>
          <w:lang w:bidi="ar"/>
        </w:rPr>
        <w:t>.6.2</w:t>
      </w:r>
      <w:r>
        <w:rPr>
          <w:rFonts w:hint="eastAsia" w:ascii="宋体" w:hAnsi="宋体" w:cs="宋体"/>
          <w:color w:val="000000" w:themeColor="text1"/>
          <w:kern w:val="0"/>
          <w:sz w:val="24"/>
          <w:lang w:bidi="ar"/>
          <w14:textFill>
            <w14:solidFill>
              <w14:schemeClr w14:val="tx1"/>
            </w14:solidFill>
          </w14:textFill>
        </w:rPr>
        <w:t>显示器分辨率≥3840×2160，</w:t>
      </w:r>
      <w:r>
        <w:rPr>
          <w:rFonts w:hint="eastAsia" w:ascii="宋体" w:hAnsi="宋体" w:cs="宋体"/>
          <w:kern w:val="0"/>
          <w:sz w:val="24"/>
          <w:lang w:bidi="ar"/>
        </w:rPr>
        <w:t>具备独立显卡。</w:t>
      </w:r>
    </w:p>
    <w:p w14:paraId="3C42A031">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7.检查床</w:t>
      </w:r>
    </w:p>
    <w:p w14:paraId="1CF1F520">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7.1检查床无磁干扰。</w:t>
      </w:r>
    </w:p>
    <w:p w14:paraId="6D6D402C">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▲7.2水平移动距离≥1800mm。</w:t>
      </w:r>
      <w:r>
        <w:rPr>
          <w:rFonts w:hint="eastAsia" w:ascii="宋体" w:hAnsi="宋体" w:cs="宋体"/>
          <w:b/>
          <w:kern w:val="0"/>
          <w:sz w:val="24"/>
          <w:lang w:bidi="ar"/>
        </w:rPr>
        <w:t>（</w:t>
      </w:r>
      <w:r>
        <w:rPr>
          <w:rFonts w:hint="eastAsia" w:ascii="宋体" w:hAnsi="宋体"/>
          <w:b/>
          <w:sz w:val="24"/>
        </w:rPr>
        <w:t>提供药监局备案的产品说明书或检测机构出具的检验报告复印件并加盖投标人单位公章</w:t>
      </w:r>
      <w:r>
        <w:rPr>
          <w:rFonts w:hint="eastAsia" w:ascii="宋体" w:hAnsi="宋体" w:cs="宋体"/>
          <w:b/>
          <w:kern w:val="0"/>
          <w:sz w:val="24"/>
          <w:lang w:bidi="ar"/>
        </w:rPr>
        <w:t>）</w:t>
      </w:r>
    </w:p>
    <w:p w14:paraId="17B32903">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7.3最大承重≥150kg。</w:t>
      </w:r>
    </w:p>
    <w:p w14:paraId="02FC98D6">
      <w:pPr>
        <w:spacing w:line="360" w:lineRule="auto"/>
        <w:ind w:firstLine="480" w:firstLineChars="200"/>
        <w:jc w:val="left"/>
        <w:rPr>
          <w:rFonts w:ascii="宋体" w:hAnsi="宋体" w:cs="宋体"/>
          <w:b/>
          <w:bCs/>
          <w:kern w:val="0"/>
          <w:sz w:val="24"/>
          <w:lang w:bidi="ar"/>
        </w:rPr>
      </w:pPr>
      <w:r>
        <w:rPr>
          <w:rFonts w:hint="eastAsia" w:ascii="宋体" w:hAnsi="宋体" w:cs="宋体"/>
          <w:color w:val="000000" w:themeColor="text1"/>
          <w:kern w:val="0"/>
          <w:sz w:val="24"/>
          <w:lang w:bidi="ar"/>
          <w14:textFill>
            <w14:solidFill>
              <w14:schemeClr w14:val="tx1"/>
            </w14:solidFill>
          </w14:textFill>
        </w:rPr>
        <w:t>7.4制动力≥150N。</w:t>
      </w:r>
    </w:p>
    <w:p w14:paraId="73658365">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7.5具备紧急停止功能。</w:t>
      </w:r>
    </w:p>
    <w:p w14:paraId="379AB64C">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8.软件系统</w:t>
      </w:r>
    </w:p>
    <w:p w14:paraId="4A816E65">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8.1脑磁数据采集软件</w:t>
      </w:r>
    </w:p>
    <w:p w14:paraId="43A5A404">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8.1.1具备患者创建、查询及浏览功能。</w:t>
      </w:r>
    </w:p>
    <w:p w14:paraId="7F915E2D">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8.1.2具备静息态采集和任务态采集功能。</w:t>
      </w:r>
    </w:p>
    <w:p w14:paraId="57F7E2AE">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8.1.3具备在线数据平均功能。</w:t>
      </w:r>
      <w:r>
        <w:rPr>
          <w:rFonts w:hint="eastAsia" w:ascii="宋体" w:hAnsi="宋体" w:cs="宋体"/>
          <w:b/>
          <w:kern w:val="0"/>
          <w:sz w:val="24"/>
          <w:lang w:bidi="ar"/>
        </w:rPr>
        <w:t>（提供软件相关功能界面截图复印件并加盖投标人单位公章）</w:t>
      </w:r>
    </w:p>
    <w:p w14:paraId="2D85C50C">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▲8.1.4具备脑磁探测器在线坏导数据剔除及优化功能，可独立查看并调节探测器的物理参数。</w:t>
      </w:r>
      <w:r>
        <w:rPr>
          <w:rFonts w:hint="eastAsia" w:ascii="宋体" w:hAnsi="宋体" w:cs="宋体"/>
          <w:b/>
          <w:kern w:val="0"/>
          <w:sz w:val="24"/>
          <w:lang w:bidi="ar"/>
        </w:rPr>
        <w:t>（提供软件相关功能界面截图复印件并加盖投标人单位公章）</w:t>
      </w:r>
    </w:p>
    <w:p w14:paraId="3DA05349">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8.1.5具备多通道脑磁数据在线滤波功能。</w:t>
      </w:r>
      <w:r>
        <w:rPr>
          <w:rFonts w:hint="eastAsia" w:ascii="宋体" w:hAnsi="宋体" w:cs="宋体"/>
          <w:b/>
          <w:kern w:val="0"/>
          <w:sz w:val="24"/>
          <w:lang w:bidi="ar"/>
        </w:rPr>
        <w:t>（提供软件相关功能界面截图复印件并加盖投标人单位公章）</w:t>
      </w:r>
    </w:p>
    <w:p w14:paraId="37234A10">
      <w:pPr>
        <w:spacing w:line="360" w:lineRule="auto"/>
        <w:ind w:firstLine="480" w:firstLineChars="200"/>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8.1.6具备探测器实时数据噪声密度谱（PSD）可视化和计算。</w:t>
      </w:r>
      <w:r>
        <w:rPr>
          <w:rFonts w:hint="eastAsia" w:ascii="宋体" w:hAnsi="宋体" w:cs="宋体"/>
          <w:b/>
          <w:kern w:val="0"/>
          <w:sz w:val="24"/>
          <w:lang w:bidi="ar"/>
        </w:rPr>
        <w:t>（提供软件相关功能界面截图复印件并加盖投标人单位公章）</w:t>
      </w:r>
    </w:p>
    <w:p w14:paraId="3DA7329B">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8.1.7具备已有数据的导入和显示查看功能，具备数据回放功能。</w:t>
      </w:r>
    </w:p>
    <w:p w14:paraId="40DB42A4">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▲8.1.8具备驱动控制光学扫描设备功能，可自动和手动裁剪出用于配准的区域。</w:t>
      </w:r>
      <w:r>
        <w:rPr>
          <w:rFonts w:hint="eastAsia" w:ascii="宋体" w:hAnsi="宋体" w:cs="宋体"/>
          <w:b/>
          <w:kern w:val="0"/>
          <w:sz w:val="24"/>
          <w:lang w:bidi="ar"/>
        </w:rPr>
        <w:t>（提供软件相关功能界面截图复印件并加盖投标人单位公章）</w:t>
      </w:r>
    </w:p>
    <w:p w14:paraId="14531F40">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8.2数据后处理软件</w:t>
      </w:r>
    </w:p>
    <w:p w14:paraId="6DF8DEA9">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8.2.1支持多模态数据导入：支持MEG、MRI的数据格式（如fif、dicom）的导入且支持数据预处理，包括：陷波和带通滤波、自动识别并去除坏通道等。</w:t>
      </w:r>
    </w:p>
    <w:p w14:paraId="0D032660">
      <w:pPr>
        <w:spacing w:line="360" w:lineRule="auto"/>
        <w:ind w:firstLine="480" w:firstLineChars="200"/>
        <w:rPr>
          <w:rFonts w:ascii="宋体" w:hAnsi="宋体" w:cs="宋体"/>
          <w:color w:val="000000" w:themeColor="text1"/>
          <w:kern w:val="0"/>
          <w:sz w:val="24"/>
          <w:lang w:bidi="ar"/>
          <w14:textFill>
            <w14:solidFill>
              <w14:schemeClr w14:val="tx1"/>
            </w14:solidFill>
          </w14:textFill>
        </w:rPr>
      </w:pPr>
      <w:r>
        <w:rPr>
          <w:rFonts w:hint="eastAsia" w:ascii="宋体" w:hAnsi="宋体" w:cs="宋体"/>
          <w:kern w:val="0"/>
          <w:sz w:val="24"/>
          <w:lang w:bidi="ar"/>
        </w:rPr>
        <w:t>8.2.2支持MRI与MEG空间融合：光学扫描数据与MRI数据的空间重建与预览，将光学扫描图像与MRI进行空间配准</w:t>
      </w:r>
      <w:r>
        <w:rPr>
          <w:rFonts w:hint="eastAsia" w:ascii="宋体" w:hAnsi="宋体" w:cs="宋体"/>
          <w:color w:val="000000" w:themeColor="text1"/>
          <w:kern w:val="0"/>
          <w:sz w:val="24"/>
          <w:lang w:bidi="ar"/>
          <w14:textFill>
            <w14:solidFill>
              <w14:schemeClr w14:val="tx1"/>
            </w14:solidFill>
          </w14:textFill>
        </w:rPr>
        <w:t>，可实现标准脑和个体脑MRI融合。</w:t>
      </w:r>
      <w:r>
        <w:rPr>
          <w:rFonts w:hint="eastAsia" w:ascii="宋体" w:hAnsi="宋体" w:cs="宋体"/>
          <w:b/>
          <w:kern w:val="0"/>
          <w:sz w:val="24"/>
          <w:lang w:bidi="ar"/>
        </w:rPr>
        <w:t>（提供软件相关功能界面截图复印件并加盖投标人单位公章）</w:t>
      </w:r>
    </w:p>
    <w:p w14:paraId="6069A03F">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8.2.3具备传感器空间时域图浏览、拓扑图浏览、时频图变换与浏览、时频拓扑图浏览等功能。</w:t>
      </w:r>
      <w:r>
        <w:rPr>
          <w:rFonts w:hint="eastAsia" w:ascii="宋体" w:hAnsi="宋体" w:cs="宋体"/>
          <w:b/>
          <w:kern w:val="0"/>
          <w:sz w:val="24"/>
          <w:lang w:bidi="ar"/>
        </w:rPr>
        <w:t>（提供软件相关功能界面截图复印件并加盖投标人单位公章）</w:t>
      </w:r>
    </w:p>
    <w:p w14:paraId="1B176CD3">
      <w:pPr>
        <w:spacing w:line="360" w:lineRule="auto"/>
        <w:ind w:firstLine="480" w:firstLineChars="200"/>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kern w:val="0"/>
          <w:sz w:val="24"/>
          <w:lang w:bidi="ar"/>
        </w:rPr>
        <w:t>8.2.4支持噪音协方差矩阵计算：支持基于空房间数据、诱</w:t>
      </w:r>
      <w:r>
        <w:rPr>
          <w:rFonts w:hint="eastAsia" w:ascii="宋体" w:hAnsi="宋体" w:cs="宋体"/>
          <w:color w:val="000000" w:themeColor="text1"/>
          <w:kern w:val="0"/>
          <w:sz w:val="24"/>
          <w:lang w:bidi="ar"/>
          <w14:textFill>
            <w14:solidFill>
              <w14:schemeClr w14:val="tx1"/>
            </w14:solidFill>
          </w14:textFill>
        </w:rPr>
        <w:t>发基线数据及自动计算等噪音协方差矩阵计算。</w:t>
      </w:r>
    </w:p>
    <w:p w14:paraId="27025FE6">
      <w:pPr>
        <w:spacing w:line="360" w:lineRule="auto"/>
        <w:ind w:firstLine="480" w:firstLineChars="200"/>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w:t>
      </w:r>
      <w:r>
        <w:rPr>
          <w:rFonts w:ascii="宋体" w:hAnsi="宋体" w:cs="宋体"/>
          <w:color w:val="000000" w:themeColor="text1"/>
          <w:kern w:val="0"/>
          <w:sz w:val="24"/>
          <w:lang w:bidi="ar"/>
          <w14:textFill>
            <w14:solidFill>
              <w14:schemeClr w14:val="tx1"/>
            </w14:solidFill>
          </w14:textFill>
        </w:rPr>
        <w:t>.2.</w:t>
      </w:r>
      <w:r>
        <w:rPr>
          <w:rFonts w:hint="eastAsia" w:ascii="宋体" w:hAnsi="宋体" w:cs="宋体"/>
          <w:color w:val="000000" w:themeColor="text1"/>
          <w:kern w:val="0"/>
          <w:sz w:val="24"/>
          <w:lang w:bidi="ar"/>
          <w14:textFill>
            <w14:solidFill>
              <w14:schemeClr w14:val="tx1"/>
            </w14:solidFill>
          </w14:textFill>
        </w:rPr>
        <w:t>5</w:t>
      </w:r>
      <w:r>
        <w:rPr>
          <w:rFonts w:ascii="宋体" w:hAnsi="宋体" w:cs="宋体"/>
          <w:color w:val="000000" w:themeColor="text1"/>
          <w:kern w:val="0"/>
          <w:sz w:val="24"/>
          <w:lang w:bidi="ar"/>
          <w14:textFill>
            <w14:solidFill>
              <w14:schemeClr w14:val="tx1"/>
            </w14:solidFill>
          </w14:textFill>
        </w:rPr>
        <w:t xml:space="preserve"> </w:t>
      </w:r>
      <w:r>
        <w:rPr>
          <w:rFonts w:hint="eastAsia" w:ascii="宋体" w:hAnsi="宋体" w:cs="宋体"/>
          <w:color w:val="000000" w:themeColor="text1"/>
          <w:kern w:val="0"/>
          <w:sz w:val="24"/>
          <w:lang w:bidi="ar"/>
          <w14:textFill>
            <w14:solidFill>
              <w14:schemeClr w14:val="tx1"/>
            </w14:solidFill>
          </w14:textFill>
        </w:rPr>
        <w:t>具备源空间分析功能，支持逆问题求解：包括源空间头模型分割、引导场矩阵计算等功能。</w:t>
      </w:r>
    </w:p>
    <w:p w14:paraId="4CC7A025">
      <w:pPr>
        <w:spacing w:line="360" w:lineRule="auto"/>
        <w:ind w:firstLine="480" w:firstLineChars="200"/>
        <w:jc w:val="left"/>
        <w:rPr>
          <w:rFonts w:ascii="宋体" w:hAnsi="宋体" w:cs="宋体"/>
          <w:kern w:val="0"/>
          <w:sz w:val="24"/>
          <w:lang w:bidi="ar"/>
        </w:rPr>
      </w:pPr>
      <w:r>
        <w:rPr>
          <w:rFonts w:hint="eastAsia" w:ascii="宋体" w:hAnsi="宋体" w:cs="宋体"/>
          <w:color w:val="000000" w:themeColor="text1"/>
          <w:kern w:val="0"/>
          <w:sz w:val="24"/>
          <w:lang w:bidi="ar"/>
          <w14:textFill>
            <w14:solidFill>
              <w14:schemeClr w14:val="tx1"/>
            </w14:solidFill>
          </w14:textFill>
        </w:rPr>
        <w:t>8.2.</w:t>
      </w:r>
      <w:r>
        <w:rPr>
          <w:rFonts w:hint="eastAsia" w:ascii="宋体" w:hAnsi="宋体" w:cs="宋体"/>
          <w:kern w:val="0"/>
          <w:sz w:val="24"/>
          <w:lang w:bidi="ar"/>
        </w:rPr>
        <w:t>6空间溯源定位需支持等效电流偶极子、MNE、Beamformer，DSPM等多种模型且支持结果可视化，支持磁源成像等多种图像及多视角查看与保存。</w:t>
      </w:r>
      <w:r>
        <w:rPr>
          <w:rFonts w:hint="eastAsia" w:ascii="宋体" w:hAnsi="宋体" w:cs="宋体"/>
          <w:b/>
          <w:kern w:val="0"/>
          <w:sz w:val="24"/>
          <w:lang w:bidi="ar"/>
        </w:rPr>
        <w:t>（提供软件相关功能界面截图复印件并加盖投标人单位公章）</w:t>
      </w:r>
    </w:p>
    <w:p w14:paraId="4B6EA0F6">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8.2.7支持数据导出和报告功能：支持溯源等结果导出并保存为与输入MRI信息一致的Dicom、Nifti等数据格式且支持多模态数据融合与报告生成，支持脑空间溯源定位与MRI图像融合、脑磁功能区定位并生成结构化报告。</w:t>
      </w:r>
      <w:r>
        <w:rPr>
          <w:rFonts w:hint="eastAsia" w:ascii="宋体" w:hAnsi="宋体" w:cs="宋体"/>
          <w:b/>
          <w:kern w:val="0"/>
          <w:sz w:val="24"/>
          <w:lang w:bidi="ar"/>
        </w:rPr>
        <w:t>（提供软件相关功能界面截图复印件并加盖投标人单位公章）</w:t>
      </w:r>
    </w:p>
    <w:p w14:paraId="6DDE9E6D">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9.其他</w:t>
      </w:r>
    </w:p>
    <w:p w14:paraId="27C9ED10">
      <w:pPr>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9.1脑磁图体模校准装置：具备标准偶极子位置≥32个，偶极子强度1nA.m-1000nA.m可调，提供体模校准装置的相关设计和测试报告。</w:t>
      </w:r>
    </w:p>
    <w:p w14:paraId="0D6D6575">
      <w:pPr>
        <w:spacing w:line="360" w:lineRule="auto"/>
        <w:ind w:firstLine="480" w:firstLineChars="200"/>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9.2可拓展数据采集系统：≥8通道的电信号采集，与脑磁系统的延时≤1ms。</w:t>
      </w:r>
    </w:p>
    <w:p w14:paraId="74304914">
      <w:pPr>
        <w:spacing w:line="360" w:lineRule="auto"/>
        <w:ind w:firstLine="480" w:firstLineChars="200"/>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9.3不间断电源，工作时间≥1小时。</w:t>
      </w:r>
    </w:p>
    <w:p w14:paraId="5FDC9FD4">
      <w:pPr>
        <w:spacing w:line="360" w:lineRule="auto"/>
        <w:ind w:firstLine="480" w:firstLineChars="200"/>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10.上述软件系统终生免费升级。</w:t>
      </w:r>
    </w:p>
    <w:p w14:paraId="5F15B216">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622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
    <w:name w:val="toc 2"/>
    <w:basedOn w:val="1"/>
    <w:next w:val="1"/>
    <w:qFormat/>
    <w:uiPriority w:val="39"/>
    <w:pPr>
      <w:tabs>
        <w:tab w:val="right" w:leader="dot" w:pos="8937"/>
      </w:tabs>
      <w:spacing w:line="312" w:lineRule="auto"/>
      <w:ind w:left="420" w:leftChars="200"/>
    </w:pPr>
  </w:style>
  <w:style w:type="paragraph" w:customStyle="1" w:styleId="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2025-07-11T05:27:17Z</dcterms:created>
  <dc:creator>nuc</dc:creator>
  <cp:lastModifiedBy>Star</cp:lastModifiedBy>
  <dcterms:modified xsi:type="dcterms:W3CDTF">2025-07-11T05:28:27Z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eyJoZGlkIjoiNzk5NmE4OTNjMmFkNDAxM2ZiOGQ4ZDJmYTA2YWVhYzIiLCJ1c2VySWQiOiIxMjAyNjQxNTAyIn0=</vt:lpwstr>
  </property>
  <property fmtid="{D5CDD505-2E9C-101B-9397-08002B2CF9AE}" pid="4" name="ICV">
    <vt:lpwstr>9DC11A9D64034D29A74D349A53AC4C35_12</vt:lpwstr>
  </property>
</Properties>
</file>