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01、02包</w:t>
      </w:r>
      <w:bookmarkStart w:id="33" w:name="_GoBack"/>
      <w:bookmarkEnd w:id="33"/>
      <w:r>
        <w:rPr>
          <w:rFonts w:hint="eastAsia" w:ascii="仿宋" w:hAnsi="仿宋" w:eastAsia="仿宋" w:cs="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北京朝阳医院2024年追加购置医用设备第一批项目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http://zbcg-bjzc.zhongcy.com/bjc</w:t>
      </w:r>
      <w:r>
        <w:rPr>
          <w:rFonts w:hint="eastAsia" w:ascii="仿宋" w:hAnsi="仿宋" w:eastAsia="仿宋" w:cs="仿宋"/>
          <w:sz w:val="28"/>
          <w:szCs w:val="28"/>
          <w:highlight w:val="none"/>
          <w:u w:val="single"/>
        </w:rPr>
        <w:t>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u w:val="single"/>
          <w:lang w:eastAsia="zh-CN"/>
        </w:rPr>
        <w:t>2025</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7月30日上午09点30分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pPr>
        <w:rPr>
          <w:rFonts w:ascii="仿宋" w:hAnsi="仿宋" w:eastAsia="仿宋" w:cs="仿宋"/>
          <w:sz w:val="28"/>
          <w:szCs w:val="28"/>
        </w:rPr>
      </w:pPr>
    </w:p>
    <w:p>
      <w:pPr>
        <w:pStyle w:val="4"/>
        <w:spacing w:before="0" w:line="360" w:lineRule="auto"/>
        <w:rPr>
          <w:rFonts w:ascii="仿宋" w:hAnsi="仿宋" w:eastAsia="仿宋" w:cs="仿宋"/>
          <w:b w:val="0"/>
          <w:sz w:val="28"/>
          <w:szCs w:val="28"/>
        </w:rPr>
      </w:pPr>
      <w:bookmarkStart w:id="2" w:name="_Toc35393621"/>
      <w:bookmarkStart w:id="3" w:name="_Toc28359002"/>
      <w:bookmarkStart w:id="4" w:name="_Toc28359079"/>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pPr>
        <w:ind w:firstLine="560" w:firstLineChars="200"/>
        <w:rPr>
          <w:rFonts w:ascii="仿宋" w:hAnsi="仿宋" w:eastAsia="仿宋" w:cs="仿宋"/>
          <w:sz w:val="28"/>
          <w:szCs w:val="28"/>
        </w:rPr>
      </w:pPr>
      <w:r>
        <w:rPr>
          <w:rFonts w:hint="eastAsia" w:ascii="仿宋" w:hAnsi="仿宋" w:eastAsia="仿宋" w:cs="仿宋"/>
          <w:sz w:val="28"/>
          <w:szCs w:val="28"/>
        </w:rPr>
        <w:t>1.项目编号：0686-2521BI041187Z</w:t>
      </w:r>
    </w:p>
    <w:p>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北京朝阳医院2024年追加购置医用设备第一批项目</w:t>
      </w:r>
    </w:p>
    <w:p>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625</w:t>
      </w:r>
      <w:r>
        <w:rPr>
          <w:rFonts w:hint="eastAsia" w:ascii="仿宋" w:hAnsi="仿宋" w:eastAsia="仿宋" w:cs="仿宋"/>
          <w:sz w:val="28"/>
          <w:szCs w:val="28"/>
        </w:rPr>
        <w:t>万元</w:t>
      </w:r>
    </w:p>
    <w:p>
      <w:pPr>
        <w:ind w:firstLine="560" w:firstLineChars="200"/>
        <w:rPr>
          <w:rFonts w:ascii="仿宋" w:hAnsi="仿宋" w:eastAsia="仿宋" w:cs="仿宋"/>
          <w:sz w:val="28"/>
          <w:szCs w:val="28"/>
        </w:rPr>
      </w:pPr>
      <w:r>
        <w:rPr>
          <w:rFonts w:hint="eastAsia" w:ascii="仿宋" w:hAnsi="仿宋" w:eastAsia="仿宋" w:cs="仿宋"/>
          <w:sz w:val="28"/>
          <w:szCs w:val="28"/>
        </w:rPr>
        <w:t>4.采购需求：</w:t>
      </w:r>
    </w:p>
    <w:tbl>
      <w:tblPr>
        <w:tblStyle w:val="14"/>
        <w:tblW w:w="77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907"/>
        <w:gridCol w:w="1508"/>
        <w:gridCol w:w="1590"/>
        <w:gridCol w:w="1135"/>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7" w:hRule="atLeast"/>
          <w:jc w:val="center"/>
        </w:trPr>
        <w:tc>
          <w:tcPr>
            <w:tcW w:w="715" w:type="dxa"/>
            <w:vAlign w:val="center"/>
          </w:tcPr>
          <w:p>
            <w:pPr>
              <w:pStyle w:val="49"/>
              <w:jc w:val="center"/>
              <w:rPr>
                <w:spacing w:val="0"/>
                <w:sz w:val="24"/>
                <w:szCs w:val="24"/>
                <w:highlight w:val="none"/>
                <w:lang w:eastAsia="zh-CN"/>
              </w:rPr>
            </w:pPr>
            <w:r>
              <w:rPr>
                <w:rFonts w:hint="eastAsia"/>
                <w:spacing w:val="0"/>
                <w:sz w:val="24"/>
                <w:szCs w:val="24"/>
                <w:highlight w:val="none"/>
                <w:lang w:eastAsia="zh-CN"/>
              </w:rPr>
              <w:t>包号</w:t>
            </w:r>
          </w:p>
        </w:tc>
        <w:tc>
          <w:tcPr>
            <w:tcW w:w="907" w:type="dxa"/>
            <w:vAlign w:val="center"/>
          </w:tcPr>
          <w:p>
            <w:pPr>
              <w:pStyle w:val="49"/>
              <w:jc w:val="center"/>
              <w:rPr>
                <w:rFonts w:hint="default"/>
                <w:spacing w:val="0"/>
                <w:sz w:val="24"/>
                <w:szCs w:val="24"/>
                <w:highlight w:val="none"/>
                <w:lang w:val="en-US" w:eastAsia="zh-CN"/>
              </w:rPr>
            </w:pPr>
            <w:r>
              <w:rPr>
                <w:rFonts w:hint="eastAsia"/>
                <w:spacing w:val="0"/>
                <w:sz w:val="24"/>
                <w:szCs w:val="24"/>
                <w:highlight w:val="none"/>
                <w:lang w:val="en-US" w:eastAsia="zh-CN"/>
              </w:rPr>
              <w:t>品目号</w:t>
            </w:r>
          </w:p>
        </w:tc>
        <w:tc>
          <w:tcPr>
            <w:tcW w:w="1508" w:type="dxa"/>
            <w:vAlign w:val="center"/>
          </w:tcPr>
          <w:p>
            <w:pPr>
              <w:pStyle w:val="49"/>
              <w:jc w:val="center"/>
              <w:rPr>
                <w:spacing w:val="0"/>
                <w:sz w:val="24"/>
                <w:szCs w:val="24"/>
                <w:highlight w:val="none"/>
                <w:lang w:eastAsia="zh-CN"/>
              </w:rPr>
            </w:pPr>
            <w:r>
              <w:rPr>
                <w:rFonts w:hint="eastAsia"/>
                <w:spacing w:val="0"/>
                <w:sz w:val="24"/>
                <w:szCs w:val="24"/>
                <w:highlight w:val="none"/>
                <w:lang w:eastAsia="zh-CN"/>
              </w:rPr>
              <w:t>采购包预算金额（万元）</w:t>
            </w:r>
          </w:p>
        </w:tc>
        <w:tc>
          <w:tcPr>
            <w:tcW w:w="1590" w:type="dxa"/>
            <w:vAlign w:val="center"/>
          </w:tcPr>
          <w:p>
            <w:pPr>
              <w:jc w:val="center"/>
              <w:rPr>
                <w:bCs/>
                <w:spacing w:val="0"/>
                <w:sz w:val="24"/>
                <w:szCs w:val="24"/>
                <w:highlight w:val="none"/>
                <w:lang w:eastAsia="zh-CN"/>
              </w:rPr>
            </w:pPr>
            <w:r>
              <w:rPr>
                <w:rFonts w:hint="eastAsia"/>
                <w:bCs/>
                <w:spacing w:val="0"/>
                <w:sz w:val="24"/>
                <w:szCs w:val="24"/>
                <w:highlight w:val="none"/>
              </w:rPr>
              <w:t>标的名称</w:t>
            </w:r>
          </w:p>
        </w:tc>
        <w:tc>
          <w:tcPr>
            <w:tcW w:w="1135" w:type="dxa"/>
            <w:vAlign w:val="center"/>
          </w:tcPr>
          <w:p>
            <w:pPr>
              <w:pStyle w:val="49"/>
              <w:jc w:val="center"/>
              <w:rPr>
                <w:spacing w:val="0"/>
                <w:sz w:val="24"/>
                <w:szCs w:val="24"/>
                <w:highlight w:val="none"/>
                <w:lang w:eastAsia="zh-CN"/>
              </w:rPr>
            </w:pPr>
            <w:r>
              <w:rPr>
                <w:rFonts w:hint="eastAsia"/>
                <w:spacing w:val="0"/>
                <w:sz w:val="24"/>
                <w:szCs w:val="24"/>
                <w:highlight w:val="none"/>
                <w:lang w:eastAsia="zh-CN"/>
              </w:rPr>
              <w:t>数量</w:t>
            </w:r>
          </w:p>
          <w:p>
            <w:pPr>
              <w:pStyle w:val="49"/>
              <w:jc w:val="center"/>
              <w:rPr>
                <w:spacing w:val="0"/>
                <w:sz w:val="24"/>
                <w:szCs w:val="24"/>
                <w:highlight w:val="none"/>
                <w:lang w:eastAsia="zh-CN"/>
              </w:rPr>
            </w:pPr>
            <w:r>
              <w:rPr>
                <w:rFonts w:hint="eastAsia"/>
                <w:spacing w:val="0"/>
                <w:sz w:val="24"/>
                <w:szCs w:val="24"/>
                <w:highlight w:val="none"/>
                <w:lang w:eastAsia="zh-CN"/>
              </w:rPr>
              <w:t>（台/套）</w:t>
            </w:r>
          </w:p>
        </w:tc>
        <w:tc>
          <w:tcPr>
            <w:tcW w:w="1935" w:type="dxa"/>
            <w:vAlign w:val="center"/>
          </w:tcPr>
          <w:p>
            <w:pPr>
              <w:pStyle w:val="49"/>
              <w:jc w:val="center"/>
              <w:rPr>
                <w:spacing w:val="0"/>
                <w:sz w:val="24"/>
                <w:szCs w:val="24"/>
                <w:highlight w:val="none"/>
                <w:lang w:eastAsia="zh-CN"/>
              </w:rPr>
            </w:pPr>
            <w:r>
              <w:rPr>
                <w:rFonts w:hint="eastAsia"/>
                <w:spacing w:val="0"/>
                <w:sz w:val="24"/>
                <w:szCs w:val="24"/>
                <w:highlight w:val="none"/>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1" w:hRule="atLeast"/>
          <w:jc w:val="center"/>
        </w:trPr>
        <w:tc>
          <w:tcPr>
            <w:tcW w:w="715" w:type="dxa"/>
            <w:vAlign w:val="center"/>
          </w:tcPr>
          <w:p>
            <w:pPr>
              <w:pStyle w:val="49"/>
              <w:jc w:val="center"/>
              <w:rPr>
                <w:rFonts w:hint="default"/>
                <w:spacing w:val="0"/>
                <w:sz w:val="24"/>
                <w:szCs w:val="24"/>
                <w:highlight w:val="none"/>
                <w:lang w:val="en-US" w:eastAsia="zh-CN"/>
              </w:rPr>
            </w:pPr>
            <w:r>
              <w:rPr>
                <w:rFonts w:hint="eastAsia"/>
                <w:spacing w:val="0"/>
                <w:sz w:val="24"/>
                <w:szCs w:val="24"/>
                <w:highlight w:val="none"/>
                <w:lang w:val="en-US" w:eastAsia="zh-CN"/>
              </w:rPr>
              <w:t>01</w:t>
            </w:r>
          </w:p>
        </w:tc>
        <w:tc>
          <w:tcPr>
            <w:tcW w:w="907" w:type="dxa"/>
            <w:vAlign w:val="center"/>
          </w:tcPr>
          <w:p>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bidi="ar-SA"/>
              </w:rPr>
            </w:pPr>
            <w:r>
              <w:rPr>
                <w:rFonts w:hint="eastAsia" w:cs="宋体"/>
                <w:spacing w:val="0"/>
                <w:sz w:val="24"/>
                <w:szCs w:val="24"/>
                <w:highlight w:val="none"/>
                <w:lang w:val="en-US" w:eastAsia="zh-CN" w:bidi="ar-SA"/>
              </w:rPr>
              <w:t>1-1</w:t>
            </w:r>
          </w:p>
        </w:tc>
        <w:tc>
          <w:tcPr>
            <w:tcW w:w="1508" w:type="dxa"/>
            <w:vAlign w:val="center"/>
          </w:tcPr>
          <w:p>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bidi="ar-SA"/>
              </w:rPr>
            </w:pPr>
            <w:r>
              <w:rPr>
                <w:rFonts w:hint="default" w:ascii="宋体" w:hAnsi="宋体" w:eastAsia="宋体" w:cs="宋体"/>
                <w:spacing w:val="0"/>
                <w:sz w:val="24"/>
                <w:szCs w:val="24"/>
                <w:highlight w:val="none"/>
                <w:lang w:val="en-US" w:eastAsia="zh-CN" w:bidi="ar-SA"/>
              </w:rPr>
              <w:t>230</w:t>
            </w:r>
          </w:p>
        </w:tc>
        <w:tc>
          <w:tcPr>
            <w:tcW w:w="1590" w:type="dxa"/>
            <w:vAlign w:val="center"/>
          </w:tcPr>
          <w:p>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彩色多普勒超声诊断仪</w:t>
            </w:r>
          </w:p>
        </w:tc>
        <w:tc>
          <w:tcPr>
            <w:tcW w:w="1135" w:type="dxa"/>
            <w:vAlign w:val="center"/>
          </w:tcPr>
          <w:p>
            <w:pPr>
              <w:pStyle w:val="49"/>
              <w:jc w:val="center"/>
              <w:rPr>
                <w:spacing w:val="0"/>
                <w:sz w:val="24"/>
                <w:szCs w:val="24"/>
                <w:highlight w:val="none"/>
                <w:lang w:val="en-US" w:eastAsia="zh-CN"/>
              </w:rPr>
            </w:pPr>
            <w:r>
              <w:rPr>
                <w:rFonts w:hint="eastAsia"/>
                <w:spacing w:val="0"/>
                <w:sz w:val="24"/>
                <w:szCs w:val="24"/>
                <w:highlight w:val="none"/>
                <w:lang w:val="en-US" w:eastAsia="zh-CN"/>
              </w:rPr>
              <w:t>1</w:t>
            </w:r>
          </w:p>
        </w:tc>
        <w:tc>
          <w:tcPr>
            <w:tcW w:w="1935" w:type="dxa"/>
            <w:vAlign w:val="center"/>
          </w:tcPr>
          <w:p>
            <w:pPr>
              <w:pStyle w:val="49"/>
              <w:jc w:val="center"/>
              <w:rPr>
                <w:rFonts w:hint="default"/>
                <w:spacing w:val="0"/>
                <w:sz w:val="24"/>
                <w:szCs w:val="24"/>
                <w:highlight w:val="none"/>
                <w:lang w:val="en-US" w:eastAsia="zh-CN"/>
              </w:rPr>
            </w:pPr>
            <w:r>
              <w:rPr>
                <w:rFonts w:hint="eastAsia"/>
                <w:spacing w:val="0"/>
                <w:sz w:val="24"/>
                <w:szCs w:val="24"/>
                <w:highlight w:val="none"/>
                <w:lang w:val="en-US" w:eastAsia="zh-CN"/>
              </w:rPr>
              <w:t>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1" w:hRule="atLeast"/>
          <w:jc w:val="center"/>
        </w:trPr>
        <w:tc>
          <w:tcPr>
            <w:tcW w:w="715" w:type="dxa"/>
            <w:vAlign w:val="center"/>
          </w:tcPr>
          <w:p>
            <w:pPr>
              <w:pStyle w:val="49"/>
              <w:jc w:val="center"/>
              <w:rPr>
                <w:rFonts w:hint="default"/>
                <w:spacing w:val="0"/>
                <w:sz w:val="24"/>
                <w:szCs w:val="24"/>
                <w:highlight w:val="none"/>
                <w:lang w:val="en-US" w:eastAsia="zh-CN"/>
              </w:rPr>
            </w:pPr>
            <w:r>
              <w:rPr>
                <w:rFonts w:hint="eastAsia"/>
                <w:spacing w:val="0"/>
                <w:sz w:val="24"/>
                <w:szCs w:val="24"/>
                <w:highlight w:val="none"/>
                <w:lang w:val="en-US" w:eastAsia="zh-CN"/>
              </w:rPr>
              <w:t>02</w:t>
            </w:r>
          </w:p>
        </w:tc>
        <w:tc>
          <w:tcPr>
            <w:tcW w:w="907" w:type="dxa"/>
            <w:vAlign w:val="center"/>
          </w:tcPr>
          <w:p>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bidi="ar-SA"/>
              </w:rPr>
            </w:pPr>
            <w:r>
              <w:rPr>
                <w:rFonts w:hint="eastAsia" w:cs="宋体"/>
                <w:spacing w:val="0"/>
                <w:sz w:val="24"/>
                <w:szCs w:val="24"/>
                <w:highlight w:val="none"/>
                <w:lang w:val="en-US" w:eastAsia="zh-CN" w:bidi="ar-SA"/>
              </w:rPr>
              <w:t>2-1</w:t>
            </w:r>
          </w:p>
        </w:tc>
        <w:tc>
          <w:tcPr>
            <w:tcW w:w="1508" w:type="dxa"/>
            <w:vAlign w:val="center"/>
          </w:tcPr>
          <w:p>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bidi="ar-SA"/>
              </w:rPr>
            </w:pPr>
            <w:r>
              <w:rPr>
                <w:rFonts w:hint="default" w:ascii="宋体" w:hAnsi="宋体" w:eastAsia="宋体" w:cs="宋体"/>
                <w:spacing w:val="0"/>
                <w:sz w:val="24"/>
                <w:szCs w:val="24"/>
                <w:highlight w:val="none"/>
                <w:lang w:val="en-US" w:eastAsia="zh-CN" w:bidi="ar-SA"/>
              </w:rPr>
              <w:t>200</w:t>
            </w:r>
          </w:p>
        </w:tc>
        <w:tc>
          <w:tcPr>
            <w:tcW w:w="1590" w:type="dxa"/>
            <w:vAlign w:val="center"/>
          </w:tcPr>
          <w:p>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彩色多普勒超声仪</w:t>
            </w:r>
          </w:p>
        </w:tc>
        <w:tc>
          <w:tcPr>
            <w:tcW w:w="1135" w:type="dxa"/>
            <w:vAlign w:val="center"/>
          </w:tcPr>
          <w:p>
            <w:pPr>
              <w:pStyle w:val="49"/>
              <w:jc w:val="center"/>
              <w:rPr>
                <w:rFonts w:hint="default"/>
                <w:spacing w:val="0"/>
                <w:sz w:val="24"/>
                <w:szCs w:val="24"/>
                <w:highlight w:val="none"/>
                <w:lang w:val="en-US" w:eastAsia="zh-CN"/>
              </w:rPr>
            </w:pPr>
            <w:r>
              <w:rPr>
                <w:rFonts w:hint="eastAsia"/>
                <w:spacing w:val="0"/>
                <w:sz w:val="24"/>
                <w:szCs w:val="24"/>
                <w:highlight w:val="none"/>
                <w:lang w:val="en-US" w:eastAsia="zh-CN"/>
              </w:rPr>
              <w:t>1</w:t>
            </w:r>
          </w:p>
        </w:tc>
        <w:tc>
          <w:tcPr>
            <w:tcW w:w="1935" w:type="dxa"/>
            <w:vAlign w:val="center"/>
          </w:tcPr>
          <w:p>
            <w:pPr>
              <w:pStyle w:val="49"/>
              <w:jc w:val="center"/>
              <w:rPr>
                <w:spacing w:val="0"/>
                <w:sz w:val="24"/>
                <w:szCs w:val="24"/>
                <w:highlight w:val="none"/>
                <w:lang w:eastAsia="zh-CN"/>
              </w:rPr>
            </w:pPr>
            <w:r>
              <w:rPr>
                <w:rFonts w:hint="eastAsia"/>
                <w:spacing w:val="0"/>
                <w:sz w:val="24"/>
                <w:szCs w:val="24"/>
                <w:highlight w:val="none"/>
                <w:lang w:val="en-US" w:eastAsia="zh-CN"/>
              </w:rPr>
              <w:t>详见“采购需求”</w:t>
            </w:r>
          </w:p>
        </w:tc>
      </w:tr>
    </w:tbl>
    <w:p>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pPr>
        <w:pStyle w:val="4"/>
        <w:spacing w:line="360" w:lineRule="auto"/>
        <w:rPr>
          <w:rFonts w:ascii="仿宋" w:hAnsi="仿宋" w:eastAsia="仿宋" w:cs="仿宋"/>
          <w:b w:val="0"/>
          <w:sz w:val="28"/>
          <w:szCs w:val="28"/>
        </w:rPr>
      </w:pPr>
      <w:bookmarkStart w:id="7" w:name="_Toc35393791"/>
      <w:bookmarkStart w:id="8" w:name="_Toc28359003"/>
      <w:bookmarkStart w:id="9" w:name="_Toc35393622"/>
      <w:bookmarkStart w:id="10" w:name="_Toc28359080"/>
      <w:r>
        <w:rPr>
          <w:rFonts w:hint="eastAsia" w:ascii="仿宋" w:hAnsi="仿宋" w:eastAsia="仿宋" w:cs="仿宋"/>
          <w:b w:val="0"/>
          <w:sz w:val="28"/>
          <w:szCs w:val="28"/>
        </w:rPr>
        <w:t>二、申请人的资格要求：</w:t>
      </w:r>
      <w:bookmarkEnd w:id="7"/>
      <w:bookmarkEnd w:id="8"/>
      <w:bookmarkEnd w:id="9"/>
      <w:bookmarkEnd w:id="10"/>
    </w:p>
    <w:p>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2.1中小企业政策</w:t>
      </w:r>
    </w:p>
    <w:p>
      <w:pPr>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■本项目不专门面向中小企业预留采购份额。</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2.2其它落实政府采购政策的资格要求：无。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3.3其他特定资格要求：投标产品属于医疗器械的，供应商如为代理商，应具有合法的医疗器械经营资格；供应商如为制造商，使用自身生产的产品投标时，应具有合法的医疗器械生产资格。</w:t>
      </w:r>
    </w:p>
    <w:p>
      <w:pPr>
        <w:pStyle w:val="4"/>
        <w:spacing w:line="360" w:lineRule="auto"/>
        <w:rPr>
          <w:rFonts w:ascii="仿宋" w:hAnsi="仿宋" w:eastAsia="仿宋" w:cs="仿宋"/>
          <w:b w:val="0"/>
          <w:sz w:val="28"/>
          <w:szCs w:val="28"/>
          <w:highlight w:val="none"/>
        </w:rPr>
      </w:pPr>
      <w:r>
        <w:rPr>
          <w:rFonts w:hint="eastAsia" w:ascii="仿宋" w:hAnsi="仿宋" w:eastAsia="仿宋" w:cs="仿宋"/>
          <w:b w:val="0"/>
          <w:sz w:val="28"/>
          <w:szCs w:val="28"/>
        </w:rPr>
        <w:t>三、获取招标文件</w:t>
      </w:r>
      <w:bookmarkEnd w:id="11"/>
      <w:bookmarkEnd w:id="12"/>
      <w:bookmarkEnd w:id="13"/>
      <w:bookmarkEnd w:id="14"/>
    </w:p>
    <w:p>
      <w:pPr>
        <w:spacing w:line="360" w:lineRule="auto"/>
        <w:ind w:firstLine="560" w:firstLineChars="200"/>
        <w:rPr>
          <w:rFonts w:ascii="仿宋" w:hAnsi="仿宋" w:eastAsia="仿宋" w:cs="仿宋"/>
          <w:sz w:val="28"/>
          <w:szCs w:val="28"/>
        </w:rPr>
      </w:pPr>
      <w:bookmarkStart w:id="15" w:name="_Toc28359082"/>
      <w:bookmarkStart w:id="16" w:name="_Toc28359005"/>
      <w:bookmarkStart w:id="17" w:name="_Toc35393624"/>
      <w:bookmarkStart w:id="18" w:name="_Toc35393793"/>
      <w:r>
        <w:rPr>
          <w:rFonts w:ascii="仿宋" w:hAnsi="仿宋" w:eastAsia="仿宋" w:cs="仿宋"/>
          <w:sz w:val="28"/>
          <w:szCs w:val="28"/>
          <w:highlight w:val="none"/>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lang w:val="en-US" w:eastAsia="zh-CN"/>
        </w:rPr>
        <w:t>8:30</w:t>
      </w:r>
      <w:r>
        <w:rPr>
          <w:rFonts w:ascii="仿宋" w:hAnsi="仿宋" w:eastAsia="仿宋" w:cs="仿宋"/>
          <w:sz w:val="28"/>
          <w:szCs w:val="28"/>
        </w:rPr>
        <w:t>至</w:t>
      </w:r>
      <w:r>
        <w:rPr>
          <w:rFonts w:hint="eastAsia" w:ascii="仿宋" w:hAnsi="仿宋" w:eastAsia="仿宋" w:cs="仿宋"/>
          <w:sz w:val="28"/>
          <w:szCs w:val="28"/>
          <w:lang w:val="en-US" w:eastAsia="zh-CN"/>
        </w:rPr>
        <w:t>12:00</w:t>
      </w:r>
      <w:r>
        <w:rPr>
          <w:rFonts w:ascii="仿宋" w:hAnsi="仿宋" w:eastAsia="仿宋" w:cs="仿宋"/>
          <w:sz w:val="28"/>
          <w:szCs w:val="28"/>
        </w:rPr>
        <w:t>，下午</w:t>
      </w:r>
      <w:r>
        <w:rPr>
          <w:rFonts w:hint="eastAsia" w:ascii="仿宋" w:hAnsi="仿宋" w:eastAsia="仿宋" w:cs="仿宋"/>
          <w:sz w:val="28"/>
          <w:szCs w:val="28"/>
          <w:lang w:val="en-US" w:eastAsia="zh-CN"/>
        </w:rPr>
        <w:t>12:00</w:t>
      </w:r>
      <w:r>
        <w:rPr>
          <w:rFonts w:ascii="仿宋" w:hAnsi="仿宋" w:eastAsia="仿宋" w:cs="仿宋"/>
          <w:sz w:val="28"/>
          <w:szCs w:val="28"/>
        </w:rPr>
        <w:t>至</w:t>
      </w:r>
      <w:r>
        <w:rPr>
          <w:rFonts w:hint="eastAsia" w:ascii="仿宋" w:hAnsi="仿宋" w:eastAsia="仿宋" w:cs="仿宋"/>
          <w:sz w:val="28"/>
          <w:szCs w:val="28"/>
          <w:lang w:val="en-US" w:eastAsia="zh-CN"/>
        </w:rPr>
        <w:t>16:30</w:t>
      </w:r>
      <w:r>
        <w:rPr>
          <w:rFonts w:ascii="仿宋" w:hAnsi="仿宋" w:eastAsia="仿宋" w:cs="仿宋"/>
          <w:sz w:val="28"/>
          <w:szCs w:val="28"/>
        </w:rPr>
        <w:t>（北京时间，法定节假日除外）。</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pPr>
        <w:spacing w:line="360" w:lineRule="auto"/>
        <w:ind w:firstLine="420" w:firstLineChars="150"/>
        <w:rPr>
          <w:rFonts w:hint="eastAsia" w:ascii="仿宋" w:hAnsi="仿宋" w:eastAsia="仿宋" w:cs="仿宋"/>
          <w:bCs/>
          <w:sz w:val="28"/>
          <w:szCs w:val="28"/>
        </w:rPr>
      </w:pPr>
      <w:bookmarkStart w:id="19" w:name="_Toc28359084"/>
      <w:bookmarkStart w:id="20" w:name="_Toc35393794"/>
      <w:bookmarkStart w:id="21" w:name="_Toc35393625"/>
      <w:bookmarkStart w:id="22" w:name="_Toc28359007"/>
      <w:r>
        <w:rPr>
          <w:rFonts w:hint="eastAsia" w:ascii="仿宋" w:hAnsi="仿宋" w:eastAsia="仿宋" w:cs="仿宋"/>
          <w:bCs/>
          <w:sz w:val="28"/>
          <w:szCs w:val="28"/>
        </w:rPr>
        <w:t>投标截止时间、</w:t>
      </w:r>
      <w:r>
        <w:rPr>
          <w:rFonts w:hint="eastAsia" w:ascii="仿宋" w:hAnsi="仿宋" w:eastAsia="仿宋" w:cs="仿宋"/>
          <w:bCs/>
          <w:sz w:val="28"/>
          <w:szCs w:val="28"/>
          <w:highlight w:val="none"/>
        </w:rPr>
        <w:t>开标时间：</w:t>
      </w:r>
      <w:r>
        <w:rPr>
          <w:rFonts w:hint="eastAsia" w:ascii="仿宋" w:hAnsi="仿宋" w:eastAsia="仿宋" w:cs="仿宋"/>
          <w:bCs/>
          <w:sz w:val="28"/>
          <w:szCs w:val="28"/>
          <w:highlight w:val="none"/>
          <w:lang w:eastAsia="zh-CN"/>
        </w:rPr>
        <w:t>2025</w:t>
      </w:r>
      <w:r>
        <w:rPr>
          <w:rFonts w:hint="eastAsia" w:ascii="仿宋" w:hAnsi="仿宋" w:eastAsia="仿宋" w:cs="仿宋"/>
          <w:bCs/>
          <w:sz w:val="28"/>
          <w:szCs w:val="28"/>
          <w:highlight w:val="none"/>
        </w:rPr>
        <w:t>年</w:t>
      </w:r>
      <w:r>
        <w:rPr>
          <w:rFonts w:hint="eastAsia" w:ascii="仿宋" w:hAnsi="仿宋" w:eastAsia="仿宋" w:cs="仿宋"/>
          <w:sz w:val="28"/>
          <w:szCs w:val="28"/>
          <w:highlight w:val="none"/>
          <w:u w:val="none"/>
          <w:lang w:val="en-US" w:eastAsia="zh-CN"/>
        </w:rPr>
        <w:t>7月30日上午09点30分</w:t>
      </w:r>
      <w:r>
        <w:rPr>
          <w:rFonts w:hint="eastAsia" w:ascii="仿宋" w:hAnsi="仿宋" w:eastAsia="仿宋" w:cs="仿宋"/>
          <w:bCs/>
          <w:sz w:val="28"/>
          <w:szCs w:val="28"/>
          <w:highlight w:val="none"/>
        </w:rPr>
        <w:t>（北</w:t>
      </w:r>
      <w:r>
        <w:rPr>
          <w:rFonts w:hint="eastAsia" w:ascii="仿宋" w:hAnsi="仿宋" w:eastAsia="仿宋" w:cs="仿宋"/>
          <w:bCs/>
          <w:sz w:val="28"/>
          <w:szCs w:val="28"/>
        </w:rPr>
        <w:t>京时间）。</w:t>
      </w:r>
    </w:p>
    <w:p>
      <w:pPr>
        <w:spacing w:line="36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地点：</w:t>
      </w:r>
      <w:r>
        <w:rPr>
          <w:rFonts w:hint="eastAsia" w:ascii="仿宋" w:hAnsi="仿宋" w:eastAsia="仿宋" w:cs="仿宋"/>
          <w:bCs/>
          <w:sz w:val="28"/>
          <w:szCs w:val="28"/>
          <w:lang w:val="en-US" w:eastAsia="zh-CN"/>
        </w:rPr>
        <w:t>北京国际贸易有限公司（</w:t>
      </w:r>
      <w:r>
        <w:rPr>
          <w:rFonts w:hint="eastAsia" w:ascii="仿宋" w:hAnsi="仿宋" w:eastAsia="仿宋" w:cs="仿宋"/>
          <w:bCs/>
          <w:sz w:val="28"/>
          <w:szCs w:val="28"/>
        </w:rPr>
        <w:t>北京市朝阳区建国门外大街甲3号</w:t>
      </w:r>
      <w:r>
        <w:rPr>
          <w:rFonts w:hint="eastAsia" w:ascii="仿宋" w:hAnsi="仿宋" w:eastAsia="仿宋" w:cs="仿宋"/>
          <w:bCs/>
          <w:sz w:val="28"/>
          <w:szCs w:val="28"/>
          <w:lang w:val="en-US" w:eastAsia="zh-CN"/>
        </w:rPr>
        <w:t>）</w:t>
      </w:r>
      <w:r>
        <w:rPr>
          <w:rFonts w:hint="eastAsia" w:ascii="仿宋" w:hAnsi="仿宋" w:eastAsia="仿宋" w:cs="仿宋"/>
          <w:bCs/>
          <w:sz w:val="28"/>
          <w:szCs w:val="28"/>
        </w:rPr>
        <w:t>。</w:t>
      </w:r>
    </w:p>
    <w:p>
      <w:pPr>
        <w:spacing w:line="360" w:lineRule="auto"/>
        <w:ind w:firstLine="420" w:firstLineChars="150"/>
        <w:rPr>
          <w:rFonts w:hint="eastAsia" w:ascii="仿宋" w:hAnsi="仿宋" w:eastAsia="仿宋" w:cs="仿宋"/>
          <w:bCs/>
          <w:sz w:val="28"/>
          <w:szCs w:val="28"/>
        </w:rPr>
      </w:pPr>
    </w:p>
    <w:p>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4"/>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627"/>
      <w:bookmarkStart w:id="26" w:name="_Toc35393796"/>
      <w:bookmarkStart w:id="27" w:name="_Toc28359085"/>
      <w:bookmarkStart w:id="28" w:name="_Toc28359008"/>
    </w:p>
    <w:p>
      <w:pPr>
        <w:ind w:firstLine="560" w:firstLineChars="200"/>
        <w:rPr>
          <w:rFonts w:eastAsia="仿宋"/>
          <w:sz w:val="28"/>
          <w:szCs w:val="28"/>
          <w:lang w:eastAsia="zh-CN"/>
        </w:rPr>
      </w:pPr>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ind w:firstLine="560" w:firstLineChars="200"/>
        <w:rPr>
          <w:rFonts w:eastAsia="仿宋"/>
          <w:sz w:val="28"/>
          <w:szCs w:val="28"/>
          <w:lang w:eastAsia="zh-CN"/>
        </w:rPr>
      </w:pPr>
      <w:r>
        <w:rPr>
          <w:rFonts w:hint="eastAsia" w:eastAsia="仿宋"/>
          <w:sz w:val="28"/>
          <w:szCs w:val="28"/>
          <w:lang w:eastAsia="zh-CN"/>
        </w:rPr>
        <w:t>CA 数字证书服务热线 010-58511086</w:t>
      </w:r>
    </w:p>
    <w:p>
      <w:pPr>
        <w:ind w:firstLine="560" w:firstLineChars="200"/>
        <w:rPr>
          <w:rFonts w:eastAsia="仿宋"/>
          <w:sz w:val="28"/>
          <w:szCs w:val="28"/>
          <w:lang w:eastAsia="zh-CN"/>
        </w:rPr>
      </w:pPr>
      <w:r>
        <w:rPr>
          <w:rFonts w:hint="eastAsia" w:eastAsia="仿宋"/>
          <w:sz w:val="28"/>
          <w:szCs w:val="28"/>
          <w:lang w:eastAsia="zh-CN"/>
        </w:rPr>
        <w:t>电子营业执照服务热线  400-699-7000</w:t>
      </w:r>
    </w:p>
    <w:p>
      <w:pPr>
        <w:ind w:firstLine="560" w:firstLineChars="200"/>
        <w:rPr>
          <w:rFonts w:eastAsia="仿宋"/>
          <w:sz w:val="28"/>
          <w:szCs w:val="28"/>
          <w:lang w:eastAsia="zh-CN"/>
        </w:rPr>
      </w:pPr>
      <w:r>
        <w:rPr>
          <w:rFonts w:hint="eastAsia" w:eastAsia="仿宋"/>
          <w:sz w:val="28"/>
          <w:szCs w:val="28"/>
          <w:lang w:eastAsia="zh-CN"/>
        </w:rPr>
        <w:t>技术支持服务热线  010-86483801</w:t>
      </w:r>
    </w:p>
    <w:p>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pPr>
        <w:ind w:firstLine="560" w:firstLineChars="200"/>
        <w:rPr>
          <w:rFonts w:eastAsia="仿宋"/>
          <w:sz w:val="28"/>
          <w:szCs w:val="28"/>
          <w:lang w:eastAsia="zh-CN"/>
        </w:rPr>
      </w:pPr>
      <w:r>
        <w:rPr>
          <w:rFonts w:hint="eastAsia" w:eastAsia="仿宋"/>
          <w:sz w:val="28"/>
          <w:szCs w:val="28"/>
          <w:lang w:eastAsia="zh-CN"/>
        </w:rPr>
        <w:t>3.2注册</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pPr>
        <w:ind w:firstLine="560" w:firstLineChars="200"/>
        <w:rPr>
          <w:rFonts w:eastAsia="仿宋"/>
          <w:sz w:val="28"/>
          <w:szCs w:val="28"/>
          <w:lang w:eastAsia="zh-CN"/>
        </w:rPr>
      </w:pPr>
      <w:r>
        <w:rPr>
          <w:rFonts w:hint="eastAsia" w:eastAsia="仿宋"/>
          <w:sz w:val="28"/>
          <w:szCs w:val="28"/>
          <w:lang w:eastAsia="zh-CN"/>
        </w:rPr>
        <w:t>3.3驱动、客户端下载</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pPr>
        <w:ind w:firstLine="560" w:firstLineChars="200"/>
        <w:rPr>
          <w:rFonts w:eastAsia="仿宋"/>
          <w:sz w:val="28"/>
          <w:szCs w:val="28"/>
          <w:lang w:eastAsia="zh-CN"/>
        </w:rPr>
      </w:pPr>
      <w:r>
        <w:rPr>
          <w:rFonts w:hint="eastAsia" w:eastAsia="仿宋"/>
          <w:sz w:val="28"/>
          <w:szCs w:val="28"/>
          <w:lang w:eastAsia="zh-CN"/>
        </w:rPr>
        <w:t>3.4获取电子招标文件</w:t>
      </w:r>
    </w:p>
    <w:p>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pPr>
        <w:ind w:firstLine="560" w:firstLineChars="200"/>
        <w:rPr>
          <w:rFonts w:eastAsia="仿宋"/>
          <w:sz w:val="28"/>
          <w:szCs w:val="28"/>
          <w:lang w:eastAsia="zh-CN"/>
        </w:rPr>
      </w:pPr>
      <w:r>
        <w:rPr>
          <w:rFonts w:hint="eastAsia" w:eastAsia="仿宋"/>
          <w:sz w:val="28"/>
          <w:szCs w:val="28"/>
          <w:lang w:eastAsia="zh-CN"/>
        </w:rPr>
        <w:t>3.5编制电子投标文件</w:t>
      </w:r>
      <w:r>
        <w:rPr>
          <w:rFonts w:hint="eastAsia" w:eastAsia="仿宋"/>
          <w:b/>
          <w:bCs/>
          <w:sz w:val="28"/>
          <w:szCs w:val="28"/>
          <w:lang w:eastAsia="zh-CN"/>
        </w:rPr>
        <w:t>（本项目不适用）</w:t>
      </w:r>
    </w:p>
    <w:p>
      <w:pPr>
        <w:ind w:firstLine="560" w:firstLineChars="200"/>
        <w:rPr>
          <w:rFonts w:eastAsia="仿宋"/>
          <w:sz w:val="28"/>
          <w:szCs w:val="28"/>
          <w:lang w:eastAsia="zh-CN"/>
        </w:rPr>
      </w:pPr>
      <w:r>
        <w:rPr>
          <w:rFonts w:hint="eastAsia" w:eastAsia="仿宋"/>
          <w:sz w:val="28"/>
          <w:szCs w:val="28"/>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ind w:firstLine="560" w:firstLineChars="200"/>
        <w:rPr>
          <w:rFonts w:eastAsia="仿宋"/>
          <w:sz w:val="28"/>
          <w:szCs w:val="28"/>
          <w:lang w:val="zh-TW" w:eastAsia="zh-CN"/>
        </w:rPr>
      </w:pPr>
      <w:r>
        <w:rPr>
          <w:rFonts w:hint="eastAsia" w:eastAsia="仿宋"/>
          <w:sz w:val="28"/>
          <w:szCs w:val="28"/>
          <w:lang w:val="zh-TW" w:eastAsia="zh-TW"/>
        </w:rPr>
        <w:t>3.6</w:t>
      </w:r>
      <w:r>
        <w:rPr>
          <w:rFonts w:hint="eastAsia" w:eastAsia="仿宋"/>
          <w:sz w:val="28"/>
          <w:szCs w:val="28"/>
          <w:lang w:val="zh-TW" w:eastAsia="zh-CN"/>
        </w:rPr>
        <w:t>提交电子投标文件</w:t>
      </w:r>
      <w:r>
        <w:rPr>
          <w:rFonts w:hint="eastAsia" w:eastAsia="仿宋"/>
          <w:b/>
          <w:bCs/>
          <w:sz w:val="28"/>
          <w:szCs w:val="28"/>
          <w:lang w:eastAsia="zh-CN"/>
        </w:rPr>
        <w:t>（本项目不适用）</w:t>
      </w:r>
    </w:p>
    <w:p>
      <w:pPr>
        <w:ind w:firstLine="560" w:firstLineChars="200"/>
        <w:rPr>
          <w:rFonts w:eastAsia="仿宋"/>
          <w:sz w:val="28"/>
          <w:szCs w:val="28"/>
          <w:lang w:eastAsia="zh-CN"/>
        </w:rPr>
      </w:pPr>
      <w:r>
        <w:rPr>
          <w:rFonts w:hint="eastAsia" w:eastAsia="仿宋"/>
          <w:sz w:val="28"/>
          <w:szCs w:val="28"/>
          <w:lang w:eastAsia="zh-CN"/>
        </w:rPr>
        <w:t>供应商应于投标截止时间前在北京市政府采购电子交易平台提交电子投标文件，上传电子投标文件过程中请保持与互联网的连接畅通。</w:t>
      </w:r>
    </w:p>
    <w:p>
      <w:pPr>
        <w:ind w:firstLine="560" w:firstLineChars="200"/>
        <w:rPr>
          <w:rFonts w:eastAsia="仿宋"/>
          <w:sz w:val="28"/>
          <w:szCs w:val="28"/>
          <w:lang w:eastAsia="zh-TW"/>
        </w:rPr>
      </w:pPr>
      <w:r>
        <w:rPr>
          <w:rFonts w:hint="eastAsia" w:eastAsia="仿宋"/>
          <w:sz w:val="28"/>
          <w:szCs w:val="28"/>
          <w:lang w:val="zh-TW" w:eastAsia="zh-CN"/>
        </w:rPr>
        <w:t>3.</w:t>
      </w:r>
      <w:r>
        <w:rPr>
          <w:rFonts w:hint="eastAsia" w:eastAsia="仿宋"/>
          <w:sz w:val="28"/>
          <w:szCs w:val="28"/>
          <w:lang w:val="zh-TW" w:eastAsia="zh-TW"/>
        </w:rPr>
        <w:t>7</w:t>
      </w:r>
      <w:r>
        <w:rPr>
          <w:rFonts w:hint="eastAsia" w:eastAsia="仿宋"/>
          <w:sz w:val="28"/>
          <w:szCs w:val="28"/>
          <w:lang w:val="zh-TW" w:eastAsia="zh-CN"/>
        </w:rPr>
        <w:t>电子开标</w:t>
      </w:r>
      <w:r>
        <w:rPr>
          <w:rFonts w:hint="eastAsia" w:eastAsia="仿宋"/>
          <w:b/>
          <w:bCs/>
          <w:sz w:val="28"/>
          <w:szCs w:val="28"/>
          <w:lang w:eastAsia="zh-CN"/>
        </w:rPr>
        <w:t>（本项目不适用）</w:t>
      </w:r>
    </w:p>
    <w:p>
      <w:pPr>
        <w:ind w:firstLine="560" w:firstLineChars="200"/>
        <w:rPr>
          <w:rFonts w:eastAsia="仿宋"/>
          <w:sz w:val="28"/>
          <w:szCs w:val="28"/>
        </w:rPr>
      </w:pPr>
      <w:r>
        <w:rPr>
          <w:rFonts w:hint="eastAsia" w:eastAsia="仿宋"/>
          <w:sz w:val="28"/>
          <w:szCs w:val="28"/>
          <w:lang w:val="zh-TW" w:eastAsia="zh-CN"/>
        </w:rPr>
        <w:t>供应商在开标地点使用</w:t>
      </w:r>
      <w:r>
        <w:rPr>
          <w:rFonts w:hint="eastAsia" w:eastAsia="仿宋"/>
          <w:sz w:val="28"/>
          <w:szCs w:val="28"/>
          <w:lang w:eastAsia="zh-CN"/>
        </w:rPr>
        <w:t>CA认证证书</w:t>
      </w:r>
      <w:r>
        <w:rPr>
          <w:rFonts w:hint="eastAsia" w:eastAsia="仿宋"/>
          <w:sz w:val="28"/>
          <w:szCs w:val="28"/>
          <w:lang w:val="zh-TW" w:eastAsia="zh-CN"/>
        </w:rPr>
        <w:t>登录</w:t>
      </w:r>
      <w:r>
        <w:rPr>
          <w:rFonts w:hint="eastAsia" w:eastAsia="仿宋"/>
          <w:sz w:val="28"/>
          <w:szCs w:val="28"/>
          <w:lang w:eastAsia="zh-CN"/>
        </w:rPr>
        <w:t>北京市政府采购电子交易平台进行电子开标</w:t>
      </w:r>
      <w:r>
        <w:rPr>
          <w:rFonts w:hint="eastAsia" w:eastAsia="仿宋"/>
          <w:sz w:val="28"/>
          <w:szCs w:val="28"/>
          <w:lang w:val="zh-TW" w:eastAsia="zh-CN"/>
        </w:rPr>
        <w:t>。</w:t>
      </w:r>
    </w:p>
    <w:p>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首都医科大学附属北京朝阳医院</w:t>
      </w:r>
    </w:p>
    <w:p>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北京市朝阳区工体南路8号</w:t>
      </w:r>
    </w:p>
    <w:p>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lang w:eastAsia="zh-CN"/>
        </w:rPr>
        <w:t>010-85231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30</w:t>
      </w:r>
    </w:p>
    <w:bookmarkEnd w:id="29"/>
    <w:bookmarkEnd w:id="30"/>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w:t>
      </w:r>
      <w:r>
        <w:rPr>
          <w:rFonts w:hint="eastAsia" w:ascii="仿宋" w:hAnsi="仿宋" w:eastAsia="仿宋" w:cs="仿宋"/>
          <w:bCs/>
          <w:sz w:val="28"/>
          <w:szCs w:val="28"/>
          <w:u w:val="single"/>
          <w:lang w:val="en-US" w:eastAsia="zh-CN"/>
        </w:rPr>
        <w:t>56、</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3434</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王靖萱、张娇、张珊、梁潇</w:t>
      </w:r>
    </w:p>
    <w:p>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w:t>
      </w:r>
      <w:r>
        <w:rPr>
          <w:rFonts w:hint="eastAsia" w:ascii="仿宋" w:hAnsi="仿宋" w:eastAsia="仿宋" w:cs="仿宋"/>
          <w:bCs/>
          <w:sz w:val="28"/>
          <w:szCs w:val="28"/>
          <w:u w:val="single"/>
          <w:lang w:val="en-US" w:eastAsia="zh-CN"/>
        </w:rPr>
        <w:t>56、</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3434</w:t>
      </w:r>
    </w:p>
    <w:p>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Century">
    <w:panose1 w:val="02040604050505020304"/>
    <w:charset w:val="00"/>
    <w:family w:val="modern"/>
    <w:pitch w:val="default"/>
    <w:sig w:usb0="00000287" w:usb1="000000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Arial Regular">
    <w:altName w:val="Arial"/>
    <w:panose1 w:val="00000000000000000000"/>
    <w:charset w:val="00"/>
    <w:family w:val="auto"/>
    <w:pitch w:val="default"/>
    <w:sig w:usb0="00000000" w:usb1="00000000" w:usb2="00000000" w:usb3="00000000" w:csb0="00000000" w:csb1="00000000"/>
  </w:font>
  <w:font w:name="Wingdings 3">
    <w:panose1 w:val="05040102010807070707"/>
    <w:charset w:val="02"/>
    <w:family w:val="swiss"/>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Tw Cen MT">
    <w:panose1 w:val="020B0602020104020603"/>
    <w:charset w:val="00"/>
    <w:family w:val="decorative"/>
    <w:pitch w:val="default"/>
    <w:sig w:usb0="00000003" w:usb1="00000000" w:usb2="00000000" w:usb3="00000000" w:csb0="20000003" w:csb1="00000000"/>
  </w:font>
  <w:font w:name="Arial Black">
    <w:panose1 w:val="020B0A04020102020204"/>
    <w:charset w:val="00"/>
    <w:family w:val="decorative"/>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40000" w:csb1="00000000"/>
  </w:font>
  <w:font w:name="MingLiU">
    <w:altName w:val="PMingLiU-ExtB"/>
    <w:panose1 w:val="02020509000000000000"/>
    <w:charset w:val="88"/>
    <w:family w:val="swiss"/>
    <w:pitch w:val="default"/>
    <w:sig w:usb0="00000000" w:usb1="00000000" w:usb2="00000016" w:usb3="00000000" w:csb0="00100001"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Century">
    <w:panose1 w:val="02040604050505020304"/>
    <w:charset w:val="00"/>
    <w:family w:val="swiss"/>
    <w:pitch w:val="default"/>
    <w:sig w:usb0="00000287" w:usb1="000000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Wingdings 3">
    <w:panose1 w:val="05040102010807070707"/>
    <w:charset w:val="02"/>
    <w:family w:val="decorative"/>
    <w:pitch w:val="default"/>
    <w:sig w:usb0="00000000" w:usb1="00000000" w:usb2="00000000" w:usb3="00000000" w:csb0="80000000" w:csb1="0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Tw Cen MT">
    <w:panose1 w:val="020B0602020104020603"/>
    <w:charset w:val="00"/>
    <w:family w:val="roman"/>
    <w:pitch w:val="default"/>
    <w:sig w:usb0="00000003" w:usb1="00000000" w:usb2="00000000" w:usb3="00000000" w:csb0="20000003" w:csb1="00000000"/>
  </w:font>
  <w:font w:name="Arial Black">
    <w:panose1 w:val="020B0A04020102020204"/>
    <w:charset w:val="00"/>
    <w:family w:val="roman"/>
    <w:pitch w:val="default"/>
    <w:sig w:usb0="A00002AF" w:usb1="400078FB" w:usb2="00000000" w:usb3="00000000" w:csb0="6000009F" w:csb1="DFD7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MingLiU">
    <w:altName w:val="PMingLiU-ExtB"/>
    <w:panose1 w:val="02020509000000000000"/>
    <w:charset w:val="88"/>
    <w:family w:val="decorative"/>
    <w:pitch w:val="default"/>
    <w:sig w:usb0="00000000" w:usb1="00000000" w:usb2="00000016" w:usb3="00000000" w:csb0="00100001" w:csb1="00000000"/>
  </w:font>
  <w:font w:name="Century Gothic">
    <w:panose1 w:val="020B0502020202020204"/>
    <w:charset w:val="00"/>
    <w:family w:val="modern"/>
    <w:pitch w:val="default"/>
    <w:sig w:usb0="00000287" w:usb1="00000000" w:usb2="00000000" w:usb3="00000000" w:csb0="2000009F" w:csb1="DFD70000"/>
  </w:font>
  <w:font w:name="Trebuchet MS">
    <w:panose1 w:val="020B0603020202020204"/>
    <w:charset w:val="00"/>
    <w:family w:val="modern"/>
    <w:pitch w:val="default"/>
    <w:sig w:usb0="00000687" w:usb1="00000000" w:usb2="00000000" w:usb3="00000000" w:csb0="2000009F" w:csb1="00000000"/>
  </w:font>
  <w:font w:name="Arial Narrow">
    <w:panose1 w:val="020B0606020202030204"/>
    <w:charset w:val="00"/>
    <w:family w:val="modern"/>
    <w:pitch w:val="default"/>
    <w:sig w:usb0="00000287" w:usb1="00000800" w:usb2="00000000" w:usb3="00000000" w:csb0="2000009F" w:csb1="DFD70000"/>
  </w:font>
  <w:font w:name="Lucida Sans">
    <w:panose1 w:val="020B0602030504020204"/>
    <w:charset w:val="00"/>
    <w:family w:val="modern"/>
    <w:pitch w:val="default"/>
    <w:sig w:usb0="00000003" w:usb1="00000000" w:usb2="00000000" w:usb3="00000000" w:csb0="20000001" w:csb1="00000000"/>
  </w:font>
  <w:font w:name="Century">
    <w:panose1 w:val="02040604050505020304"/>
    <w:charset w:val="00"/>
    <w:family w:val="decorative"/>
    <w:pitch w:val="default"/>
    <w:sig w:usb0="00000287" w:usb1="00000000" w:usb2="00000000" w:usb3="00000000" w:csb0="2000009F" w:csb1="DFD70000"/>
  </w:font>
  <w:font w:name="Segoe UI Symbol">
    <w:panose1 w:val="020B0502040204020203"/>
    <w:charset w:val="00"/>
    <w:family w:val="modern"/>
    <w:pitch w:val="default"/>
    <w:sig w:usb0="800001E3" w:usb1="1200FFEF" w:usb2="00040000" w:usb3="04000000" w:csb0="00000001" w:csb1="40000000"/>
  </w:font>
  <w:font w:name="Wingdings 3">
    <w:panose1 w:val="05040102010807070707"/>
    <w:charset w:val="02"/>
    <w:family w:val="roman"/>
    <w:pitch w:val="default"/>
    <w:sig w:usb0="00000000" w:usb1="00000000" w:usb2="00000000" w:usb3="00000000" w:csb0="80000000" w:csb1="00000000"/>
  </w:font>
  <w:font w:name="Verdana">
    <w:panose1 w:val="020B0604030504040204"/>
    <w:charset w:val="00"/>
    <w:family w:val="modern"/>
    <w:pitch w:val="default"/>
    <w:sig w:usb0="A00006FF" w:usb1="4000205B" w:usb2="00000010" w:usb3="00000000" w:csb0="2000019F" w:csb1="00000000"/>
  </w:font>
  <w:font w:name="Bookman Old Style">
    <w:panose1 w:val="02050604050505020204"/>
    <w:charset w:val="00"/>
    <w:family w:val="decorative"/>
    <w:pitch w:val="default"/>
    <w:sig w:usb0="00000287" w:usb1="00000000" w:usb2="00000000" w:usb3="00000000" w:csb0="2000009F" w:csb1="DFD70000"/>
  </w:font>
  <w:font w:name="Tw Cen MT">
    <w:panose1 w:val="020B0602020104020603"/>
    <w:charset w:val="00"/>
    <w:family w:val="modern"/>
    <w:pitch w:val="default"/>
    <w:sig w:usb0="00000003" w:usb1="00000000" w:usb2="00000000" w:usb3="00000000" w:csb0="20000003" w:csb1="00000000"/>
  </w:font>
  <w:font w:name="Arial Black">
    <w:panose1 w:val="020B0A04020102020204"/>
    <w:charset w:val="00"/>
    <w:family w:val="modern"/>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roman"/>
    <w:pitch w:val="default"/>
    <w:sig w:usb0="00000000" w:usb1="00000000" w:usb2="00000016" w:usb3="00000000" w:csb0="00100001"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Century">
    <w:panose1 w:val="0204060405050502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Wingdings 3">
    <w:panose1 w:val="05040102010807070707"/>
    <w:charset w:val="02"/>
    <w:family w:val="moder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Tw Cen MT">
    <w:panose1 w:val="020B0602020104020603"/>
    <w:charset w:val="00"/>
    <w:family w:val="swiss"/>
    <w:pitch w:val="default"/>
    <w:sig w:usb0="00000003" w:usb1="00000000" w:usb2="00000000" w:usb3="00000000" w:csb0="20000003"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7894456">
    <w:nsid w:val="5F3DEF38"/>
    <w:multiLevelType w:val="singleLevel"/>
    <w:tmpl w:val="5F3DEF38"/>
    <w:lvl w:ilvl="0" w:tentative="1">
      <w:start w:val="6"/>
      <w:numFmt w:val="chineseCounting"/>
      <w:suff w:val="nothing"/>
      <w:lvlText w:val="%1、"/>
      <w:lvlJc w:val="left"/>
    </w:lvl>
  </w:abstractNum>
  <w:num w:numId="1">
    <w:abstractNumId w:val="1597894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5C69757C"/>
    <w:rsid w:val="0029212E"/>
    <w:rsid w:val="006A79F1"/>
    <w:rsid w:val="0091581F"/>
    <w:rsid w:val="00A94DCD"/>
    <w:rsid w:val="00BA06F9"/>
    <w:rsid w:val="00BF4BC5"/>
    <w:rsid w:val="00D65262"/>
    <w:rsid w:val="00DB1EA0"/>
    <w:rsid w:val="01CA1639"/>
    <w:rsid w:val="0227311A"/>
    <w:rsid w:val="03EE0393"/>
    <w:rsid w:val="03F36EDF"/>
    <w:rsid w:val="04247911"/>
    <w:rsid w:val="044D466E"/>
    <w:rsid w:val="04923431"/>
    <w:rsid w:val="04B24EC3"/>
    <w:rsid w:val="050414F1"/>
    <w:rsid w:val="06331B3C"/>
    <w:rsid w:val="07854B6B"/>
    <w:rsid w:val="0854278F"/>
    <w:rsid w:val="0875770C"/>
    <w:rsid w:val="090D2269"/>
    <w:rsid w:val="09C94624"/>
    <w:rsid w:val="0A434869"/>
    <w:rsid w:val="0AF376E5"/>
    <w:rsid w:val="0B616D1D"/>
    <w:rsid w:val="0BA430E7"/>
    <w:rsid w:val="0CC033C5"/>
    <w:rsid w:val="0E0B286D"/>
    <w:rsid w:val="0E4C6701"/>
    <w:rsid w:val="0FE614C3"/>
    <w:rsid w:val="103E71C0"/>
    <w:rsid w:val="1096761D"/>
    <w:rsid w:val="12A51AA6"/>
    <w:rsid w:val="130E27A5"/>
    <w:rsid w:val="13400495"/>
    <w:rsid w:val="134C1D1E"/>
    <w:rsid w:val="13EA45AA"/>
    <w:rsid w:val="13F60B9E"/>
    <w:rsid w:val="13F86009"/>
    <w:rsid w:val="141D78B9"/>
    <w:rsid w:val="149312D1"/>
    <w:rsid w:val="14DE2C67"/>
    <w:rsid w:val="15065107"/>
    <w:rsid w:val="151A11AA"/>
    <w:rsid w:val="158C674C"/>
    <w:rsid w:val="17CF0DE0"/>
    <w:rsid w:val="189A58E9"/>
    <w:rsid w:val="18D363B1"/>
    <w:rsid w:val="194D67E3"/>
    <w:rsid w:val="19C24451"/>
    <w:rsid w:val="19F03C9C"/>
    <w:rsid w:val="1A3C3D20"/>
    <w:rsid w:val="1B0442B0"/>
    <w:rsid w:val="1B214753"/>
    <w:rsid w:val="1B866B59"/>
    <w:rsid w:val="1C4972F3"/>
    <w:rsid w:val="1CCA710D"/>
    <w:rsid w:val="1E1411A7"/>
    <w:rsid w:val="1E95493A"/>
    <w:rsid w:val="1ED35AA3"/>
    <w:rsid w:val="205C14B5"/>
    <w:rsid w:val="2113111A"/>
    <w:rsid w:val="21457417"/>
    <w:rsid w:val="2224601B"/>
    <w:rsid w:val="230456A7"/>
    <w:rsid w:val="239B2179"/>
    <w:rsid w:val="241F2752"/>
    <w:rsid w:val="248249F5"/>
    <w:rsid w:val="256C4FCA"/>
    <w:rsid w:val="25875AFA"/>
    <w:rsid w:val="259704C8"/>
    <w:rsid w:val="25B76FF0"/>
    <w:rsid w:val="25F33BB6"/>
    <w:rsid w:val="25FF1B34"/>
    <w:rsid w:val="26AD7506"/>
    <w:rsid w:val="27401BB2"/>
    <w:rsid w:val="285212FE"/>
    <w:rsid w:val="291C4B35"/>
    <w:rsid w:val="2A874528"/>
    <w:rsid w:val="2BCA04EF"/>
    <w:rsid w:val="2C3D4920"/>
    <w:rsid w:val="2EC63CEE"/>
    <w:rsid w:val="303E35CF"/>
    <w:rsid w:val="30B359F5"/>
    <w:rsid w:val="31886C6D"/>
    <w:rsid w:val="3262685B"/>
    <w:rsid w:val="32627B42"/>
    <w:rsid w:val="32904240"/>
    <w:rsid w:val="329434F6"/>
    <w:rsid w:val="337E053C"/>
    <w:rsid w:val="33A1236A"/>
    <w:rsid w:val="34D07ED2"/>
    <w:rsid w:val="35740C40"/>
    <w:rsid w:val="36151C5B"/>
    <w:rsid w:val="36A06E2F"/>
    <w:rsid w:val="36D81DC5"/>
    <w:rsid w:val="3BD976C4"/>
    <w:rsid w:val="3D7344A5"/>
    <w:rsid w:val="3DA90D42"/>
    <w:rsid w:val="3DC80028"/>
    <w:rsid w:val="40331F2C"/>
    <w:rsid w:val="40E6314D"/>
    <w:rsid w:val="40FD2E2B"/>
    <w:rsid w:val="41377F7D"/>
    <w:rsid w:val="413C5593"/>
    <w:rsid w:val="418861E3"/>
    <w:rsid w:val="421303F5"/>
    <w:rsid w:val="42D178AE"/>
    <w:rsid w:val="43B6162D"/>
    <w:rsid w:val="43CA6B8D"/>
    <w:rsid w:val="43CF3F4E"/>
    <w:rsid w:val="440700DA"/>
    <w:rsid w:val="44D04DF5"/>
    <w:rsid w:val="459660BA"/>
    <w:rsid w:val="46AF7F09"/>
    <w:rsid w:val="46CA2B46"/>
    <w:rsid w:val="46D52298"/>
    <w:rsid w:val="48030BB8"/>
    <w:rsid w:val="4874678C"/>
    <w:rsid w:val="48A87680"/>
    <w:rsid w:val="494E49AA"/>
    <w:rsid w:val="4A8F0CB5"/>
    <w:rsid w:val="4BB5041C"/>
    <w:rsid w:val="4C6F0B7D"/>
    <w:rsid w:val="4C9F5D25"/>
    <w:rsid w:val="4CAB781B"/>
    <w:rsid w:val="4D21520B"/>
    <w:rsid w:val="4D771C1E"/>
    <w:rsid w:val="4D9C11A0"/>
    <w:rsid w:val="4E212C99"/>
    <w:rsid w:val="4E3C38DE"/>
    <w:rsid w:val="4EB8286A"/>
    <w:rsid w:val="4EBA744A"/>
    <w:rsid w:val="4EFB5D63"/>
    <w:rsid w:val="4F86313B"/>
    <w:rsid w:val="4FC96956"/>
    <w:rsid w:val="505E1082"/>
    <w:rsid w:val="50B018E0"/>
    <w:rsid w:val="50F626E2"/>
    <w:rsid w:val="5186480E"/>
    <w:rsid w:val="52C23F57"/>
    <w:rsid w:val="52D2096E"/>
    <w:rsid w:val="531E6325"/>
    <w:rsid w:val="53457C95"/>
    <w:rsid w:val="53D23BDF"/>
    <w:rsid w:val="567B02F2"/>
    <w:rsid w:val="56F11733"/>
    <w:rsid w:val="578F28B6"/>
    <w:rsid w:val="5814071D"/>
    <w:rsid w:val="59413C36"/>
    <w:rsid w:val="5A59165A"/>
    <w:rsid w:val="5B4B03B8"/>
    <w:rsid w:val="5B9C6F02"/>
    <w:rsid w:val="5C69757C"/>
    <w:rsid w:val="5C884E39"/>
    <w:rsid w:val="5D5B3753"/>
    <w:rsid w:val="5E127261"/>
    <w:rsid w:val="5EDB74B5"/>
    <w:rsid w:val="5F100B70"/>
    <w:rsid w:val="62AC0550"/>
    <w:rsid w:val="62CA27A3"/>
    <w:rsid w:val="63DB4629"/>
    <w:rsid w:val="643D1F77"/>
    <w:rsid w:val="64793376"/>
    <w:rsid w:val="65EE2A50"/>
    <w:rsid w:val="66940DD7"/>
    <w:rsid w:val="66DD3ED2"/>
    <w:rsid w:val="68DF504F"/>
    <w:rsid w:val="68E02922"/>
    <w:rsid w:val="6A373141"/>
    <w:rsid w:val="6B2262B4"/>
    <w:rsid w:val="6C3D7821"/>
    <w:rsid w:val="6C710F75"/>
    <w:rsid w:val="6E3D6323"/>
    <w:rsid w:val="71323FC4"/>
    <w:rsid w:val="71EE7763"/>
    <w:rsid w:val="72F23D89"/>
    <w:rsid w:val="73723423"/>
    <w:rsid w:val="74057A00"/>
    <w:rsid w:val="7474619D"/>
    <w:rsid w:val="74AE2CAA"/>
    <w:rsid w:val="750652A7"/>
    <w:rsid w:val="751F49D4"/>
    <w:rsid w:val="76A9682B"/>
    <w:rsid w:val="7747264E"/>
    <w:rsid w:val="77C65F49"/>
    <w:rsid w:val="7803238B"/>
    <w:rsid w:val="78B910A6"/>
    <w:rsid w:val="793730E3"/>
    <w:rsid w:val="7AE57ADF"/>
    <w:rsid w:val="7BD323FA"/>
    <w:rsid w:val="7BD947C0"/>
    <w:rsid w:val="7C436FF0"/>
    <w:rsid w:val="7DAE0B2D"/>
    <w:rsid w:val="7DE9671E"/>
    <w:rsid w:val="7EA03372"/>
    <w:rsid w:val="7EC9380E"/>
    <w:rsid w:val="7F4C5240"/>
    <w:rsid w:val="7FDB3A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Body Text"/>
    <w:basedOn w:val="1"/>
    <w:qFormat/>
    <w:uiPriority w:val="0"/>
    <w:pPr>
      <w:spacing w:after="120"/>
    </w:pPr>
    <w:rPr>
      <w:szCs w:val="24"/>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character" w:styleId="12">
    <w:name w:val="FollowedHyperlink"/>
    <w:basedOn w:val="11"/>
    <w:qFormat/>
    <w:uiPriority w:val="0"/>
    <w:rPr>
      <w:color w:val="2490F8"/>
      <w:u w:val="single"/>
    </w:rPr>
  </w:style>
  <w:style w:type="character" w:styleId="13">
    <w:name w:val="Hyperlink"/>
    <w:basedOn w:val="11"/>
    <w:qFormat/>
    <w:uiPriority w:val="0"/>
    <w:rPr>
      <w:color w:val="2490F8"/>
      <w:u w:val="singl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1"/>
    <w:qFormat/>
    <w:uiPriority w:val="0"/>
    <w:rPr>
      <w:rFonts w:ascii="Tahoma" w:hAnsi="Tahoma" w:eastAsia="Tahoma" w:cs="Tahoma"/>
      <w:color w:val="000000"/>
      <w:sz w:val="22"/>
      <w:szCs w:val="22"/>
      <w:u w:val="none"/>
    </w:rPr>
  </w:style>
  <w:style w:type="character" w:customStyle="1" w:styleId="21">
    <w:name w:val="drapbtn"/>
    <w:basedOn w:val="11"/>
    <w:qFormat/>
    <w:uiPriority w:val="0"/>
  </w:style>
  <w:style w:type="character" w:customStyle="1" w:styleId="22">
    <w:name w:val="button"/>
    <w:basedOn w:val="11"/>
    <w:qFormat/>
    <w:uiPriority w:val="0"/>
  </w:style>
  <w:style w:type="character" w:customStyle="1" w:styleId="23">
    <w:name w:val="iconline2"/>
    <w:basedOn w:val="11"/>
    <w:qFormat/>
    <w:uiPriority w:val="0"/>
  </w:style>
  <w:style w:type="character" w:customStyle="1" w:styleId="24">
    <w:name w:val="icontext3"/>
    <w:basedOn w:val="11"/>
    <w:qFormat/>
    <w:uiPriority w:val="0"/>
  </w:style>
  <w:style w:type="character" w:customStyle="1" w:styleId="25">
    <w:name w:val="after"/>
    <w:basedOn w:val="11"/>
    <w:qFormat/>
    <w:uiPriority w:val="0"/>
    <w:rPr>
      <w:sz w:val="0"/>
      <w:szCs w:val="0"/>
    </w:rPr>
  </w:style>
  <w:style w:type="character" w:customStyle="1" w:styleId="26">
    <w:name w:val="pagechatarealistclose_box"/>
    <w:basedOn w:val="11"/>
    <w:qFormat/>
    <w:uiPriority w:val="0"/>
  </w:style>
  <w:style w:type="character" w:customStyle="1" w:styleId="27">
    <w:name w:val="pagechatarealistclose_box1"/>
    <w:basedOn w:val="11"/>
    <w:qFormat/>
    <w:uiPriority w:val="0"/>
  </w:style>
  <w:style w:type="character" w:customStyle="1" w:styleId="28">
    <w:name w:val="cy"/>
    <w:basedOn w:val="11"/>
    <w:qFormat/>
    <w:uiPriority w:val="0"/>
  </w:style>
  <w:style w:type="character" w:customStyle="1" w:styleId="29">
    <w:name w:val="hilite5"/>
    <w:basedOn w:val="11"/>
    <w:qFormat/>
    <w:uiPriority w:val="0"/>
    <w:rPr>
      <w:color w:val="FFFFFF"/>
      <w:shd w:val="clear" w:fill="666666"/>
    </w:rPr>
  </w:style>
  <w:style w:type="character" w:customStyle="1" w:styleId="30">
    <w:name w:val="layui-layer-tabnow"/>
    <w:basedOn w:val="11"/>
    <w:qFormat/>
    <w:uiPriority w:val="0"/>
    <w:rPr>
      <w:bdr w:val="single" w:color="CCCCCC" w:sz="6" w:space="0"/>
      <w:shd w:val="clear" w:fill="FFFFFF"/>
    </w:rPr>
  </w:style>
  <w:style w:type="character" w:customStyle="1" w:styleId="31">
    <w:name w:val="cdropright"/>
    <w:basedOn w:val="11"/>
    <w:qFormat/>
    <w:uiPriority w:val="0"/>
  </w:style>
  <w:style w:type="character" w:customStyle="1" w:styleId="32">
    <w:name w:val="ico1651"/>
    <w:basedOn w:val="11"/>
    <w:qFormat/>
    <w:uiPriority w:val="0"/>
  </w:style>
  <w:style w:type="character" w:customStyle="1" w:styleId="33">
    <w:name w:val="ico1652"/>
    <w:basedOn w:val="11"/>
    <w:qFormat/>
    <w:uiPriority w:val="0"/>
  </w:style>
  <w:style w:type="character" w:customStyle="1" w:styleId="34">
    <w:name w:val="associateddata"/>
    <w:basedOn w:val="11"/>
    <w:qFormat/>
    <w:uiPriority w:val="0"/>
    <w:rPr>
      <w:shd w:val="clear" w:fill="50A6F9"/>
    </w:rPr>
  </w:style>
  <w:style w:type="character" w:customStyle="1" w:styleId="35">
    <w:name w:val="cdropleft"/>
    <w:basedOn w:val="11"/>
    <w:qFormat/>
    <w:uiPriority w:val="0"/>
  </w:style>
  <w:style w:type="character" w:customStyle="1" w:styleId="36">
    <w:name w:val="active7"/>
    <w:basedOn w:val="11"/>
    <w:qFormat/>
    <w:uiPriority w:val="0"/>
    <w:rPr>
      <w:shd w:val="clear" w:fill="EC3535"/>
    </w:rPr>
  </w:style>
  <w:style w:type="character" w:customStyle="1" w:styleId="37">
    <w:name w:val="active8"/>
    <w:basedOn w:val="11"/>
    <w:qFormat/>
    <w:uiPriority w:val="0"/>
    <w:rPr>
      <w:color w:val="00FF00"/>
      <w:shd w:val="clear" w:fill="111111"/>
    </w:rPr>
  </w:style>
  <w:style w:type="character" w:customStyle="1" w:styleId="38">
    <w:name w:val="icontext2"/>
    <w:basedOn w:val="11"/>
    <w:qFormat/>
    <w:uiPriority w:val="0"/>
  </w:style>
  <w:style w:type="character" w:customStyle="1" w:styleId="39">
    <w:name w:val="tmpztreemove_arrow"/>
    <w:basedOn w:val="11"/>
    <w:qFormat/>
    <w:uiPriority w:val="0"/>
  </w:style>
  <w:style w:type="character" w:customStyle="1" w:styleId="40">
    <w:name w:val="icontext1"/>
    <w:basedOn w:val="11"/>
    <w:qFormat/>
    <w:uiPriority w:val="0"/>
  </w:style>
  <w:style w:type="character" w:customStyle="1" w:styleId="41">
    <w:name w:val="icontext11"/>
    <w:basedOn w:val="11"/>
    <w:qFormat/>
    <w:uiPriority w:val="0"/>
  </w:style>
  <w:style w:type="character" w:customStyle="1" w:styleId="42">
    <w:name w:val="icontext12"/>
    <w:basedOn w:val="11"/>
    <w:qFormat/>
    <w:uiPriority w:val="0"/>
  </w:style>
  <w:style w:type="character" w:customStyle="1" w:styleId="43">
    <w:name w:val="w32"/>
    <w:basedOn w:val="11"/>
    <w:qFormat/>
    <w:uiPriority w:val="0"/>
  </w:style>
  <w:style w:type="character" w:customStyle="1" w:styleId="44">
    <w:name w:val="first-child"/>
    <w:basedOn w:val="11"/>
    <w:qFormat/>
    <w:uiPriority w:val="0"/>
  </w:style>
  <w:style w:type="character" w:customStyle="1" w:styleId="45">
    <w:name w:val="ico1654"/>
    <w:basedOn w:val="11"/>
    <w:qFormat/>
    <w:uiPriority w:val="0"/>
  </w:style>
  <w:style w:type="character" w:customStyle="1" w:styleId="46">
    <w:name w:val="active"/>
    <w:basedOn w:val="11"/>
    <w:qFormat/>
    <w:uiPriority w:val="0"/>
    <w:rPr>
      <w:color w:val="00FF00"/>
      <w:shd w:val="clear" w:fill="111111"/>
    </w:rPr>
  </w:style>
  <w:style w:type="character" w:customStyle="1" w:styleId="47">
    <w:name w:val="active1"/>
    <w:basedOn w:val="11"/>
    <w:qFormat/>
    <w:uiPriority w:val="0"/>
    <w:rPr>
      <w:shd w:val="clear" w:fill="EC3535"/>
    </w:rPr>
  </w:style>
  <w:style w:type="character" w:customStyle="1" w:styleId="48">
    <w:name w:val="hilite6"/>
    <w:basedOn w:val="11"/>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paragraph" w:customStyle="1" w:styleId="5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1912</Words>
  <Characters>2261</Characters>
  <Lines>18</Lines>
  <Paragraphs>5</Paragraphs>
  <ScaleCrop>false</ScaleCrop>
  <LinksUpToDate>false</LinksUpToDate>
  <CharactersWithSpaces>2290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wangjingxuan</cp:lastModifiedBy>
  <cp:lastPrinted>2024-07-09T02:32:00Z</cp:lastPrinted>
  <dcterms:modified xsi:type="dcterms:W3CDTF">2025-07-09T05:13:28Z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5C78A07BD34F4E47B46365E452B2876A_13</vt:lpwstr>
  </property>
</Properties>
</file>