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F7F2D">
      <w:pPr>
        <w:jc w:val="center"/>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采购需求</w:t>
      </w:r>
    </w:p>
    <w:tbl>
      <w:tblPr>
        <w:tblStyle w:val="5"/>
        <w:tblW w:w="90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3"/>
        <w:gridCol w:w="1724"/>
        <w:gridCol w:w="1383"/>
        <w:gridCol w:w="997"/>
        <w:gridCol w:w="4171"/>
      </w:tblGrid>
      <w:tr w14:paraId="12843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trPr>
        <w:tc>
          <w:tcPr>
            <w:tcW w:w="783" w:type="dxa"/>
            <w:noWrap w:val="0"/>
            <w:vAlign w:val="center"/>
          </w:tcPr>
          <w:p w14:paraId="171E1BCB">
            <w:pPr>
              <w:spacing w:before="86" w:line="440" w:lineRule="atLeast"/>
              <w:ind w:left="142"/>
              <w:jc w:val="both"/>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包号</w:t>
            </w:r>
          </w:p>
        </w:tc>
        <w:tc>
          <w:tcPr>
            <w:tcW w:w="1724" w:type="dxa"/>
            <w:noWrap w:val="0"/>
            <w:vAlign w:val="center"/>
          </w:tcPr>
          <w:p w14:paraId="4579B16A">
            <w:pPr>
              <w:spacing w:before="85" w:line="440" w:lineRule="atLeast"/>
              <w:ind w:left="357"/>
              <w:jc w:val="both"/>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标的名称</w:t>
            </w:r>
          </w:p>
        </w:tc>
        <w:tc>
          <w:tcPr>
            <w:tcW w:w="1383" w:type="dxa"/>
            <w:noWrap w:val="0"/>
            <w:vAlign w:val="center"/>
          </w:tcPr>
          <w:p w14:paraId="45A80036">
            <w:pPr>
              <w:spacing w:before="40" w:line="440" w:lineRule="atLeast"/>
              <w:ind w:right="-15"/>
              <w:jc w:val="center"/>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8"/>
                <w:sz w:val="24"/>
                <w:szCs w:val="24"/>
                <w:highlight w:val="none"/>
                <w:lang w:eastAsia="zh-CN"/>
              </w:rPr>
              <w:t>采购包</w:t>
            </w:r>
            <w:r>
              <w:rPr>
                <w:rFonts w:hint="eastAsia" w:ascii="仿宋" w:hAnsi="仿宋" w:eastAsia="仿宋" w:cs="仿宋"/>
                <w:color w:val="auto"/>
                <w:spacing w:val="10"/>
                <w:sz w:val="24"/>
                <w:szCs w:val="24"/>
                <w:highlight w:val="none"/>
                <w:lang w:eastAsia="zh-CN"/>
              </w:rPr>
              <w:t>预算金额</w:t>
            </w:r>
          </w:p>
          <w:p w14:paraId="7B241C9B">
            <w:pPr>
              <w:spacing w:before="40" w:line="440" w:lineRule="atLeast"/>
              <w:ind w:right="-1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1"/>
                <w:sz w:val="24"/>
                <w:szCs w:val="24"/>
                <w:highlight w:val="none"/>
                <w:lang w:eastAsia="zh-CN"/>
              </w:rPr>
              <w:t>（万元）</w:t>
            </w:r>
          </w:p>
        </w:tc>
        <w:tc>
          <w:tcPr>
            <w:tcW w:w="997" w:type="dxa"/>
            <w:noWrap w:val="0"/>
            <w:vAlign w:val="center"/>
          </w:tcPr>
          <w:p w14:paraId="396DEFAF">
            <w:pPr>
              <w:spacing w:before="86" w:line="440" w:lineRule="atLeast"/>
              <w:ind w:left="289"/>
              <w:jc w:val="both"/>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数量</w:t>
            </w:r>
          </w:p>
        </w:tc>
        <w:tc>
          <w:tcPr>
            <w:tcW w:w="4171" w:type="dxa"/>
            <w:noWrap w:val="0"/>
            <w:vAlign w:val="center"/>
          </w:tcPr>
          <w:p w14:paraId="6E7720A9">
            <w:pPr>
              <w:spacing w:before="86" w:line="440" w:lineRule="atLeast"/>
              <w:ind w:left="0" w:lef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简要技术需求或服务要求</w:t>
            </w:r>
          </w:p>
        </w:tc>
      </w:tr>
      <w:tr w14:paraId="77CC0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83" w:type="dxa"/>
            <w:noWrap w:val="0"/>
            <w:vAlign w:val="center"/>
          </w:tcPr>
          <w:p w14:paraId="3EA12E17">
            <w:pPr>
              <w:spacing w:before="86" w:line="440" w:lineRule="atLeast"/>
              <w:ind w:left="0" w:leftChars="0" w:firstLine="0" w:firstLineChars="0"/>
              <w:jc w:val="center"/>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pacing w:val="9"/>
                <w:sz w:val="24"/>
                <w:szCs w:val="24"/>
                <w:highlight w:val="none"/>
                <w:lang w:eastAsia="zh-CN"/>
              </w:rPr>
              <w:t>01</w:t>
            </w:r>
          </w:p>
        </w:tc>
        <w:tc>
          <w:tcPr>
            <w:tcW w:w="1724" w:type="dxa"/>
            <w:noWrap w:val="0"/>
            <w:vAlign w:val="center"/>
          </w:tcPr>
          <w:p w14:paraId="68E0FCB9">
            <w:pPr>
              <w:spacing w:before="86" w:line="440" w:lineRule="atLeast"/>
              <w:ind w:left="142" w:leftChars="0"/>
              <w:jc w:val="both"/>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pacing w:val="7"/>
                <w:sz w:val="24"/>
                <w:szCs w:val="24"/>
                <w:lang w:val="en-US" w:eastAsia="zh-CN"/>
              </w:rPr>
              <w:t>网络安全运维服务</w:t>
            </w:r>
          </w:p>
        </w:tc>
        <w:tc>
          <w:tcPr>
            <w:tcW w:w="1383" w:type="dxa"/>
            <w:noWrap w:val="0"/>
            <w:vAlign w:val="center"/>
          </w:tcPr>
          <w:p w14:paraId="7F937368">
            <w:pPr>
              <w:pStyle w:val="6"/>
              <w:spacing w:line="440" w:lineRule="atLeast"/>
              <w:jc w:val="center"/>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z w:val="24"/>
                <w:szCs w:val="24"/>
                <w:lang w:eastAsia="zh-CN"/>
              </w:rPr>
              <w:t>61.5</w:t>
            </w:r>
          </w:p>
        </w:tc>
        <w:tc>
          <w:tcPr>
            <w:tcW w:w="997" w:type="dxa"/>
            <w:noWrap w:val="0"/>
            <w:vAlign w:val="center"/>
          </w:tcPr>
          <w:p w14:paraId="2748564E">
            <w:pPr>
              <w:pStyle w:val="6"/>
              <w:spacing w:line="440" w:lineRule="atLeast"/>
              <w:jc w:val="center"/>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z w:val="24"/>
                <w:szCs w:val="24"/>
                <w:lang w:val="en-US" w:eastAsia="zh-CN"/>
              </w:rPr>
              <w:t>/</w:t>
            </w:r>
          </w:p>
        </w:tc>
        <w:tc>
          <w:tcPr>
            <w:tcW w:w="4171" w:type="dxa"/>
            <w:noWrap w:val="0"/>
            <w:vAlign w:val="center"/>
          </w:tcPr>
          <w:p w14:paraId="3A672A0C">
            <w:pPr>
              <w:spacing w:before="163" w:after="163"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1）满足《数据安全法》、《个人信息保护法》等法律法规要求及相关数据安全监管部门和</w:t>
            </w:r>
            <w:bookmarkStart w:id="0" w:name="_GoBack"/>
            <w:bookmarkEnd w:id="0"/>
            <w:r>
              <w:rPr>
                <w:rFonts w:hint="eastAsia" w:ascii="仿宋" w:hAnsi="仿宋" w:eastAsia="仿宋" w:cs="仿宋"/>
                <w:color w:val="auto"/>
                <w:sz w:val="24"/>
              </w:rPr>
              <w:t>北京市卫健委对数据安全的相关要求，通过本项目梳理、识别和明确在数据安全技管体系完成建设前，北京市卫生健康人力资源发展中心及所属的业务系统所面临的数据安全风险；</w:t>
            </w:r>
          </w:p>
          <w:p w14:paraId="382BBF36">
            <w:pPr>
              <w:spacing w:before="163" w:after="163" w:line="360" w:lineRule="auto"/>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z w:val="24"/>
              </w:rPr>
              <w:t>2）满足《网络安全法》、等级保护及网络安全监管部门和北京市卫健委对网络安全的相关要求，通过本项目实现对网络资产安全风险的发现和整改，实现对于网络安全风险隐患的清理，提升北京市卫生健康人力资源发展中心信息化网络安全架构的健壮性</w:t>
            </w:r>
            <w:r>
              <w:rPr>
                <w:rFonts w:hint="eastAsia" w:ascii="仿宋" w:hAnsi="仿宋" w:eastAsia="仿宋" w:cs="仿宋"/>
                <w:color w:val="auto"/>
                <w:sz w:val="24"/>
                <w:lang w:eastAsia="zh-CN"/>
              </w:rPr>
              <w:t>。</w:t>
            </w:r>
          </w:p>
        </w:tc>
      </w:tr>
      <w:tr w14:paraId="72089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783" w:type="dxa"/>
            <w:noWrap w:val="0"/>
            <w:vAlign w:val="center"/>
          </w:tcPr>
          <w:p w14:paraId="7C0CC2D8">
            <w:pPr>
              <w:spacing w:before="86" w:line="440" w:lineRule="atLeast"/>
              <w:ind w:left="0" w:leftChars="0" w:firstLine="0" w:firstLineChars="0"/>
              <w:jc w:val="center"/>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pacing w:val="9"/>
                <w:sz w:val="24"/>
                <w:szCs w:val="24"/>
                <w:highlight w:val="none"/>
                <w:lang w:eastAsia="zh-CN"/>
              </w:rPr>
              <w:t>0</w:t>
            </w:r>
            <w:r>
              <w:rPr>
                <w:rFonts w:hint="eastAsia" w:ascii="仿宋" w:hAnsi="仿宋" w:eastAsia="仿宋" w:cs="仿宋"/>
                <w:color w:val="auto"/>
                <w:spacing w:val="9"/>
                <w:sz w:val="24"/>
                <w:szCs w:val="24"/>
                <w:highlight w:val="none"/>
                <w:lang w:val="en-US" w:eastAsia="zh-CN"/>
              </w:rPr>
              <w:t>2</w:t>
            </w:r>
          </w:p>
        </w:tc>
        <w:tc>
          <w:tcPr>
            <w:tcW w:w="1724" w:type="dxa"/>
            <w:noWrap w:val="0"/>
            <w:vAlign w:val="center"/>
          </w:tcPr>
          <w:p w14:paraId="69EF89C0">
            <w:pPr>
              <w:spacing w:before="86" w:line="440" w:lineRule="atLeast"/>
              <w:ind w:left="142" w:leftChars="0"/>
              <w:jc w:val="both"/>
              <w:rPr>
                <w:rFonts w:hint="eastAsia" w:ascii="仿宋" w:hAnsi="仿宋" w:eastAsia="仿宋" w:cs="仿宋"/>
                <w:color w:val="auto"/>
                <w:spacing w:val="9"/>
                <w:sz w:val="24"/>
                <w:szCs w:val="24"/>
                <w:highlight w:val="none"/>
                <w:lang w:eastAsia="zh-CN"/>
              </w:rPr>
            </w:pPr>
            <w:r>
              <w:rPr>
                <w:rFonts w:hint="eastAsia" w:ascii="仿宋" w:hAnsi="仿宋" w:eastAsia="仿宋" w:cs="仿宋"/>
                <w:b/>
                <w:bCs/>
                <w:color w:val="auto"/>
                <w:spacing w:val="-1"/>
                <w:sz w:val="24"/>
                <w:szCs w:val="24"/>
                <w:lang w:val="en-US" w:eastAsia="zh-CN"/>
              </w:rPr>
              <w:t>网络安全等级保护测评服务</w:t>
            </w:r>
          </w:p>
        </w:tc>
        <w:tc>
          <w:tcPr>
            <w:tcW w:w="1383" w:type="dxa"/>
            <w:noWrap w:val="0"/>
            <w:vAlign w:val="center"/>
          </w:tcPr>
          <w:p w14:paraId="694A343B">
            <w:pPr>
              <w:pStyle w:val="6"/>
              <w:spacing w:line="440" w:lineRule="atLeast"/>
              <w:jc w:val="center"/>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997" w:type="dxa"/>
            <w:noWrap w:val="0"/>
            <w:vAlign w:val="center"/>
          </w:tcPr>
          <w:p w14:paraId="4A6FED30">
            <w:pPr>
              <w:pStyle w:val="6"/>
              <w:spacing w:line="440" w:lineRule="atLeast"/>
              <w:jc w:val="center"/>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z w:val="24"/>
                <w:szCs w:val="24"/>
                <w:highlight w:val="none"/>
                <w:lang w:val="en-US" w:eastAsia="zh-CN"/>
              </w:rPr>
              <w:t>/</w:t>
            </w:r>
          </w:p>
        </w:tc>
        <w:tc>
          <w:tcPr>
            <w:tcW w:w="4171" w:type="dxa"/>
            <w:noWrap w:val="0"/>
            <w:vAlign w:val="center"/>
          </w:tcPr>
          <w:p w14:paraId="0B491FB5">
            <w:pPr>
              <w:spacing w:before="163" w:after="163" w:line="360" w:lineRule="auto"/>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z w:val="24"/>
                <w:highlight w:val="none"/>
              </w:rPr>
              <w:t>按照最新国家网络安全等级保护相关政策标准，完成各信息系统的等级保护测评服务，查找距离等级保护相应级别安全要求之间的差距问题，并提供整改建议和咨询服务，最终根据测评结果出具正式《等级测评报告》。</w:t>
            </w:r>
          </w:p>
        </w:tc>
      </w:tr>
    </w:tbl>
    <w:p w14:paraId="5A6C9536">
      <w:pPr>
        <w:jc w:val="center"/>
        <w:rPr>
          <w:rFonts w:hint="eastAsia" w:ascii="宋体" w:hAnsi="宋体" w:eastAsia="宋体" w:cs="宋体"/>
          <w:b/>
          <w:bCs/>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D6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customStyle="1" w:styleId="5">
    <w:name w:val="Table Normal"/>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2025-07-31T05:04:05Z</dcterms:created>
  <dc:creator>admin</dc:creator>
  <cp:lastModifiedBy>国信招标</cp:lastModifiedBy>
  <dcterms:modified xsi:type="dcterms:W3CDTF">2025-07-31T05:04:27Z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eyJoZGlkIjoiNWFkZThjN2NmOGZhY2Q1N2YzN2Y3NWNkYTA4YWE2NDUiLCJ1c2VySWQiOiIzOTgzMTAwMDMifQ==</vt:lpwstr>
  </property>
  <property fmtid="{D5CDD505-2E9C-101B-9397-08002B2CF9AE}" pid="4" name="ICV">
    <vt:lpwstr>C9C42C7C996944D2831E878A85EDCCA6_12</vt:lpwstr>
  </property>
</Properties>
</file>