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591">
      <w:pPr>
        <w:spacing w:line="360" w:lineRule="auto"/>
        <w:jc w:val="center"/>
        <w:outlineLvl w:val="0"/>
        <w:rPr>
          <w:b/>
          <w:sz w:val="36"/>
          <w:szCs w:val="36"/>
        </w:rPr>
      </w:pPr>
      <w:bookmarkStart w:id="0" w:name="_Toc99301424"/>
      <w:r>
        <w:rPr>
          <w:b/>
          <w:sz w:val="36"/>
          <w:szCs w:val="36"/>
        </w:rPr>
        <w:t>第五章   采购需求</w:t>
      </w:r>
      <w:bookmarkEnd w:id="0"/>
    </w:p>
    <w:p w14:paraId="385FE609">
      <w:pPr>
        <w:pStyle w:val="4"/>
        <w:adjustRightInd w:val="0"/>
        <w:snapToGrid w:val="0"/>
        <w:spacing w:line="560" w:lineRule="exact"/>
        <w:ind w:left="499" w:firstLine="0" w:firstLineChars="0"/>
        <w:contextualSpacing/>
        <w:rPr>
          <w:rFonts w:ascii="Times New Roman" w:hAnsi="Times New Roman"/>
          <w:b/>
          <w:sz w:val="24"/>
          <w:szCs w:val="24"/>
        </w:rPr>
      </w:pPr>
      <w:r>
        <w:rPr>
          <w:rFonts w:hint="eastAsia" w:ascii="Times New Roman" w:hAnsi="Times New Roman"/>
          <w:b/>
          <w:sz w:val="24"/>
          <w:szCs w:val="24"/>
        </w:rPr>
        <w:t>一、</w:t>
      </w:r>
      <w:r>
        <w:rPr>
          <w:rFonts w:ascii="Times New Roman" w:hAnsi="Times New Roman"/>
          <w:b/>
          <w:sz w:val="24"/>
          <w:szCs w:val="24"/>
        </w:rPr>
        <w:t>采购标的</w:t>
      </w:r>
    </w:p>
    <w:p w14:paraId="3B2C9D0B">
      <w:pPr>
        <w:adjustRightInd w:val="0"/>
        <w:snapToGrid w:val="0"/>
        <w:spacing w:line="560" w:lineRule="exact"/>
        <w:ind w:firstLine="480" w:firstLineChars="200"/>
        <w:contextualSpacing/>
        <w:rPr>
          <w:bCs/>
          <w:sz w:val="24"/>
        </w:rPr>
      </w:pPr>
      <w:r>
        <w:rPr>
          <w:bCs/>
          <w:sz w:val="24"/>
        </w:rPr>
        <w:t>1. 采购标的</w:t>
      </w:r>
    </w:p>
    <w:p w14:paraId="5AD7A228">
      <w:pPr>
        <w:adjustRightInd w:val="0"/>
        <w:snapToGrid w:val="0"/>
        <w:spacing w:line="560" w:lineRule="exact"/>
        <w:ind w:firstLine="480" w:firstLineChars="200"/>
        <w:contextualSpacing/>
        <w:rPr>
          <w:rFonts w:hint="eastAsia"/>
          <w:bCs/>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388"/>
        <w:gridCol w:w="1692"/>
        <w:gridCol w:w="1466"/>
        <w:gridCol w:w="1922"/>
      </w:tblGrid>
      <w:tr w14:paraId="6AC3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08C73F9">
            <w:pPr>
              <w:jc w:val="center"/>
              <w:rPr>
                <w:b/>
                <w:sz w:val="24"/>
              </w:rPr>
            </w:pPr>
            <w:r>
              <w:rPr>
                <w:rFonts w:hint="eastAsia"/>
                <w:b/>
                <w:sz w:val="24"/>
              </w:rPr>
              <w:t>序号</w:t>
            </w:r>
          </w:p>
        </w:tc>
        <w:tc>
          <w:tcPr>
            <w:tcW w:w="2477" w:type="dxa"/>
            <w:noWrap w:val="0"/>
            <w:vAlign w:val="center"/>
          </w:tcPr>
          <w:p w14:paraId="74E5C8D0">
            <w:pPr>
              <w:jc w:val="center"/>
              <w:rPr>
                <w:b/>
                <w:sz w:val="24"/>
              </w:rPr>
            </w:pPr>
            <w:r>
              <w:rPr>
                <w:rFonts w:hint="eastAsia"/>
                <w:b/>
                <w:sz w:val="24"/>
              </w:rPr>
              <w:t>服务名称</w:t>
            </w:r>
          </w:p>
        </w:tc>
        <w:tc>
          <w:tcPr>
            <w:tcW w:w="1789" w:type="dxa"/>
            <w:noWrap w:val="0"/>
            <w:vAlign w:val="center"/>
          </w:tcPr>
          <w:p w14:paraId="5B40403B">
            <w:pPr>
              <w:jc w:val="center"/>
              <w:rPr>
                <w:b/>
                <w:sz w:val="24"/>
              </w:rPr>
            </w:pPr>
            <w:r>
              <w:rPr>
                <w:rFonts w:hint="eastAsia"/>
                <w:b/>
                <w:sz w:val="24"/>
              </w:rPr>
              <w:t>数量</w:t>
            </w:r>
          </w:p>
        </w:tc>
        <w:tc>
          <w:tcPr>
            <w:tcW w:w="1545" w:type="dxa"/>
            <w:noWrap w:val="0"/>
            <w:vAlign w:val="center"/>
          </w:tcPr>
          <w:p w14:paraId="4378CEB3">
            <w:pPr>
              <w:jc w:val="center"/>
              <w:rPr>
                <w:b/>
                <w:sz w:val="24"/>
              </w:rPr>
            </w:pPr>
            <w:r>
              <w:rPr>
                <w:rFonts w:hint="eastAsia"/>
                <w:b/>
                <w:sz w:val="24"/>
              </w:rPr>
              <w:t>单位</w:t>
            </w:r>
          </w:p>
        </w:tc>
        <w:tc>
          <w:tcPr>
            <w:tcW w:w="2035" w:type="dxa"/>
            <w:noWrap w:val="0"/>
            <w:vAlign w:val="center"/>
          </w:tcPr>
          <w:p w14:paraId="29A6CE7A">
            <w:pPr>
              <w:jc w:val="center"/>
              <w:rPr>
                <w:b/>
                <w:sz w:val="24"/>
              </w:rPr>
            </w:pPr>
            <w:r>
              <w:rPr>
                <w:rFonts w:hint="eastAsia"/>
                <w:b/>
                <w:sz w:val="24"/>
              </w:rPr>
              <w:t>备注</w:t>
            </w:r>
          </w:p>
        </w:tc>
      </w:tr>
      <w:tr w14:paraId="6C0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9C51F5B">
            <w:pPr>
              <w:jc w:val="center"/>
              <w:rPr>
                <w:sz w:val="24"/>
              </w:rPr>
            </w:pPr>
            <w:r>
              <w:rPr>
                <w:rFonts w:hint="eastAsia"/>
                <w:sz w:val="24"/>
              </w:rPr>
              <w:t>1</w:t>
            </w:r>
          </w:p>
        </w:tc>
        <w:tc>
          <w:tcPr>
            <w:tcW w:w="2477" w:type="dxa"/>
            <w:noWrap w:val="0"/>
            <w:vAlign w:val="top"/>
          </w:tcPr>
          <w:p w14:paraId="14C044B1">
            <w:pPr>
              <w:jc w:val="center"/>
              <w:rPr>
                <w:sz w:val="24"/>
              </w:rPr>
            </w:pPr>
            <w:r>
              <w:rPr>
                <w:sz w:val="24"/>
              </w:rPr>
              <w:t>北京财贸职业学院2025-2026</w:t>
            </w:r>
            <w:r>
              <w:rPr>
                <w:rFonts w:hint="eastAsia"/>
                <w:sz w:val="24"/>
              </w:rPr>
              <w:t>学年朝阳校区保洁绿化物业管理服务项目</w:t>
            </w:r>
          </w:p>
        </w:tc>
        <w:tc>
          <w:tcPr>
            <w:tcW w:w="1789" w:type="dxa"/>
            <w:noWrap w:val="0"/>
            <w:vAlign w:val="top"/>
          </w:tcPr>
          <w:p w14:paraId="492F34FE">
            <w:pPr>
              <w:jc w:val="center"/>
              <w:rPr>
                <w:rFonts w:hint="eastAsia"/>
                <w:sz w:val="24"/>
              </w:rPr>
            </w:pPr>
            <w:r>
              <w:rPr>
                <w:rFonts w:hint="eastAsia"/>
                <w:sz w:val="24"/>
              </w:rPr>
              <w:t>1</w:t>
            </w:r>
          </w:p>
        </w:tc>
        <w:tc>
          <w:tcPr>
            <w:tcW w:w="1545" w:type="dxa"/>
            <w:noWrap w:val="0"/>
            <w:vAlign w:val="top"/>
          </w:tcPr>
          <w:p w14:paraId="5B8E0459">
            <w:pPr>
              <w:jc w:val="center"/>
              <w:rPr>
                <w:rFonts w:hint="eastAsia"/>
                <w:sz w:val="24"/>
              </w:rPr>
            </w:pPr>
            <w:r>
              <w:rPr>
                <w:rFonts w:hint="eastAsia"/>
                <w:sz w:val="24"/>
              </w:rPr>
              <w:t>项</w:t>
            </w:r>
          </w:p>
        </w:tc>
        <w:tc>
          <w:tcPr>
            <w:tcW w:w="2035" w:type="dxa"/>
            <w:noWrap w:val="0"/>
            <w:vAlign w:val="top"/>
          </w:tcPr>
          <w:p w14:paraId="4A41916C">
            <w:pPr>
              <w:jc w:val="center"/>
              <w:rPr>
                <w:sz w:val="24"/>
              </w:rPr>
            </w:pPr>
          </w:p>
        </w:tc>
      </w:tr>
    </w:tbl>
    <w:p w14:paraId="0FBD68F2">
      <w:pPr>
        <w:adjustRightInd w:val="0"/>
        <w:snapToGrid w:val="0"/>
        <w:spacing w:line="560" w:lineRule="exact"/>
        <w:ind w:firstLine="480" w:firstLineChars="200"/>
        <w:contextualSpacing/>
        <w:rPr>
          <w:rFonts w:hint="eastAsia" w:ascii="宋体" w:hAnsi="宋体" w:cs="宋体"/>
          <w:bCs/>
          <w:sz w:val="24"/>
        </w:rPr>
      </w:pPr>
      <w:r>
        <w:rPr>
          <w:rFonts w:hint="eastAsia" w:ascii="宋体" w:hAnsi="宋体" w:cs="宋体"/>
          <w:bCs/>
          <w:sz w:val="24"/>
        </w:rPr>
        <w:t>2. 项目概述（如有）</w:t>
      </w:r>
    </w:p>
    <w:p w14:paraId="7E925AB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朝阳校区现有师生750多人，室内外保洁面积约为4万多平方米，绿化面积5000多平米 ，且校园绿化项目需专业园林技师维护。因保洁绿化面积较大，任务较重，为了给师生一个优美整洁的学习工作环境，创建美丽校园，故需保洁人员18名，绿化人员3名。符合法定聘用年龄，男不超过60周岁，女不超过50周岁，身体健康，无犯罪记录。</w:t>
      </w:r>
      <w:r>
        <w:rPr>
          <w:rFonts w:hint="eastAsia" w:ascii="宋体" w:hAnsi="宋体" w:cs="宋体"/>
          <w:color w:val="000000"/>
          <w:kern w:val="0"/>
          <w:sz w:val="24"/>
          <w:lang w:val="en-US" w:eastAsia="zh-CN"/>
        </w:rPr>
        <w:t>保洁和</w:t>
      </w:r>
      <w:r>
        <w:rPr>
          <w:rFonts w:hint="eastAsia" w:ascii="宋体" w:hAnsi="宋体" w:eastAsia="宋体" w:cs="宋体"/>
          <w:color w:val="auto"/>
          <w:sz w:val="24"/>
          <w:lang w:val="en-US" w:eastAsia="zh-CN"/>
        </w:rPr>
        <w:t>绿化人员均具备2年（含）以上类似项目从业经历，环境主管具备专科（含）及以上学历和2年（含）以上行业从业经历且具备类似项目管理经验，项目经理具备专科（含）及以上学历和中级职称证书。</w:t>
      </w:r>
    </w:p>
    <w:p w14:paraId="5EC065DE">
      <w:pPr>
        <w:pStyle w:val="4"/>
        <w:adjustRightInd w:val="0"/>
        <w:snapToGrid w:val="0"/>
        <w:spacing w:line="560" w:lineRule="exact"/>
        <w:ind w:left="499" w:firstLine="0" w:firstLineChars="0"/>
        <w:contextualSpacing/>
        <w:rPr>
          <w:rFonts w:hint="eastAsia" w:ascii="宋体" w:hAnsi="宋体" w:cs="宋体"/>
          <w:b/>
          <w:sz w:val="24"/>
          <w:szCs w:val="24"/>
        </w:rPr>
      </w:pPr>
      <w:r>
        <w:rPr>
          <w:rFonts w:hint="eastAsia" w:ascii="宋体" w:hAnsi="宋体" w:cs="宋体"/>
          <w:b/>
          <w:sz w:val="24"/>
          <w:szCs w:val="24"/>
        </w:rPr>
        <w:t>二、商务要求</w:t>
      </w:r>
    </w:p>
    <w:p w14:paraId="4FA59F76">
      <w:pPr>
        <w:adjustRightInd w:val="0"/>
        <w:snapToGrid w:val="0"/>
        <w:spacing w:line="560" w:lineRule="exact"/>
        <w:ind w:firstLine="480" w:firstLineChars="200"/>
        <w:contextualSpacing/>
        <w:rPr>
          <w:rFonts w:hint="eastAsia" w:ascii="宋体" w:hAnsi="宋体" w:cs="宋体"/>
          <w:i/>
          <w:sz w:val="24"/>
        </w:rPr>
      </w:pPr>
      <w:r>
        <w:rPr>
          <w:rFonts w:hint="eastAsia" w:ascii="宋体" w:hAnsi="宋体" w:cs="宋体"/>
          <w:sz w:val="24"/>
        </w:rPr>
        <w:t>1. 交付（实施）的时间（期限）和地点（范围）</w:t>
      </w:r>
    </w:p>
    <w:p w14:paraId="092DFCDF">
      <w:pPr>
        <w:adjustRightInd w:val="0"/>
        <w:snapToGrid w:val="0"/>
        <w:spacing w:line="560" w:lineRule="exact"/>
        <w:ind w:firstLine="480" w:firstLineChars="200"/>
        <w:jc w:val="left"/>
        <w:textAlignment w:val="baseline"/>
        <w:rPr>
          <w:rFonts w:hint="eastAsia" w:ascii="宋体" w:hAnsi="宋体" w:cs="宋体"/>
          <w:i/>
          <w:sz w:val="24"/>
        </w:rPr>
      </w:pPr>
      <w:r>
        <w:rPr>
          <w:rFonts w:hint="eastAsia" w:ascii="宋体" w:hAnsi="宋体" w:cs="宋体"/>
          <w:sz w:val="24"/>
        </w:rPr>
        <w:t>自合同签订之日起一年，根据合同内容，承担校区保洁绿化工作。</w:t>
      </w:r>
    </w:p>
    <w:p w14:paraId="7AB259C8">
      <w:pPr>
        <w:adjustRightInd w:val="0"/>
        <w:snapToGrid w:val="0"/>
        <w:spacing w:line="560" w:lineRule="exact"/>
        <w:ind w:firstLine="480" w:firstLineChars="200"/>
        <w:contextualSpacing/>
        <w:rPr>
          <w:rFonts w:hint="eastAsia" w:ascii="宋体" w:hAnsi="宋体" w:cs="宋体"/>
          <w:sz w:val="24"/>
        </w:rPr>
      </w:pPr>
      <w:r>
        <w:rPr>
          <w:rFonts w:hint="eastAsia" w:ascii="宋体" w:hAnsi="宋体" w:cs="宋体"/>
          <w:sz w:val="24"/>
        </w:rPr>
        <w:t>2. 付款条件（进度和方式）</w:t>
      </w:r>
    </w:p>
    <w:p w14:paraId="1564A589">
      <w:pPr>
        <w:adjustRightInd w:val="0"/>
        <w:snapToGrid w:val="0"/>
        <w:spacing w:line="560" w:lineRule="exact"/>
        <w:ind w:firstLine="480" w:firstLineChars="200"/>
        <w:contextualSpacing/>
        <w:rPr>
          <w:rFonts w:hint="eastAsia" w:ascii="宋体" w:hAnsi="宋体" w:cs="宋体"/>
          <w:b/>
          <w:i/>
          <w:sz w:val="24"/>
        </w:rPr>
      </w:pPr>
      <w:r>
        <w:rPr>
          <w:rFonts w:hint="eastAsia" w:ascii="宋体" w:hAnsi="宋体" w:cs="宋体"/>
          <w:sz w:val="24"/>
        </w:rPr>
        <w:t>自合同签订之日起一个月内，甲方支付合同总价款的30%。2026年3月1日-3月31日，甲方向乙方支付合同总价款的30%，2026年9月1日-9月30日，甲方向乙方支付合同总价的40%。</w:t>
      </w:r>
    </w:p>
    <w:p w14:paraId="529CC7E0">
      <w:pPr>
        <w:pStyle w:val="4"/>
        <w:adjustRightInd w:val="0"/>
        <w:snapToGrid w:val="0"/>
        <w:spacing w:line="560" w:lineRule="exact"/>
        <w:ind w:left="499" w:firstLine="0" w:firstLineChars="0"/>
        <w:contextualSpacing/>
        <w:rPr>
          <w:rFonts w:hint="eastAsia" w:ascii="宋体" w:hAnsi="宋体" w:cs="宋体"/>
          <w:b/>
          <w:sz w:val="24"/>
          <w:szCs w:val="24"/>
        </w:rPr>
      </w:pPr>
      <w:r>
        <w:rPr>
          <w:rFonts w:hint="eastAsia" w:ascii="宋体" w:hAnsi="宋体" w:cs="宋体"/>
          <w:b/>
          <w:sz w:val="24"/>
          <w:szCs w:val="24"/>
        </w:rPr>
        <w:t>三、技术要求</w:t>
      </w:r>
    </w:p>
    <w:p w14:paraId="54256CB9">
      <w:pPr>
        <w:adjustRightInd w:val="0"/>
        <w:snapToGrid w:val="0"/>
        <w:spacing w:line="560" w:lineRule="exact"/>
        <w:ind w:firstLine="480" w:firstLineChars="200"/>
        <w:contextualSpacing/>
        <w:rPr>
          <w:rFonts w:hint="eastAsia" w:ascii="宋体" w:hAnsi="宋体" w:cs="宋体"/>
          <w:sz w:val="24"/>
        </w:rPr>
      </w:pPr>
      <w:r>
        <w:rPr>
          <w:rFonts w:hint="eastAsia" w:ascii="宋体" w:hAnsi="宋体" w:cs="宋体"/>
          <w:sz w:val="24"/>
        </w:rPr>
        <w:t>（一）基本要求</w:t>
      </w:r>
    </w:p>
    <w:p w14:paraId="5B1DEF15">
      <w:pPr>
        <w:widowControl/>
        <w:adjustRightInd w:val="0"/>
        <w:snapToGrid w:val="0"/>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1.校园保洁绿化率高于辖区平均值。</w:t>
      </w:r>
    </w:p>
    <w:p w14:paraId="19ECEDDC">
      <w:pPr>
        <w:widowControl/>
        <w:adjustRightInd w:val="0"/>
        <w:snapToGrid w:val="0"/>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2.按校方要求选齐配强驻校保洁绿化工作力量；服务标准要达到国家、北京市及属地对于高校保洁绿化工作的相关标准并满足学校的要求。</w:t>
      </w:r>
    </w:p>
    <w:p w14:paraId="10CA7F2C">
      <w:pPr>
        <w:widowControl/>
        <w:adjustRightInd w:val="0"/>
        <w:snapToGrid w:val="0"/>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3.完成校区各项校园保洁绿化工作任务。</w:t>
      </w:r>
    </w:p>
    <w:p w14:paraId="77B88ABE">
      <w:pPr>
        <w:widowControl/>
        <w:adjustRightInd w:val="0"/>
        <w:snapToGrid w:val="0"/>
        <w:spacing w:line="560" w:lineRule="exact"/>
        <w:ind w:firstLine="480" w:firstLineChars="200"/>
        <w:jc w:val="left"/>
        <w:rPr>
          <w:rFonts w:hint="eastAsia" w:ascii="宋体" w:hAnsi="宋体" w:cs="宋体"/>
          <w:color w:val="000000"/>
          <w:sz w:val="24"/>
        </w:rPr>
      </w:pPr>
      <w:r>
        <w:rPr>
          <w:rFonts w:hint="eastAsia" w:ascii="宋体" w:hAnsi="宋体" w:cs="宋体"/>
          <w:color w:val="000000"/>
          <w:sz w:val="24"/>
        </w:rPr>
        <w:t>4.师生对校园保洁绿化满意率达良好。</w:t>
      </w:r>
    </w:p>
    <w:p w14:paraId="282BF317">
      <w:pPr>
        <w:adjustRightInd w:val="0"/>
        <w:snapToGrid w:val="0"/>
        <w:spacing w:line="560" w:lineRule="exact"/>
        <w:ind w:firstLine="480" w:firstLineChars="200"/>
        <w:contextualSpacing/>
        <w:rPr>
          <w:rFonts w:hint="eastAsia" w:ascii="宋体" w:hAnsi="宋体" w:cs="宋体"/>
          <w:sz w:val="24"/>
        </w:rPr>
      </w:pPr>
      <w:r>
        <w:rPr>
          <w:rFonts w:hint="eastAsia" w:ascii="宋体" w:hAnsi="宋体" w:cs="宋体"/>
          <w:sz w:val="24"/>
        </w:rPr>
        <w:t>（二）服务内容及要求/货物技术要求</w:t>
      </w:r>
    </w:p>
    <w:p w14:paraId="4151E23A">
      <w:pPr>
        <w:widowControl/>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1.负责朝阳校区综合楼、教学楼、培训楼</w:t>
      </w:r>
      <w:r>
        <w:rPr>
          <w:rFonts w:hint="eastAsia" w:ascii="宋体" w:hAnsi="宋体" w:cs="宋体"/>
          <w:kern w:val="0"/>
          <w:sz w:val="24"/>
        </w:rPr>
        <w:t>、20号院</w:t>
      </w:r>
      <w:r>
        <w:rPr>
          <w:rFonts w:hint="eastAsia" w:ascii="宋体" w:hAnsi="宋体" w:cs="宋体"/>
          <w:sz w:val="24"/>
        </w:rPr>
        <w:t>等楼宇的卫生保洁工作。</w:t>
      </w:r>
    </w:p>
    <w:p w14:paraId="36D90CC9">
      <w:pPr>
        <w:widowControl/>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2.协助完成学院内重大活动、节假日校园环境布置及大型会议的场地布置工作。</w:t>
      </w:r>
    </w:p>
    <w:p w14:paraId="21052867">
      <w:pPr>
        <w:widowControl/>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3.垃圾的清运工作，配备垃圾清运车，门前三包和雨雪清扫工作。</w:t>
      </w:r>
    </w:p>
    <w:p w14:paraId="04C7094E">
      <w:pPr>
        <w:widowControl/>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4.负责保洁区域内设施、设备日常巡查等工作。</w:t>
      </w:r>
    </w:p>
    <w:p w14:paraId="61C92AC1">
      <w:pPr>
        <w:widowControl/>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5.校园内绿化养护工作，包括但不限于植被配置合理、树木生长正常、绿地整洁、适时对植被的防冻与保暖、保障绿篱生长造型正常、裁剪树枝、落叶清运等工作。</w:t>
      </w:r>
    </w:p>
    <w:p w14:paraId="7E9C2366">
      <w:pPr>
        <w:adjustRightInd w:val="0"/>
        <w:snapToGrid w:val="0"/>
        <w:spacing w:line="560" w:lineRule="exact"/>
        <w:ind w:firstLine="480" w:firstLineChars="200"/>
        <w:contextualSpacing/>
        <w:rPr>
          <w:rFonts w:hint="eastAsia" w:ascii="宋体" w:hAnsi="宋体" w:cs="宋体"/>
          <w:i/>
          <w:iCs/>
          <w:sz w:val="24"/>
        </w:rPr>
      </w:pPr>
      <w:r>
        <w:rPr>
          <w:rFonts w:hint="eastAsia" w:ascii="宋体" w:hAnsi="宋体" w:cs="宋体"/>
          <w:sz w:val="24"/>
        </w:rPr>
        <w:t>（三）验收标准</w:t>
      </w:r>
    </w:p>
    <w:p w14:paraId="17E31BBD">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1.服务总体要求</w:t>
      </w:r>
    </w:p>
    <w:p w14:paraId="3327808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（1）完成朝阳校区综合楼、教学楼、宿舍楼、20号院等楼宇的卫生保洁工作。</w:t>
      </w:r>
    </w:p>
    <w:p w14:paraId="75089F8D">
      <w:pPr>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color w:val="000000"/>
          <w:kern w:val="0"/>
          <w:sz w:val="24"/>
        </w:rPr>
        <w:t>（2）协助</w:t>
      </w:r>
      <w:r>
        <w:rPr>
          <w:rFonts w:hint="eastAsia" w:ascii="宋体" w:hAnsi="宋体" w:cs="宋体"/>
          <w:kern w:val="0"/>
          <w:sz w:val="24"/>
        </w:rPr>
        <w:t>完成学院内重大活动、节假日校园环境布置及大型会议的场地布置工作。</w:t>
      </w:r>
    </w:p>
    <w:p w14:paraId="48EDD548">
      <w:pPr>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（3）完成</w:t>
      </w:r>
      <w:r>
        <w:rPr>
          <w:rFonts w:hint="eastAsia" w:ascii="宋体" w:hAnsi="宋体" w:cs="宋体"/>
          <w:sz w:val="24"/>
        </w:rPr>
        <w:t>垃圾的清运工作，配备垃圾清运车，完成门前三包和雨雪清扫工作。</w:t>
      </w:r>
    </w:p>
    <w:p w14:paraId="7C067D8E">
      <w:pPr>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（4）完成保洁区域内设施、设备日常巡查等工作。</w:t>
      </w:r>
    </w:p>
    <w:p w14:paraId="0FDDD7B0">
      <w:pPr>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（5）完成</w:t>
      </w:r>
      <w:r>
        <w:rPr>
          <w:rFonts w:hint="eastAsia" w:ascii="宋体" w:hAnsi="宋体" w:cs="宋体"/>
          <w:sz w:val="24"/>
        </w:rPr>
        <w:t>校园内绿化养护工作，包括但不限于植被配置合理、树木生长正常、绿地整洁、适时对植被的防冻与保暖、保障绿篱生长造型正常、裁剪树枝、落叶清运等工作。</w:t>
      </w:r>
    </w:p>
    <w:p w14:paraId="5017C476">
      <w:pPr>
        <w:widowControl/>
        <w:adjustRightInd w:val="0"/>
        <w:snapToGrid w:val="0"/>
        <w:spacing w:line="56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（6）服务质量标准和要求：达到国家、北京市及属地对于高校保洁绿化工作的相关标准并满足学校的要求，师生满意率90%以上。</w:t>
      </w:r>
    </w:p>
    <w:p w14:paraId="28EC6BBA">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（7）</w:t>
      </w:r>
      <w:r>
        <w:rPr>
          <w:rFonts w:hint="eastAsia" w:ascii="宋体" w:hAnsi="宋体" w:cs="宋体"/>
          <w:kern w:val="0"/>
          <w:sz w:val="24"/>
        </w:rPr>
        <w:t>保洁员、绿化员配置合理，明晰的组织架构。保洁员、绿化员政治可靠，无不良记录，技术熟练，具备应急处理事件的能力，并符合采购方提出的具体人员要求。</w:t>
      </w:r>
    </w:p>
    <w:p w14:paraId="2B6E06B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2.保洁服务要求、标准</w:t>
      </w:r>
    </w:p>
    <w:p w14:paraId="51D25C0A">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质量标准达到国家、北京市及属地对于高校保洁绿化工作的相关标准并满足学校的要求，有健全的保洁制度、责任制、日常检查台账，有明确的保洁分工和责任区域。</w:t>
      </w:r>
    </w:p>
    <w:p w14:paraId="73D0A490">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（1）宿舍楼、培训楼服务要求、标准</w:t>
      </w:r>
    </w:p>
    <w:p w14:paraId="4F5B3A75">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w:t>
      </w:r>
      <w:bookmarkStart w:id="1" w:name="OLE_LINK1"/>
      <w:r>
        <w:rPr>
          <w:rFonts w:hint="eastAsia" w:ascii="宋体" w:hAnsi="宋体" w:cs="宋体"/>
          <w:color w:val="000000"/>
          <w:kern w:val="0"/>
          <w:sz w:val="24"/>
        </w:rPr>
        <w:t>做好宿舍楼、培训楼楼道、卫生间等公共区域的保洁及垃圾清运工作。</w:t>
      </w:r>
      <w:bookmarkEnd w:id="1"/>
    </w:p>
    <w:p w14:paraId="2C885CDB">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2）楼道、楼梯、大厅干净整洁，玻璃明亮，地面无污垢、痰迹、纸屑、烟头，墙面无灰尘，天花板无灰尘、无蜘蛛网。</w:t>
      </w:r>
    </w:p>
    <w:p w14:paraId="1D8D940C">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3）卫生间无异味，下水管通畅，厕坑、镜面、洗手台无污点，纸篓随时清理。盥洗室、浴室清洁无污垢、无异味。</w:t>
      </w:r>
    </w:p>
    <w:p w14:paraId="0F14CB8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4）保洁工具与保洁用品要统一放在指定地点。</w:t>
      </w:r>
    </w:p>
    <w:p w14:paraId="799EB30A">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5）垃圾箱（桶）每天清掏及擦拭2次。</w:t>
      </w:r>
    </w:p>
    <w:p w14:paraId="501951C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6）门、窗、扶手、消防栓等公用设施无明显灰尘、无污迹。</w:t>
      </w:r>
    </w:p>
    <w:p w14:paraId="0ADB13A5">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7）捡拾物品及时上交学校管理部门（楼管员）做失物招领，不许私自处理。</w:t>
      </w:r>
    </w:p>
    <w:p w14:paraId="31DF38D7">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8）负责保洁区内设备设施功能性、完整性的报修工作和维修结果的考核签字工作。</w:t>
      </w:r>
    </w:p>
    <w:p w14:paraId="1C220191">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9）3月底和8月底擦拭学生公寓楼外立面玻璃。</w:t>
      </w:r>
    </w:p>
    <w:p w14:paraId="6801FA7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（2）教学楼服务要求、标准</w:t>
      </w:r>
    </w:p>
    <w:p w14:paraId="34ABD341">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1）做好教学楼楼道、卫生间等公共区域的保洁及垃圾清运工作。</w:t>
      </w:r>
    </w:p>
    <w:p w14:paraId="699FB11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2）楼道、楼梯、大厅干净整洁，玻璃明亮，地面无污垢、痰迹、纸屑、烟头，墙面无灰尘，天花板无灰尘、无蜘蛛网。</w:t>
      </w:r>
    </w:p>
    <w:p w14:paraId="720E5175">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3）卫生间无异味，下水管通畅，厕坑、镜面、洗手台无污点，纸篓随时清理。</w:t>
      </w:r>
    </w:p>
    <w:p w14:paraId="016FD86C">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4）教室桌椅、讲台无灰尘，桌斗内无杂质；黑板板面擦净，板槽内无粉末，黑板周围整洁；窗台无灰尘，窗帘挂放整齐。</w:t>
      </w:r>
    </w:p>
    <w:p w14:paraId="71F36C8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5）保洁工具与保洁用品要统一放在指定地点。</w:t>
      </w:r>
    </w:p>
    <w:p w14:paraId="3C4C035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6）垃圾箱（桶）每天清掏及擦拭2次。</w:t>
      </w:r>
    </w:p>
    <w:p w14:paraId="208AB39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7）门、窗、扶手、消防栓等公用设施无明显灰尘、无污迹。</w:t>
      </w:r>
    </w:p>
    <w:p w14:paraId="59B0657F">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8）捡拾物品及时上交学校管理部门（楼管员）做失物招领，不许私自处理。</w:t>
      </w:r>
    </w:p>
    <w:p w14:paraId="5AF4584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9）负责保洁区内设备设施功能性、完整性的报修工作和维修结果的考核签字工作。</w:t>
      </w:r>
    </w:p>
    <w:p w14:paraId="2DAF8CB0">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10)3月底和8月底擦拭教学楼外立面玻璃。</w:t>
      </w:r>
    </w:p>
    <w:p w14:paraId="6C50BEDC">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（3）综合楼服务要求、标准</w:t>
      </w:r>
    </w:p>
    <w:p w14:paraId="38B39651">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1）做好综合楼楼道、卫生间等公共区域的保洁及垃圾清运工作。</w:t>
      </w:r>
    </w:p>
    <w:p w14:paraId="56ED36C2">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2）楼道、楼梯、大厅干净整洁，玻璃明亮，地面无污垢、痰迹、纸屑、烟头，墙面无灰尘，天花板、天棚无灰尘、无蜘蛛网，地毯洁净无污渍。</w:t>
      </w:r>
    </w:p>
    <w:p w14:paraId="1EB7DBE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3）卫生间无异味，下水管通畅，厕坑、镜面、洗手台无污点，纸篓随时清理。</w:t>
      </w:r>
    </w:p>
    <w:p w14:paraId="45EA1C97">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4）保洁工具与保洁用品要统一放在指定地点。</w:t>
      </w:r>
    </w:p>
    <w:p w14:paraId="6DB4B0C3">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5)垃圾箱（桶）每天清掏及擦拭2次。</w:t>
      </w:r>
    </w:p>
    <w:p w14:paraId="521E16A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6）门、窗、扶手、消防栓等公用设施无明显灰尘、无污迹。</w:t>
      </w:r>
    </w:p>
    <w:p w14:paraId="3CA2A2CA">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7）捡拾物品及时上交学校管理部门（楼管员）做失物招领，不许私自处理。</w:t>
      </w:r>
    </w:p>
    <w:p w14:paraId="087D07D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8）负责保洁区内设备设施功能性、完整性的报修工作和维修结果的考核签字工作。</w:t>
      </w:r>
    </w:p>
    <w:p w14:paraId="36A40723">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 xml:space="preserve">9）3月底和8月底擦拭办公楼外立面玻璃。 </w:t>
      </w:r>
    </w:p>
    <w:p w14:paraId="5E99198B">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（4）其他要求、标准</w:t>
      </w:r>
    </w:p>
    <w:p w14:paraId="3642E4AB">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1）每日早7点前完成相关区域的保洁工作。上课期间作业，不得影响正常教育教学。</w:t>
      </w:r>
    </w:p>
    <w:p w14:paraId="4EA3572F">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综合楼会议室、值班室维护要求、标准：空气清新无异味，玻璃明亮，墙面干净；家具整齐，桌面、台面、隔板、文件柜上下无灰尘、污渍；电话外壳干净无污迹，顶灯干净明亮无灰尘，地面清洁，每日打扫。</w:t>
      </w:r>
    </w:p>
    <w:p w14:paraId="65976E53">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3）教学楼、综合楼、宿舍楼等楼宇外围维护要求、标准：平台、台阶无果皮、烟头、纸屑等杂物，无积水、无污迹，附属设施干净整洁、无积尘。公共区域楼宇玻璃明亮。</w:t>
      </w:r>
    </w:p>
    <w:p w14:paraId="36071FC1">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教室、机房维护要求、标准：每天晚上下课后打扫干净后锁门；按照要求开关教室空调和各楼层的电开水器；地面无痰迹、烟头、垃圾、纸屑，讲台、课桌椅干净无灰尘，课桌屉斗内无杂物并摆放整齐，及时报修教室桌椅和灯具；黑板完好光亮、无粉笔痕迹，黑板槽内无明显粉沫；室内门窗无污迹、无张贴物，灯具、电扇、空调干净，墙面、屋面无积尘蛛网，窗台无灰尘，窗帘挂放整齐，窗帘无污迹、无脱落。</w:t>
      </w:r>
    </w:p>
    <w:p w14:paraId="1A68B6AD">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3.校园环境绿化养护要求、标准</w:t>
      </w:r>
    </w:p>
    <w:p w14:paraId="2F36CF57">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质量标准达到国家、北京市及属地对于高校保洁绿化工作的相关标准并满足学校的要求，有健全的绿化制度、责任制、日常检查台账，有明确的绿化分工和责任区域。</w:t>
      </w:r>
    </w:p>
    <w:p w14:paraId="35E8806C">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（1）植物配置基本合理。乔、灌、花、草齐全，基本无裸露土地。</w:t>
      </w:r>
    </w:p>
    <w:p w14:paraId="6805D8A0">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树木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木缺株在4%以下；树木基本无钉栓、捆绑现象。</w:t>
      </w:r>
    </w:p>
    <w:p w14:paraId="23AC3E6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（3）绿篱生长造型正常，叶色正常，修剪及时，基本无死株和干死枝，有虫株率在10%以下；草坪覆盖率达到90%以上，修剪及时，叶色正常，无明显杂草；宿根花卉管理及时，花期正常，缺株率在5%以下。</w:t>
      </w:r>
    </w:p>
    <w:p w14:paraId="725B771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（4）绿地整洁，无杂树，无堆物堆料、搭棚、侵占、垃圾等现象；设施基本完好，无明显人为损坏，对违法行为能及时发现和处理；绿化生产垃圾能及时清运。</w:t>
      </w:r>
    </w:p>
    <w:p w14:paraId="7FF94CE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（5）植物、花卉未经后勤保卫科批准，不得任意移植或移往校外。</w:t>
      </w:r>
    </w:p>
    <w:p w14:paraId="74C3CF55">
      <w:pPr>
        <w:adjustRightInd w:val="0"/>
        <w:snapToGrid w:val="0"/>
        <w:spacing w:line="560" w:lineRule="exact"/>
        <w:ind w:firstLine="480" w:firstLineChars="200"/>
        <w:jc w:val="left"/>
        <w:textAlignment w:val="baseline"/>
        <w:rPr>
          <w:rFonts w:hint="eastAsia" w:ascii="宋体" w:hAnsi="宋体" w:cs="宋体"/>
          <w:color w:val="FF0000"/>
          <w:kern w:val="0"/>
          <w:sz w:val="24"/>
        </w:rPr>
      </w:pPr>
      <w:r>
        <w:rPr>
          <w:rFonts w:hint="eastAsia" w:ascii="宋体" w:hAnsi="宋体" w:cs="宋体"/>
          <w:color w:val="000000"/>
          <w:kern w:val="0"/>
          <w:sz w:val="24"/>
        </w:rPr>
        <w:t>（6）绿化垃圾由中标人负责外运。</w:t>
      </w:r>
    </w:p>
    <w:p w14:paraId="19093F1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（7）适时组织对植被的防冻与保暖。</w:t>
      </w:r>
    </w:p>
    <w:p w14:paraId="32AE47A9">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（8）负责绿化区内设备设施功能性、完整性的报修工作和维修结果的考核签字工作。</w:t>
      </w:r>
    </w:p>
    <w:p w14:paraId="0E0A390C">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4.校园环境绿化养护考核要求</w:t>
      </w:r>
    </w:p>
    <w:p w14:paraId="1565A231">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（1）学校将以招标文件要求及中标人投标文件的响应情况为标准对中标人的服务情况进行考核。</w:t>
      </w:r>
    </w:p>
    <w:p w14:paraId="23D22AC6">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（2）中标人应认真按照园林绿化行业的标准、规范、签订合同的要求以及学校依据签订合同发出的指令进行养护，随时接受学校的检查和考核，为检查、考核提供便利条件；</w:t>
      </w:r>
    </w:p>
    <w:p w14:paraId="78171468">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3）学校可按照合同约定标准进行随机检查和定期考核，发现养护质量达不到约定标准的部分，学校可要求中标人采取补种、更换、重做、修复等一切补救措施，直到符合约定标准。由中标人承担由于采取补救措施而产生的一切费用，学校按合同款的1‰—10‰进行处罚（在合同款中扣除）；</w:t>
      </w:r>
    </w:p>
    <w:p w14:paraId="749AF9A5">
      <w:pPr>
        <w:adjustRightInd w:val="0"/>
        <w:snapToGrid w:val="0"/>
        <w:spacing w:line="560" w:lineRule="exact"/>
        <w:ind w:firstLine="480" w:firstLineChars="200"/>
        <w:jc w:val="left"/>
        <w:textAlignment w:val="baseline"/>
        <w:rPr>
          <w:rFonts w:hint="eastAsia" w:ascii="宋体" w:hAnsi="宋体" w:cs="宋体"/>
          <w:color w:val="000000"/>
          <w:kern w:val="0"/>
          <w:sz w:val="24"/>
        </w:rPr>
      </w:pPr>
      <w:r>
        <w:rPr>
          <w:rFonts w:hint="eastAsia" w:ascii="宋体" w:hAnsi="宋体" w:cs="宋体"/>
          <w:color w:val="000000"/>
          <w:kern w:val="0"/>
          <w:sz w:val="24"/>
        </w:rPr>
        <w:t>（4）因养护不当造成的绿化树木、花卉死亡或损坏由中标企业无偿补种修复，无法补种修复的按市场价赔偿。若中标人认为造成绿化树木、花卉死亡或者损坏的责任不在</w:t>
      </w:r>
      <w:r>
        <w:rPr>
          <w:rFonts w:hint="eastAsia" w:ascii="宋体" w:hAnsi="宋体" w:cs="宋体"/>
          <w:color w:val="000000"/>
          <w:kern w:val="0"/>
          <w:sz w:val="24"/>
          <w:lang w:eastAsia="zh-CN"/>
        </w:rPr>
        <w:t>中标人</w:t>
      </w:r>
      <w:r>
        <w:rPr>
          <w:rFonts w:hint="eastAsia" w:ascii="宋体" w:hAnsi="宋体" w:cs="宋体"/>
          <w:color w:val="000000"/>
          <w:kern w:val="0"/>
          <w:sz w:val="24"/>
        </w:rPr>
        <w:t>，由中标人承担举证责任。</w:t>
      </w:r>
    </w:p>
    <w:p w14:paraId="771C060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E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2025-07-17T01:40:09Z</dcterms:created>
  <dc:creator>Administrator</dc:creator>
  <cp:lastModifiedBy>10674</cp:lastModifiedBy>
  <dcterms:modified xsi:type="dcterms:W3CDTF">2025-07-17T01:41:29Z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286B1CBD85C544CDA3FC782437F6FFFE_12</vt:lpwstr>
  </property>
</Properties>
</file>