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C23E0">
      <w:pPr>
        <w:pStyle w:val="2"/>
        <w:tabs>
          <w:tab w:val="left" w:pos="1630"/>
        </w:tabs>
        <w:spacing w:line="460" w:lineRule="exact"/>
        <w:ind w:left="8"/>
        <w:jc w:val="center"/>
        <w:rPr>
          <w:color w:val="auto"/>
          <w:sz w:val="33"/>
          <w:highlight w:val="none"/>
        </w:rPr>
      </w:pPr>
      <w:bookmarkStart w:id="6" w:name="_GoBack"/>
      <w:bookmarkEnd w:id="6"/>
      <w:bookmarkStart w:id="0" w:name="_Toc14668"/>
      <w:bookmarkStart w:id="1" w:name="_Toc24507"/>
      <w:r>
        <w:rPr>
          <w:rFonts w:hint="eastAsia"/>
          <w:b/>
          <w:bCs/>
          <w:color w:val="auto"/>
          <w:highlight w:val="none"/>
          <w:lang w:eastAsia="zh-CN"/>
        </w:rPr>
        <w:t xml:space="preserve">  </w:t>
      </w:r>
      <w:r>
        <w:rPr>
          <w:b/>
          <w:bCs/>
          <w:color w:val="auto"/>
          <w:highlight w:val="none"/>
        </w:rPr>
        <w:t>采购需求</w:t>
      </w:r>
      <w:bookmarkEnd w:id="0"/>
      <w:bookmarkEnd w:id="1"/>
    </w:p>
    <w:p w14:paraId="6EA5B7CB">
      <w:pPr>
        <w:pStyle w:val="3"/>
        <w:keepNext w:val="0"/>
        <w:keepLines w:val="0"/>
        <w:pageBreakBefore w:val="0"/>
        <w:widowControl w:val="0"/>
        <w:kinsoku/>
        <w:wordWrap/>
        <w:overflowPunct/>
        <w:topLinePunct w:val="0"/>
        <w:autoSpaceDE w:val="0"/>
        <w:autoSpaceDN w:val="0"/>
        <w:bidi w:val="0"/>
        <w:adjustRightInd/>
        <w:snapToGrid/>
        <w:spacing w:before="1"/>
        <w:ind w:left="0"/>
        <w:textAlignment w:val="auto"/>
        <w:rPr>
          <w:b/>
          <w:bCs/>
          <w:color w:val="auto"/>
          <w:highlight w:val="none"/>
        </w:rPr>
      </w:pPr>
      <w:r>
        <w:rPr>
          <w:b/>
          <w:bCs/>
          <w:color w:val="auto"/>
          <w:highlight w:val="none"/>
        </w:rPr>
        <w:t>一、采购标的</w:t>
      </w:r>
    </w:p>
    <w:p w14:paraId="4AA19D19">
      <w:pPr>
        <w:pStyle w:val="11"/>
        <w:tabs>
          <w:tab w:val="left" w:pos="470"/>
          <w:tab w:val="left" w:pos="7040"/>
        </w:tabs>
        <w:spacing w:before="154" w:line="338" w:lineRule="auto"/>
        <w:ind w:left="121" w:right="1830" w:firstLine="269" w:firstLineChars="100"/>
        <w:rPr>
          <w:color w:val="auto"/>
          <w:sz w:val="24"/>
          <w:highlight w:val="none"/>
          <w:lang w:eastAsia="zh-CN"/>
        </w:rPr>
      </w:pPr>
      <w:r>
        <w:rPr>
          <w:rFonts w:ascii="Arial" w:hAnsi="Arial" w:eastAsia="Arial" w:cs="Arial"/>
          <w:color w:val="auto"/>
          <w:spacing w:val="-2"/>
          <w:w w:val="114"/>
          <w:sz w:val="24"/>
          <w:szCs w:val="24"/>
          <w:highlight w:val="none"/>
          <w:lang w:eastAsia="zh-CN"/>
        </w:rPr>
        <w:t>1.</w:t>
      </w:r>
      <w:r>
        <w:rPr>
          <w:color w:val="auto"/>
          <w:sz w:val="24"/>
          <w:highlight w:val="none"/>
          <w:lang w:eastAsia="zh-CN"/>
        </w:rPr>
        <w:t xml:space="preserve">采购标的（货物需求一览表或简要服务内容及数量） </w:t>
      </w:r>
    </w:p>
    <w:tbl>
      <w:tblPr>
        <w:tblStyle w:val="7"/>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39"/>
        <w:gridCol w:w="2872"/>
        <w:gridCol w:w="1472"/>
        <w:gridCol w:w="1725"/>
      </w:tblGrid>
      <w:tr w14:paraId="760A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807" w:type="dxa"/>
            <w:vAlign w:val="center"/>
          </w:tcPr>
          <w:p w14:paraId="26FC8350">
            <w:pPr>
              <w:jc w:val="center"/>
              <w:rPr>
                <w:b/>
                <w:bCs/>
                <w:color w:val="auto"/>
                <w:sz w:val="24"/>
                <w:highlight w:val="none"/>
              </w:rPr>
            </w:pPr>
            <w:r>
              <w:rPr>
                <w:rFonts w:hint="eastAsia"/>
                <w:b/>
                <w:bCs/>
                <w:color w:val="auto"/>
                <w:sz w:val="24"/>
                <w:highlight w:val="none"/>
              </w:rPr>
              <w:t>包号</w:t>
            </w:r>
          </w:p>
        </w:tc>
        <w:tc>
          <w:tcPr>
            <w:tcW w:w="1039" w:type="dxa"/>
            <w:vAlign w:val="center"/>
          </w:tcPr>
          <w:p w14:paraId="4DD2B651">
            <w:pPr>
              <w:widowControl/>
              <w:jc w:val="center"/>
              <w:rPr>
                <w:rFonts w:hint="eastAsia" w:eastAsia="宋体"/>
                <w:b/>
                <w:bCs/>
                <w:color w:val="auto"/>
                <w:sz w:val="24"/>
                <w:highlight w:val="none"/>
                <w:lang w:val="en-US" w:eastAsia="zh-CN"/>
              </w:rPr>
            </w:pPr>
            <w:r>
              <w:rPr>
                <w:rFonts w:hint="eastAsia"/>
                <w:b/>
                <w:bCs/>
                <w:color w:val="auto"/>
                <w:sz w:val="24"/>
                <w:highlight w:val="none"/>
                <w:lang w:val="en-US" w:eastAsia="zh-CN"/>
              </w:rPr>
              <w:t>品目号</w:t>
            </w:r>
          </w:p>
        </w:tc>
        <w:tc>
          <w:tcPr>
            <w:tcW w:w="2872" w:type="dxa"/>
            <w:vAlign w:val="center"/>
          </w:tcPr>
          <w:p w14:paraId="7EC1DF30">
            <w:pPr>
              <w:widowControl/>
              <w:jc w:val="center"/>
              <w:rPr>
                <w:b/>
                <w:bCs/>
                <w:color w:val="auto"/>
                <w:sz w:val="24"/>
                <w:highlight w:val="none"/>
              </w:rPr>
            </w:pPr>
            <w:r>
              <w:rPr>
                <w:rFonts w:hint="eastAsia"/>
                <w:b/>
                <w:bCs/>
                <w:color w:val="auto"/>
                <w:sz w:val="24"/>
                <w:highlight w:val="none"/>
              </w:rPr>
              <w:t>采购内容</w:t>
            </w:r>
          </w:p>
        </w:tc>
        <w:tc>
          <w:tcPr>
            <w:tcW w:w="1472" w:type="dxa"/>
            <w:vAlign w:val="center"/>
          </w:tcPr>
          <w:p w14:paraId="05255B4E">
            <w:pPr>
              <w:widowControl/>
              <w:jc w:val="center"/>
              <w:rPr>
                <w:b/>
                <w:bCs/>
                <w:color w:val="auto"/>
                <w:sz w:val="24"/>
                <w:highlight w:val="none"/>
              </w:rPr>
            </w:pPr>
            <w:r>
              <w:rPr>
                <w:rFonts w:hint="eastAsia"/>
                <w:b/>
                <w:bCs/>
                <w:color w:val="auto"/>
                <w:sz w:val="24"/>
                <w:highlight w:val="none"/>
              </w:rPr>
              <w:t>数量</w:t>
            </w:r>
          </w:p>
          <w:p w14:paraId="42102FC9">
            <w:pPr>
              <w:widowControl/>
              <w:jc w:val="center"/>
              <w:rPr>
                <w:b/>
                <w:bCs/>
                <w:color w:val="auto"/>
                <w:sz w:val="24"/>
                <w:highlight w:val="none"/>
                <w:lang w:eastAsia="zh-CN"/>
              </w:rPr>
            </w:pPr>
            <w:r>
              <w:rPr>
                <w:rFonts w:hint="eastAsia"/>
                <w:b/>
                <w:bCs/>
                <w:color w:val="auto"/>
                <w:sz w:val="24"/>
                <w:highlight w:val="none"/>
                <w:lang w:eastAsia="zh-CN"/>
              </w:rPr>
              <w:t>（台/套）</w:t>
            </w:r>
          </w:p>
        </w:tc>
        <w:tc>
          <w:tcPr>
            <w:tcW w:w="1725" w:type="dxa"/>
            <w:vAlign w:val="center"/>
          </w:tcPr>
          <w:p w14:paraId="7912DC33">
            <w:pPr>
              <w:widowControl/>
              <w:jc w:val="center"/>
              <w:rPr>
                <w:b/>
                <w:bCs/>
                <w:color w:val="auto"/>
                <w:sz w:val="24"/>
                <w:highlight w:val="none"/>
                <w:lang w:eastAsia="zh-CN"/>
              </w:rPr>
            </w:pPr>
            <w:r>
              <w:rPr>
                <w:rFonts w:hint="eastAsia"/>
                <w:b/>
                <w:bCs/>
                <w:color w:val="auto"/>
                <w:sz w:val="24"/>
                <w:highlight w:val="none"/>
                <w:lang w:eastAsia="zh-CN"/>
              </w:rPr>
              <w:t>是否允许采购进口产品</w:t>
            </w:r>
          </w:p>
        </w:tc>
      </w:tr>
      <w:tr w14:paraId="1646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7" w:type="dxa"/>
            <w:vAlign w:val="center"/>
          </w:tcPr>
          <w:p w14:paraId="0F8C88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39" w:type="dxa"/>
            <w:vAlign w:val="center"/>
          </w:tcPr>
          <w:p w14:paraId="0850DB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872" w:type="dxa"/>
            <w:vAlign w:val="center"/>
          </w:tcPr>
          <w:p w14:paraId="348DCE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专病影像数据库教学培训系统</w:t>
            </w:r>
          </w:p>
        </w:tc>
        <w:tc>
          <w:tcPr>
            <w:tcW w:w="1472" w:type="dxa"/>
            <w:vAlign w:val="center"/>
          </w:tcPr>
          <w:p w14:paraId="044D9B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25" w:type="dxa"/>
            <w:vAlign w:val="center"/>
          </w:tcPr>
          <w:p w14:paraId="6A80AF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bl>
    <w:p w14:paraId="1B59C244">
      <w:pPr>
        <w:pStyle w:val="12"/>
        <w:numPr>
          <w:ilvl w:val="0"/>
          <w:numId w:val="0"/>
        </w:numPr>
        <w:spacing w:line="360" w:lineRule="auto"/>
        <w:ind w:left="500" w:leftChars="0" w:hanging="500" w:firstLineChars="0"/>
        <w:contextualSpacing/>
        <w:rPr>
          <w:rFonts w:ascii="Times New Roman" w:hAnsi="Times New Roman"/>
          <w:b/>
          <w:color w:val="auto"/>
          <w:sz w:val="24"/>
          <w:szCs w:val="24"/>
          <w:highlight w:val="none"/>
        </w:rPr>
      </w:pPr>
      <w:r>
        <w:rPr>
          <w:rFonts w:hint="eastAsia" w:cs="Times New Roman"/>
          <w:b/>
          <w:color w:val="auto"/>
          <w:kern w:val="2"/>
          <w:sz w:val="24"/>
          <w:szCs w:val="24"/>
          <w:highlight w:val="none"/>
          <w:lang w:val="en-US" w:eastAsia="zh-CN" w:bidi="ar-SA"/>
        </w:rPr>
        <w:t>二</w:t>
      </w:r>
      <w:r>
        <w:rPr>
          <w:rFonts w:hint="default" w:ascii="Times New Roman" w:hAnsi="Times New Roman" w:eastAsia="宋体" w:cs="Times New Roman"/>
          <w:b/>
          <w:color w:val="auto"/>
          <w:kern w:val="2"/>
          <w:sz w:val="24"/>
          <w:szCs w:val="24"/>
          <w:highlight w:val="none"/>
          <w:lang w:val="en-US" w:eastAsia="zh-CN" w:bidi="ar-SA"/>
        </w:rPr>
        <w:t>、</w:t>
      </w:r>
      <w:r>
        <w:rPr>
          <w:rFonts w:ascii="Times New Roman" w:hAnsi="Times New Roman"/>
          <w:b/>
          <w:color w:val="auto"/>
          <w:sz w:val="24"/>
          <w:szCs w:val="24"/>
          <w:highlight w:val="none"/>
        </w:rPr>
        <w:t>商务要求</w:t>
      </w:r>
    </w:p>
    <w:p w14:paraId="6A491B89">
      <w:pPr>
        <w:spacing w:line="360" w:lineRule="auto"/>
        <w:contextualSpacing/>
        <w:rPr>
          <w:rFonts w:hint="eastAsia" w:ascii="宋体" w:hAnsi="宋体" w:eastAsia="宋体" w:cs="宋体"/>
          <w:b w:val="0"/>
          <w:color w:val="auto"/>
          <w:kern w:val="2"/>
          <w:sz w:val="24"/>
          <w:szCs w:val="24"/>
          <w:highlight w:val="none"/>
          <w:lang w:val="en-US" w:eastAsia="zh-CN" w:bidi="ar-SA"/>
        </w:rPr>
      </w:pPr>
      <w:r>
        <w:rPr>
          <w:rFonts w:ascii="Segoe UI Symbol" w:hAnsi="Segoe UI Symbol" w:cs="Segoe UI Symbol"/>
          <w:color w:val="auto"/>
          <w:kern w:val="0"/>
          <w:sz w:val="24"/>
          <w:highlight w:val="none"/>
        </w:rPr>
        <w:t>★</w:t>
      </w:r>
      <w:r>
        <w:rPr>
          <w:color w:val="auto"/>
          <w:sz w:val="24"/>
          <w:highlight w:val="none"/>
        </w:rPr>
        <w:t>1.</w:t>
      </w:r>
      <w:r>
        <w:rPr>
          <w:rFonts w:hint="eastAsia" w:ascii="宋体" w:hAnsi="宋体" w:eastAsia="宋体" w:cs="宋体"/>
          <w:b w:val="0"/>
          <w:color w:val="auto"/>
          <w:kern w:val="2"/>
          <w:sz w:val="24"/>
          <w:szCs w:val="24"/>
          <w:highlight w:val="none"/>
          <w:lang w:val="en-US" w:eastAsia="zh-CN" w:bidi="ar-SA"/>
        </w:rPr>
        <w:t xml:space="preserve"> 实施的期限和地点</w:t>
      </w:r>
    </w:p>
    <w:p w14:paraId="06E70A82">
      <w:pPr>
        <w:pStyle w:val="6"/>
        <w:spacing w:line="360" w:lineRule="auto"/>
        <w:jc w:val="both"/>
        <w:outlineLvl w:val="9"/>
        <w:rPr>
          <w:rFonts w:hint="default" w:ascii="宋体" w:hAnsi="宋体" w:eastAsia="宋体" w:cs="宋体"/>
          <w:b w:val="0"/>
          <w:color w:val="auto"/>
          <w:kern w:val="2"/>
          <w:sz w:val="24"/>
          <w:szCs w:val="24"/>
          <w:highlight w:val="none"/>
          <w:u w:val="single"/>
          <w:lang w:val="en-US" w:eastAsia="zh-CN" w:bidi="ar-SA"/>
        </w:rPr>
      </w:pPr>
      <w:bookmarkStart w:id="2" w:name="_Toc30905"/>
      <w:bookmarkStart w:id="3" w:name="_Toc24426"/>
      <w:r>
        <w:rPr>
          <w:rFonts w:hint="eastAsia" w:ascii="宋体" w:hAnsi="宋体" w:eastAsia="宋体" w:cs="宋体"/>
          <w:b w:val="0"/>
          <w:color w:val="auto"/>
          <w:kern w:val="2"/>
          <w:sz w:val="24"/>
          <w:szCs w:val="24"/>
          <w:highlight w:val="none"/>
          <w:lang w:val="en-US" w:eastAsia="zh-CN" w:bidi="ar-SA"/>
        </w:rPr>
        <w:t>1.1采购项目（标的）实施的时间：</w:t>
      </w:r>
      <w:bookmarkEnd w:id="2"/>
      <w:bookmarkEnd w:id="3"/>
      <w:r>
        <w:rPr>
          <w:rFonts w:hint="eastAsia" w:ascii="宋体" w:hAnsi="宋体" w:eastAsia="宋体" w:cs="宋体"/>
          <w:b w:val="0"/>
          <w:color w:val="auto"/>
          <w:kern w:val="2"/>
          <w:sz w:val="24"/>
          <w:szCs w:val="24"/>
          <w:highlight w:val="none"/>
          <w:lang w:val="en-US" w:eastAsia="zh-CN" w:bidi="ar-SA"/>
        </w:rPr>
        <w:t>合同签订后</w:t>
      </w:r>
      <w:r>
        <w:rPr>
          <w:rFonts w:hint="eastAsia" w:cs="宋体"/>
          <w:b w:val="0"/>
          <w:color w:val="auto"/>
          <w:kern w:val="2"/>
          <w:sz w:val="24"/>
          <w:szCs w:val="24"/>
          <w:highlight w:val="none"/>
          <w:u w:val="none"/>
          <w:lang w:val="en-US" w:eastAsia="zh-CN" w:bidi="ar-SA"/>
        </w:rPr>
        <w:t>30</w:t>
      </w:r>
      <w:r>
        <w:rPr>
          <w:rFonts w:hint="eastAsia" w:cs="宋体"/>
          <w:b w:val="0"/>
          <w:color w:val="auto"/>
          <w:kern w:val="2"/>
          <w:sz w:val="24"/>
          <w:szCs w:val="24"/>
          <w:highlight w:val="none"/>
          <w:lang w:val="en-US" w:eastAsia="zh-CN" w:bidi="ar-SA"/>
        </w:rPr>
        <w:t>日</w:t>
      </w:r>
      <w:r>
        <w:rPr>
          <w:rFonts w:hint="eastAsia" w:ascii="宋体" w:hAnsi="宋体" w:eastAsia="宋体" w:cs="宋体"/>
          <w:b w:val="0"/>
          <w:color w:val="auto"/>
          <w:kern w:val="2"/>
          <w:sz w:val="24"/>
          <w:szCs w:val="24"/>
          <w:highlight w:val="none"/>
          <w:lang w:val="en-US" w:eastAsia="zh-CN" w:bidi="ar-SA"/>
        </w:rPr>
        <w:t>内</w:t>
      </w:r>
    </w:p>
    <w:p w14:paraId="34A73F40">
      <w:pPr>
        <w:pStyle w:val="6"/>
        <w:tabs>
          <w:tab w:val="left" w:pos="0"/>
        </w:tabs>
        <w:spacing w:line="360" w:lineRule="auto"/>
        <w:jc w:val="both"/>
        <w:outlineLvl w:val="9"/>
        <w:rPr>
          <w:rFonts w:hint="eastAsia" w:ascii="宋体" w:hAnsi="宋体" w:eastAsia="宋体" w:cs="宋体"/>
          <w:b w:val="0"/>
          <w:color w:val="auto"/>
          <w:kern w:val="2"/>
          <w:sz w:val="24"/>
          <w:szCs w:val="24"/>
          <w:highlight w:val="none"/>
          <w:lang w:val="en-US" w:eastAsia="zh-CN" w:bidi="ar-SA"/>
        </w:rPr>
      </w:pPr>
      <w:bookmarkStart w:id="4" w:name="_Toc31467"/>
      <w:bookmarkStart w:id="5" w:name="_Toc24878"/>
      <w:r>
        <w:rPr>
          <w:rFonts w:hint="eastAsia" w:ascii="宋体" w:hAnsi="宋体" w:eastAsia="宋体" w:cs="宋体"/>
          <w:b w:val="0"/>
          <w:color w:val="auto"/>
          <w:kern w:val="2"/>
          <w:sz w:val="24"/>
          <w:szCs w:val="24"/>
          <w:highlight w:val="none"/>
          <w:lang w:val="en-US" w:eastAsia="zh-CN" w:bidi="ar-SA"/>
        </w:rPr>
        <w:t>1.2采购项目（标的）实施的地点：</w:t>
      </w:r>
      <w:r>
        <w:rPr>
          <w:rFonts w:hint="eastAsia" w:cs="宋体"/>
          <w:b w:val="0"/>
          <w:color w:val="auto"/>
          <w:kern w:val="2"/>
          <w:sz w:val="24"/>
          <w:szCs w:val="24"/>
          <w:highlight w:val="none"/>
          <w:lang w:val="en-US" w:eastAsia="zh-CN" w:bidi="ar-SA"/>
        </w:rPr>
        <w:t>首都医科大学附属北京胸科医院</w:t>
      </w:r>
      <w:r>
        <w:rPr>
          <w:rFonts w:hint="eastAsia" w:ascii="宋体" w:hAnsi="宋体" w:eastAsia="宋体" w:cs="宋体"/>
          <w:b w:val="0"/>
          <w:color w:val="auto"/>
          <w:kern w:val="2"/>
          <w:sz w:val="24"/>
          <w:szCs w:val="24"/>
          <w:highlight w:val="none"/>
          <w:lang w:val="en-US" w:eastAsia="zh-CN" w:bidi="ar-SA"/>
        </w:rPr>
        <w:t>指定地点</w:t>
      </w:r>
      <w:bookmarkEnd w:id="4"/>
      <w:bookmarkEnd w:id="5"/>
    </w:p>
    <w:p w14:paraId="5DEFDBA6">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2.付款条件（进度和方式）</w:t>
      </w:r>
    </w:p>
    <w:p w14:paraId="08459F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rFonts w:hint="eastAsia"/>
          <w:color w:val="auto"/>
          <w:sz w:val="24"/>
          <w:highlight w:val="none"/>
          <w:lang w:val="en-US" w:eastAsia="zh-CN"/>
        </w:rPr>
        <w:t>以最终合同签订为准</w:t>
      </w:r>
    </w:p>
    <w:p w14:paraId="2E9FED22">
      <w:pPr>
        <w:spacing w:line="360" w:lineRule="auto"/>
        <w:contextualSpacing/>
        <w:rPr>
          <w:color w:val="auto"/>
          <w:sz w:val="24"/>
          <w:highlight w:val="none"/>
        </w:rPr>
      </w:pPr>
      <w:r>
        <w:rPr>
          <w:color w:val="auto"/>
          <w:sz w:val="24"/>
          <w:highlight w:val="none"/>
        </w:rPr>
        <w:t>3.包装和运输（如适用，须满足《关于印发〈商品包装政府采购需求标准（试行）〉、〈快递包装政府采购需求标准（试行）〉的通知》（财办库﹝2020﹞123号））</w:t>
      </w:r>
    </w:p>
    <w:p w14:paraId="035F8F77">
      <w:pPr>
        <w:spacing w:line="360" w:lineRule="auto"/>
        <w:ind w:left="240" w:hanging="240" w:hangingChars="100"/>
        <w:contextualSpacing/>
        <w:rPr>
          <w:rFonts w:hint="default" w:eastAsia="宋体"/>
          <w:color w:val="auto"/>
          <w:sz w:val="24"/>
          <w:highlight w:val="none"/>
          <w:lang w:val="en-US" w:eastAsia="zh-CN"/>
        </w:rPr>
      </w:pPr>
      <w:r>
        <w:rPr>
          <w:color w:val="auto"/>
          <w:sz w:val="24"/>
          <w:highlight w:val="none"/>
        </w:rPr>
        <w:t>4.售后服务（质保期）</w:t>
      </w:r>
      <w:r>
        <w:rPr>
          <w:rFonts w:hint="eastAsia"/>
          <w:color w:val="auto"/>
          <w:sz w:val="24"/>
          <w:highlight w:val="none"/>
          <w:lang w:eastAsia="zh-CN"/>
        </w:rPr>
        <w:t>：</w:t>
      </w:r>
      <w:r>
        <w:rPr>
          <w:rFonts w:hint="eastAsia"/>
          <w:color w:val="auto"/>
          <w:sz w:val="24"/>
          <w:highlight w:val="none"/>
          <w:lang w:val="en-US" w:eastAsia="zh-CN"/>
        </w:rPr>
        <w:t>品目1-1</w:t>
      </w:r>
      <w:r>
        <w:rPr>
          <w:rFonts w:hint="eastAsia" w:ascii="宋体" w:hAnsi="宋体" w:eastAsia="宋体" w:cs="宋体"/>
          <w:i w:val="0"/>
          <w:iCs w:val="0"/>
          <w:color w:val="auto"/>
          <w:kern w:val="0"/>
          <w:sz w:val="24"/>
          <w:szCs w:val="24"/>
          <w:highlight w:val="none"/>
          <w:u w:val="none"/>
          <w:lang w:val="en-US" w:eastAsia="zh-CN" w:bidi="ar"/>
        </w:rPr>
        <w:t>专病影像数据库教学培训系统</w:t>
      </w:r>
      <w:r>
        <w:rPr>
          <w:rFonts w:hint="eastAsia"/>
          <w:color w:val="auto"/>
          <w:sz w:val="24"/>
          <w:highlight w:val="none"/>
          <w:lang w:val="en-US" w:eastAsia="zh-CN"/>
        </w:rPr>
        <w:t>安装验收合格之日起至少5年。</w:t>
      </w:r>
    </w:p>
    <w:p w14:paraId="5910D6CB">
      <w:pPr>
        <w:pStyle w:val="12"/>
        <w:numPr>
          <w:ilvl w:val="0"/>
          <w:numId w:val="0"/>
        </w:numPr>
        <w:spacing w:line="360" w:lineRule="auto"/>
        <w:ind w:left="500" w:leftChars="0" w:hanging="500" w:firstLineChars="0"/>
        <w:contextualSpacing/>
        <w:rPr>
          <w:rFonts w:ascii="Times New Roman" w:hAnsi="Times New Roman"/>
          <w:b/>
          <w:color w:val="auto"/>
          <w:sz w:val="24"/>
          <w:szCs w:val="24"/>
          <w:highlight w:val="none"/>
        </w:rPr>
      </w:pPr>
      <w:r>
        <w:rPr>
          <w:rFonts w:hint="eastAsia" w:cs="Times New Roman"/>
          <w:b/>
          <w:color w:val="auto"/>
          <w:kern w:val="2"/>
          <w:sz w:val="24"/>
          <w:szCs w:val="24"/>
          <w:highlight w:val="none"/>
          <w:lang w:val="en-US" w:eastAsia="zh-CN" w:bidi="ar-SA"/>
        </w:rPr>
        <w:t>三</w:t>
      </w:r>
      <w:r>
        <w:rPr>
          <w:rFonts w:hint="default" w:ascii="Times New Roman" w:hAnsi="Times New Roman" w:eastAsia="宋体" w:cs="Times New Roman"/>
          <w:b/>
          <w:color w:val="auto"/>
          <w:kern w:val="2"/>
          <w:sz w:val="24"/>
          <w:szCs w:val="24"/>
          <w:highlight w:val="none"/>
          <w:lang w:val="en-US" w:eastAsia="zh-CN" w:bidi="ar-SA"/>
        </w:rPr>
        <w:t>、</w:t>
      </w:r>
      <w:r>
        <w:rPr>
          <w:rFonts w:ascii="Times New Roman" w:hAnsi="Times New Roman"/>
          <w:b/>
          <w:color w:val="auto"/>
          <w:sz w:val="24"/>
          <w:szCs w:val="24"/>
          <w:highlight w:val="none"/>
        </w:rPr>
        <w:t>技术要求</w:t>
      </w:r>
    </w:p>
    <w:p w14:paraId="57D9F894">
      <w:pPr>
        <w:spacing w:line="360" w:lineRule="auto"/>
        <w:contextualSpacing/>
        <w:rPr>
          <w:color w:val="auto"/>
          <w:sz w:val="24"/>
          <w:highlight w:val="none"/>
        </w:rPr>
      </w:pPr>
      <w:r>
        <w:rPr>
          <w:color w:val="auto"/>
          <w:sz w:val="24"/>
          <w:highlight w:val="none"/>
        </w:rPr>
        <w:t>1. 基本要求</w:t>
      </w:r>
    </w:p>
    <w:p w14:paraId="7975F9C7">
      <w:pPr>
        <w:spacing w:line="360" w:lineRule="auto"/>
        <w:contextualSpacing/>
        <w:rPr>
          <w:color w:val="auto"/>
          <w:sz w:val="24"/>
          <w:highlight w:val="none"/>
        </w:rPr>
      </w:pPr>
      <w:r>
        <w:rPr>
          <w:color w:val="auto"/>
          <w:sz w:val="24"/>
          <w:highlight w:val="none"/>
        </w:rPr>
        <w:t>1.1 采购标的需实现的功能或者目标</w:t>
      </w:r>
    </w:p>
    <w:p w14:paraId="6D3FC10C">
      <w:pPr>
        <w:autoSpaceDE w:val="0"/>
        <w:autoSpaceDN w:val="0"/>
        <w:adjustRightInd w:val="0"/>
        <w:spacing w:before="5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本次招标采购是为</w:t>
      </w:r>
      <w:r>
        <w:rPr>
          <w:rFonts w:hint="eastAsia" w:cs="宋体"/>
          <w:b w:val="0"/>
          <w:color w:val="auto"/>
          <w:kern w:val="2"/>
          <w:sz w:val="24"/>
          <w:szCs w:val="24"/>
          <w:highlight w:val="none"/>
          <w:lang w:val="en-US" w:eastAsia="zh-CN" w:bidi="ar-SA"/>
        </w:rPr>
        <w:t>首都医科大学附属北京胸科医院</w:t>
      </w:r>
      <w:r>
        <w:rPr>
          <w:rFonts w:hint="eastAsia" w:ascii="宋体" w:hAnsi="宋体" w:cs="宋体"/>
          <w:color w:val="auto"/>
          <w:sz w:val="24"/>
          <w:highlight w:val="none"/>
        </w:rPr>
        <w:t>配置</w:t>
      </w:r>
      <w:r>
        <w:rPr>
          <w:rFonts w:hint="eastAsia" w:ascii="Arial Regular" w:hAnsi="Arial Regular" w:cs="Arial Regular"/>
          <w:bCs/>
          <w:color w:val="auto"/>
          <w:sz w:val="24"/>
          <w:szCs w:val="24"/>
          <w:highlight w:val="none"/>
          <w:lang w:val="en-US" w:eastAsia="zh-CN"/>
        </w:rPr>
        <w:t>基本设备</w:t>
      </w:r>
      <w:r>
        <w:rPr>
          <w:rFonts w:hint="eastAsia" w:ascii="宋体" w:hAnsi="宋体" w:cs="宋体"/>
          <w:color w:val="auto"/>
          <w:sz w:val="24"/>
          <w:highlight w:val="none"/>
        </w:rPr>
        <w:t>，供应商应根据招标文件所提出的技术规格和服务要求，综合考虑所投货物的适用性，选择需要最佳性能价格比的货物前来投标。供应商应以先进的技术、优良的服务和优惠的价格，充分显示自己的竞争实力。</w:t>
      </w:r>
    </w:p>
    <w:p w14:paraId="5C4E8D7E">
      <w:pPr>
        <w:spacing w:line="360" w:lineRule="auto"/>
        <w:contextualSpacing/>
        <w:rPr>
          <w:color w:val="auto"/>
          <w:sz w:val="24"/>
          <w:highlight w:val="none"/>
        </w:rPr>
      </w:pPr>
      <w:r>
        <w:rPr>
          <w:color w:val="auto"/>
          <w:sz w:val="24"/>
          <w:highlight w:val="none"/>
        </w:rPr>
        <w:t>1.2 需执行的国家相关标准、行业标准、地方标准或者其他标准、规范</w:t>
      </w:r>
    </w:p>
    <w:p w14:paraId="277D6336">
      <w:pPr>
        <w:spacing w:before="120" w:line="360" w:lineRule="auto"/>
        <w:rPr>
          <w:color w:val="auto"/>
          <w:sz w:val="24"/>
          <w:highlight w:val="none"/>
        </w:rPr>
      </w:pPr>
      <w:r>
        <w:rPr>
          <w:rFonts w:hint="eastAsia" w:ascii="宋体" w:hAnsi="宋体" w:cs="宋体"/>
          <w:bCs/>
          <w:color w:val="auto"/>
          <w:sz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00C82D5B">
      <w:pPr>
        <w:tabs>
          <w:tab w:val="left" w:pos="900"/>
        </w:tabs>
        <w:spacing w:before="120" w:beforeLines="50"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采购标的的验收标准</w:t>
      </w:r>
    </w:p>
    <w:p w14:paraId="29F403B4">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3D08CCFD">
      <w:pPr>
        <w:keepNext w:val="0"/>
        <w:keepLines w:val="0"/>
        <w:pageBreakBefore w:val="0"/>
        <w:widowControl w:val="0"/>
        <w:tabs>
          <w:tab w:val="left" w:pos="900"/>
        </w:tabs>
        <w:kinsoku/>
        <w:wordWrap/>
        <w:overflowPunct/>
        <w:topLinePunct w:val="0"/>
        <w:autoSpaceDE/>
        <w:autoSpaceDN/>
        <w:bidi w:val="0"/>
        <w:adjustRightInd/>
        <w:snapToGrid/>
        <w:spacing w:line="360" w:lineRule="auto"/>
        <w:ind w:left="360" w:hanging="360" w:hangingChars="15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货物运抵采购项目（标的）交付的地点后，供货方和最终用户按投标技术参数和性能描述进行验收。</w:t>
      </w:r>
    </w:p>
    <w:p w14:paraId="24432F9B">
      <w:pPr>
        <w:keepNext w:val="0"/>
        <w:keepLines w:val="0"/>
        <w:pageBreakBefore w:val="0"/>
        <w:widowControl w:val="0"/>
        <w:tabs>
          <w:tab w:val="left" w:pos="900"/>
        </w:tabs>
        <w:kinsoku/>
        <w:wordWrap/>
        <w:overflowPunct/>
        <w:topLinePunct w:val="0"/>
        <w:autoSpaceDE/>
        <w:autoSpaceDN/>
        <w:bidi w:val="0"/>
        <w:adjustRightInd/>
        <w:snapToGrid/>
        <w:spacing w:line="360" w:lineRule="auto"/>
        <w:ind w:left="360" w:hanging="360" w:hangingChars="150"/>
        <w:textAlignment w:val="auto"/>
        <w:rPr>
          <w:color w:val="auto"/>
          <w:sz w:val="24"/>
          <w:highlight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应负责使所供计量仪器通过计量部门的验收，并承担相关费用（包括运费）。若需要，应在检测期间提供备用仪器，以便不影响采购人的使用。</w:t>
      </w:r>
    </w:p>
    <w:p w14:paraId="3D56A613">
      <w:pPr>
        <w:spacing w:line="360" w:lineRule="auto"/>
        <w:contextualSpacing/>
        <w:rPr>
          <w:color w:val="auto"/>
          <w:sz w:val="24"/>
          <w:highlight w:val="none"/>
        </w:rPr>
      </w:pPr>
      <w:r>
        <w:rPr>
          <w:rFonts w:hint="eastAsia"/>
          <w:color w:val="auto"/>
          <w:sz w:val="24"/>
          <w:highlight w:val="none"/>
          <w:lang w:val="en-US" w:eastAsia="zh-CN"/>
        </w:rPr>
        <w:t>3</w:t>
      </w:r>
      <w:r>
        <w:rPr>
          <w:color w:val="auto"/>
          <w:sz w:val="24"/>
          <w:highlight w:val="none"/>
        </w:rPr>
        <w:t>. 服务内容及要求/货物技术要求</w:t>
      </w:r>
    </w:p>
    <w:p w14:paraId="0F60F455">
      <w:pPr>
        <w:widowControl/>
        <w:spacing w:line="360" w:lineRule="auto"/>
        <w:ind w:left="-1" w:leftChars="0" w:firstLine="0" w:firstLineChars="0"/>
        <w:contextualSpacing/>
        <w:rPr>
          <w:color w:val="auto"/>
          <w:sz w:val="24"/>
          <w:highlight w:val="none"/>
        </w:rPr>
      </w:pPr>
      <w:r>
        <w:rPr>
          <w:rFonts w:hint="eastAsia"/>
          <w:color w:val="auto"/>
          <w:sz w:val="24"/>
          <w:highlight w:val="none"/>
          <w:lang w:val="en-US" w:eastAsia="zh-CN"/>
        </w:rPr>
        <w:t>3</w:t>
      </w:r>
      <w:r>
        <w:rPr>
          <w:color w:val="auto"/>
          <w:sz w:val="24"/>
          <w:highlight w:val="none"/>
        </w:rPr>
        <w:t>.1采购标的需满足的性能、材料、结构、外观、质量、安全、技术规格、物理特性等要求；</w:t>
      </w:r>
    </w:p>
    <w:p w14:paraId="6EF6A211">
      <w:pPr>
        <w:widowControl/>
        <w:spacing w:line="360" w:lineRule="auto"/>
        <w:ind w:firstLine="480" w:firstLineChars="200"/>
        <w:contextualSpacing/>
        <w:rPr>
          <w:color w:val="auto"/>
          <w:sz w:val="24"/>
          <w:highlight w:val="none"/>
        </w:rPr>
      </w:pPr>
      <w:r>
        <w:rPr>
          <w:rFonts w:hint="eastAsia"/>
          <w:color w:val="auto"/>
          <w:sz w:val="24"/>
          <w:highlight w:val="none"/>
          <w:lang w:val="en-US" w:eastAsia="zh-CN"/>
        </w:rPr>
        <w:t>详见</w:t>
      </w:r>
      <w:r>
        <w:rPr>
          <w:color w:val="auto"/>
          <w:sz w:val="24"/>
          <w:highlight w:val="none"/>
        </w:rPr>
        <w:t>其他技术、服务等要求</w:t>
      </w:r>
    </w:p>
    <w:p w14:paraId="5D1BADFD">
      <w:pPr>
        <w:widowControl/>
        <w:spacing w:line="360" w:lineRule="auto"/>
        <w:contextualSpacing/>
        <w:rPr>
          <w:rFonts w:ascii="Times New Roman" w:hAnsi="Times New Roman" w:eastAsia="宋体" w:cs="Times New Roman"/>
          <w:b w:val="0"/>
          <w:bCs w:val="0"/>
          <w:color w:val="auto"/>
          <w:sz w:val="24"/>
          <w:highlight w:val="none"/>
        </w:rPr>
      </w:pPr>
      <w:r>
        <w:rPr>
          <w:rFonts w:hint="eastAsia"/>
          <w:color w:val="auto"/>
          <w:sz w:val="24"/>
          <w:highlight w:val="none"/>
          <w:lang w:val="en-US" w:eastAsia="zh-CN"/>
        </w:rPr>
        <w:t>3</w:t>
      </w:r>
      <w:r>
        <w:rPr>
          <w:b w:val="0"/>
          <w:bCs w:val="0"/>
          <w:color w:val="auto"/>
          <w:sz w:val="24"/>
          <w:highlight w:val="none"/>
        </w:rPr>
        <w:t>.2采购标的</w:t>
      </w:r>
      <w:r>
        <w:rPr>
          <w:rFonts w:ascii="Times New Roman" w:hAnsi="Times New Roman" w:eastAsia="宋体" w:cs="Times New Roman"/>
          <w:b w:val="0"/>
          <w:bCs w:val="0"/>
          <w:color w:val="auto"/>
          <w:sz w:val="24"/>
          <w:highlight w:val="none"/>
        </w:rPr>
        <w:t>需满足的服务标准、期限、效率等要求；</w:t>
      </w:r>
    </w:p>
    <w:p w14:paraId="4A33CF8F">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）采购标的需满足的服务标准、效率要求</w:t>
      </w:r>
    </w:p>
    <w:p w14:paraId="39BE12AA">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供应商应有能力做好售后服务工作和提供技术保障。供应商或投标产品制造商应设有专业的售后服务维修机构，有充足的零件储备和能力相当的技术服务人员，并保证投标产品停产后</w:t>
      </w:r>
      <w:r>
        <w:rPr>
          <w:rFonts w:hint="eastAsia" w:ascii="宋体" w:hAnsi="宋体" w:cs="宋体"/>
          <w:b w:val="0"/>
          <w:bCs w:val="0"/>
          <w:color w:val="auto"/>
          <w:sz w:val="24"/>
          <w:highlight w:val="none"/>
          <w:u w:val="single"/>
        </w:rPr>
        <w:t>10</w:t>
      </w:r>
      <w:r>
        <w:rPr>
          <w:rFonts w:hint="eastAsia" w:ascii="宋体" w:hAnsi="宋体" w:cs="宋体"/>
          <w:b w:val="0"/>
          <w:bCs w:val="0"/>
          <w:color w:val="auto"/>
          <w:sz w:val="24"/>
          <w:highlight w:val="none"/>
        </w:rPr>
        <w:t>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6E75AB0B">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751B8E6C">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2EED991F">
      <w:pPr>
        <w:pStyle w:val="4"/>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供应商应负责投标货物质量保证期内的免费维修和配件供应，供应商售后服务维修机构应备有所购货物及时维修所需的关键零部件。</w:t>
      </w:r>
    </w:p>
    <w:p w14:paraId="2603F4EA">
      <w:pPr>
        <w:pStyle w:val="4"/>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供应商应保证在质量保证期内提供投标货物专用的软件和相应数据库资料的免费升级服务。（如果有）</w:t>
      </w:r>
    </w:p>
    <w:p w14:paraId="4EB235A6">
      <w:pPr>
        <w:pStyle w:val="4"/>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在合同执行期和质量保证期内，供应商应保证在收到要求提供维修服务的通知后1小时内给予反馈，24小时内派合格的技术人员赴现场提供免费服务，解决问题。如不能按采购人要求的时间予以修复，供应商应保证免费提供同类备用设备，供采购人使用。</w:t>
      </w:r>
    </w:p>
    <w:p w14:paraId="1847B774">
      <w:pPr>
        <w:pStyle w:val="4"/>
        <w:numPr>
          <w:ilvl w:val="0"/>
          <w:numId w:val="1"/>
        </w:numPr>
        <w:spacing w:before="50" w:line="360" w:lineRule="auto"/>
        <w:rPr>
          <w:rFonts w:hAnsi="宋体" w:cs="宋体"/>
          <w:b w:val="0"/>
          <w:bCs w:val="0"/>
          <w:color w:val="auto"/>
          <w:sz w:val="24"/>
          <w:szCs w:val="24"/>
          <w:highlight w:val="none"/>
        </w:rPr>
      </w:pPr>
      <w:r>
        <w:rPr>
          <w:rFonts w:hAnsi="宋体"/>
          <w:b w:val="0"/>
          <w:bCs w:val="0"/>
          <w:color w:val="auto"/>
          <w:sz w:val="24"/>
          <w:szCs w:val="24"/>
          <w:highlight w:val="none"/>
        </w:rPr>
        <w:t>货物运输符合的相关国际惯例，试剂、耗材运达所产生的费用由</w:t>
      </w:r>
      <w:r>
        <w:rPr>
          <w:rFonts w:hAnsi="宋体" w:cs="宋体"/>
          <w:b w:val="0"/>
          <w:bCs w:val="0"/>
          <w:color w:val="auto"/>
          <w:sz w:val="24"/>
          <w:szCs w:val="24"/>
          <w:highlight w:val="none"/>
        </w:rPr>
        <w:t>供应商</w:t>
      </w:r>
      <w:r>
        <w:rPr>
          <w:rFonts w:hAnsi="宋体"/>
          <w:b w:val="0"/>
          <w:bCs w:val="0"/>
          <w:color w:val="auto"/>
          <w:sz w:val="24"/>
          <w:szCs w:val="24"/>
          <w:highlight w:val="none"/>
        </w:rPr>
        <w:t>负责。运输途中的货物破损及损失风险由</w:t>
      </w:r>
      <w:r>
        <w:rPr>
          <w:rFonts w:hAnsi="宋体" w:cs="宋体"/>
          <w:b w:val="0"/>
          <w:bCs w:val="0"/>
          <w:color w:val="auto"/>
          <w:sz w:val="24"/>
          <w:szCs w:val="24"/>
          <w:highlight w:val="none"/>
        </w:rPr>
        <w:t>供应商</w:t>
      </w:r>
      <w:r>
        <w:rPr>
          <w:rFonts w:hAnsi="宋体"/>
          <w:b w:val="0"/>
          <w:bCs w:val="0"/>
          <w:color w:val="auto"/>
          <w:sz w:val="24"/>
          <w:szCs w:val="24"/>
          <w:highlight w:val="none"/>
        </w:rPr>
        <w:t>承担，</w:t>
      </w:r>
      <w:r>
        <w:rPr>
          <w:rFonts w:hAnsi="宋体" w:cs="宋体"/>
          <w:b w:val="0"/>
          <w:bCs w:val="0"/>
          <w:color w:val="auto"/>
          <w:sz w:val="24"/>
          <w:szCs w:val="24"/>
          <w:highlight w:val="none"/>
        </w:rPr>
        <w:t>供应商</w:t>
      </w:r>
      <w:r>
        <w:rPr>
          <w:rFonts w:hAnsi="宋体"/>
          <w:b w:val="0"/>
          <w:bCs w:val="0"/>
          <w:color w:val="auto"/>
          <w:sz w:val="24"/>
          <w:szCs w:val="24"/>
          <w:highlight w:val="none"/>
        </w:rPr>
        <w:t>承担运费。</w:t>
      </w:r>
    </w:p>
    <w:p w14:paraId="52C96F9D">
      <w:pPr>
        <w:tabs>
          <w:tab w:val="left" w:pos="900"/>
        </w:tabs>
        <w:spacing w:before="120" w:beforeLines="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）采购标的需满足的服务期限要求</w:t>
      </w:r>
    </w:p>
    <w:p w14:paraId="46AA41A2">
      <w:pPr>
        <w:pStyle w:val="4"/>
        <w:spacing w:before="50" w:line="360" w:lineRule="auto"/>
        <w:ind w:left="480" w:hanging="480" w:hangingChars="200"/>
        <w:rPr>
          <w:rFonts w:hAnsi="宋体"/>
          <w:b w:val="0"/>
          <w:bCs w:val="0"/>
          <w:color w:val="auto"/>
          <w:sz w:val="24"/>
          <w:szCs w:val="24"/>
          <w:highlight w:val="none"/>
        </w:rPr>
      </w:pPr>
      <w:r>
        <w:rPr>
          <w:rFonts w:hAnsi="宋体" w:cs="宋体"/>
          <w:b w:val="0"/>
          <w:bCs w:val="0"/>
          <w:color w:val="auto"/>
          <w:sz w:val="24"/>
          <w:szCs w:val="24"/>
          <w:highlight w:val="none"/>
        </w:rPr>
        <w:t xml:space="preserve">1.  </w:t>
      </w:r>
      <w:r>
        <w:rPr>
          <w:rFonts w:hAnsi="宋体"/>
          <w:b w:val="0"/>
          <w:bCs w:val="0"/>
          <w:color w:val="auto"/>
          <w:sz w:val="24"/>
          <w:szCs w:val="24"/>
          <w:highlight w:val="none"/>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5BE873C3">
      <w:pPr>
        <w:pStyle w:val="4"/>
        <w:spacing w:before="50" w:line="360" w:lineRule="auto"/>
        <w:ind w:left="502" w:leftChars="228"/>
        <w:rPr>
          <w:rFonts w:hAnsi="宋体" w:cs="宋体"/>
          <w:b w:val="0"/>
          <w:bCs w:val="0"/>
          <w:color w:val="auto"/>
          <w:sz w:val="24"/>
          <w:szCs w:val="24"/>
          <w:highlight w:val="none"/>
        </w:rPr>
      </w:pPr>
      <w:r>
        <w:rPr>
          <w:rFonts w:hAnsi="宋体"/>
          <w:b w:val="0"/>
          <w:bCs w:val="0"/>
          <w:color w:val="auto"/>
          <w:sz w:val="24"/>
          <w:szCs w:val="24"/>
          <w:highlight w:val="none"/>
        </w:rPr>
        <w:t>供应商应在质保期满前三个月对设备做全面保养及性能检测，并出具相应的报告。</w:t>
      </w:r>
      <w:r>
        <w:rPr>
          <w:rFonts w:hAnsi="宋体" w:cs="宋体"/>
          <w:b w:val="0"/>
          <w:bCs w:val="0"/>
          <w:color w:val="auto"/>
          <w:sz w:val="24"/>
          <w:szCs w:val="24"/>
          <w:highlight w:val="none"/>
        </w:rPr>
        <w:t>供应商和制造商需要同时提供包含上述质量保证期（保修期）及服务要求的承诺函并加盖单位公章。</w:t>
      </w:r>
    </w:p>
    <w:p w14:paraId="65C13798">
      <w:pPr>
        <w:pStyle w:val="4"/>
        <w:numPr>
          <w:ilvl w:val="0"/>
          <w:numId w:val="2"/>
        </w:numPr>
        <w:spacing w:line="360" w:lineRule="auto"/>
        <w:ind w:hanging="540"/>
        <w:rPr>
          <w:color w:val="auto"/>
          <w:sz w:val="24"/>
          <w:highlight w:val="none"/>
        </w:rPr>
      </w:pPr>
      <w:r>
        <w:rPr>
          <w:rFonts w:hAnsi="宋体" w:cs="宋体"/>
          <w:b w:val="0"/>
          <w:bCs w:val="0"/>
          <w:color w:val="auto"/>
          <w:sz w:val="24"/>
          <w:szCs w:val="24"/>
          <w:highlight w:val="none"/>
        </w:rPr>
        <w:t xml:space="preserve"> 须提供质量保证期（保修期）结束后，年度维保费用最高不超过合同金额</w:t>
      </w:r>
      <w:r>
        <w:rPr>
          <w:rFonts w:hAnsi="宋体" w:cs="宋体"/>
          <w:b w:val="0"/>
          <w:bCs w:val="0"/>
          <w:color w:val="auto"/>
          <w:sz w:val="24"/>
          <w:szCs w:val="24"/>
          <w:highlight w:val="none"/>
          <w:u w:val="single"/>
        </w:rPr>
        <w:t>6</w:t>
      </w:r>
      <w:r>
        <w:rPr>
          <w:rFonts w:hAnsi="宋体" w:cs="宋体"/>
          <w:b w:val="0"/>
          <w:bCs w:val="0"/>
          <w:color w:val="auto"/>
          <w:sz w:val="24"/>
          <w:szCs w:val="24"/>
          <w:highlight w:val="none"/>
        </w:rPr>
        <w:t>%的承诺函。并保证质量保证期结束后</w:t>
      </w:r>
      <w:r>
        <w:rPr>
          <w:rFonts w:hAnsi="宋体" w:cs="宋体"/>
          <w:b w:val="0"/>
          <w:bCs w:val="0"/>
          <w:color w:val="auto"/>
          <w:sz w:val="24"/>
          <w:szCs w:val="24"/>
          <w:highlight w:val="none"/>
          <w:u w:val="single"/>
        </w:rPr>
        <w:t>10</w:t>
      </w:r>
      <w:r>
        <w:rPr>
          <w:rFonts w:hAnsi="宋体" w:cs="宋体"/>
          <w:b w:val="0"/>
          <w:bCs w:val="0"/>
          <w:color w:val="auto"/>
          <w:sz w:val="24"/>
          <w:szCs w:val="24"/>
          <w:highlight w:val="none"/>
        </w:rPr>
        <w:t>年内所提供的备件不得涨价。保修费用应含维保工时费、零配件费用和软件维护、升级费用，服务内容和细则与免费维保期相同。</w:t>
      </w:r>
    </w:p>
    <w:p w14:paraId="6677B9E6">
      <w:pPr>
        <w:numPr>
          <w:ilvl w:val="0"/>
          <w:numId w:val="0"/>
        </w:numPr>
        <w:tabs>
          <w:tab w:val="left" w:pos="900"/>
        </w:tabs>
        <w:spacing w:before="120" w:beforeLines="50" w:line="480" w:lineRule="exact"/>
        <w:ind w:leftChars="0"/>
        <w:rPr>
          <w:color w:val="auto"/>
          <w:sz w:val="24"/>
          <w:highlight w:val="none"/>
        </w:rPr>
      </w:pPr>
      <w:r>
        <w:rPr>
          <w:rFonts w:hint="eastAsia"/>
          <w:color w:val="auto"/>
          <w:sz w:val="24"/>
          <w:highlight w:val="none"/>
          <w:lang w:val="en-US" w:eastAsia="zh-CN"/>
        </w:rPr>
        <w:t>3</w:t>
      </w:r>
      <w:r>
        <w:rPr>
          <w:color w:val="auto"/>
          <w:sz w:val="24"/>
          <w:highlight w:val="none"/>
        </w:rPr>
        <w:t>.3为落实政府采购政策需满足的要求；</w:t>
      </w:r>
    </w:p>
    <w:p w14:paraId="5353129E">
      <w:pPr>
        <w:numPr>
          <w:ilvl w:val="0"/>
          <w:numId w:val="0"/>
        </w:numPr>
        <w:tabs>
          <w:tab w:val="left" w:pos="900"/>
        </w:tabs>
        <w:spacing w:before="120" w:beforeLines="50" w:line="480" w:lineRule="exact"/>
        <w:ind w:leftChars="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452073B6">
      <w:pPr>
        <w:numPr>
          <w:ilvl w:val="0"/>
          <w:numId w:val="0"/>
        </w:numPr>
        <w:tabs>
          <w:tab w:val="left" w:pos="900"/>
        </w:tabs>
        <w:spacing w:before="120" w:beforeLines="50" w:line="480" w:lineRule="exact"/>
        <w:ind w:leftChars="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14:paraId="71233833">
      <w:pPr>
        <w:numPr>
          <w:ilvl w:val="0"/>
          <w:numId w:val="0"/>
        </w:numPr>
        <w:tabs>
          <w:tab w:val="left" w:pos="900"/>
        </w:tabs>
        <w:spacing w:before="120" w:beforeLines="50" w:line="480" w:lineRule="exact"/>
        <w:ind w:leftChars="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14:paraId="4DE5D497">
      <w:pPr>
        <w:numPr>
          <w:ilvl w:val="0"/>
          <w:numId w:val="0"/>
        </w:numPr>
        <w:tabs>
          <w:tab w:val="left" w:pos="900"/>
        </w:tabs>
        <w:spacing w:before="120" w:beforeLines="50" w:line="360" w:lineRule="auto"/>
        <w:ind w:leftChars="0"/>
        <w:rPr>
          <w:rFonts w:ascii="宋体" w:hAnsi="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14:paraId="7EF19403">
      <w:pPr>
        <w:keepNext w:val="0"/>
        <w:keepLines w:val="0"/>
        <w:pageBreakBefore w:val="0"/>
        <w:widowControl w:val="0"/>
        <w:kinsoku/>
        <w:wordWrap/>
        <w:overflowPunct/>
        <w:topLinePunct w:val="0"/>
        <w:autoSpaceDE/>
        <w:autoSpaceDN/>
        <w:bidi w:val="0"/>
        <w:adjustRightInd/>
        <w:snapToGrid/>
        <w:spacing w:before="20" w:line="360" w:lineRule="auto"/>
        <w:textAlignment w:val="auto"/>
        <w:rPr>
          <w:color w:val="auto"/>
          <w:sz w:val="24"/>
          <w:highlight w:val="none"/>
        </w:rPr>
      </w:pPr>
      <w:r>
        <w:rPr>
          <w:rFonts w:hint="eastAsia"/>
          <w:color w:val="auto"/>
          <w:sz w:val="24"/>
          <w:highlight w:val="none"/>
          <w:lang w:val="en-US" w:eastAsia="zh-CN"/>
        </w:rPr>
        <w:t>3</w:t>
      </w:r>
      <w:r>
        <w:rPr>
          <w:color w:val="auto"/>
          <w:sz w:val="24"/>
          <w:highlight w:val="none"/>
        </w:rPr>
        <w:t>.4采购标的的其他技术、服务等要求；</w:t>
      </w:r>
    </w:p>
    <w:p w14:paraId="1B66223C">
      <w:pPr>
        <w:pStyle w:val="13"/>
        <w:rPr>
          <w:rFonts w:hint="eastAsia" w:ascii="宋体" w:hAnsi="宋体"/>
          <w:color w:val="auto"/>
          <w:sz w:val="24"/>
          <w:szCs w:val="24"/>
          <w:highlight w:val="none"/>
          <w:lang w:val="en-US" w:eastAsia="zh-CN"/>
        </w:rPr>
      </w:pPr>
    </w:p>
    <w:p w14:paraId="0C2C6A85">
      <w:pPr>
        <w:pStyle w:val="13"/>
        <w:spacing w:line="360" w:lineRule="auto"/>
        <w:rPr>
          <w:rFonts w:hint="eastAsia"/>
          <w:b/>
          <w:bCs/>
          <w:color w:val="auto"/>
          <w:sz w:val="28"/>
          <w:szCs w:val="28"/>
          <w:highlight w:val="none"/>
          <w:lang w:val="en-US" w:eastAsia="zh-CN"/>
        </w:rPr>
      </w:pPr>
      <w:r>
        <w:rPr>
          <w:rFonts w:hint="eastAsia" w:ascii="宋体" w:hAnsi="宋体"/>
          <w:b/>
          <w:bCs/>
          <w:color w:val="auto"/>
          <w:sz w:val="28"/>
          <w:szCs w:val="28"/>
          <w:highlight w:val="none"/>
          <w:lang w:val="en-US" w:eastAsia="zh-CN"/>
        </w:rPr>
        <w:t>01包：</w:t>
      </w:r>
    </w:p>
    <w:p w14:paraId="608D2564">
      <w:pPr>
        <w:pStyle w:val="13"/>
        <w:spacing w:line="360" w:lineRule="auto"/>
        <w:rPr>
          <w:rFonts w:hint="eastAsia" w:ascii="宋体" w:hAnsi="宋体" w:eastAsia="宋体" w:cs="宋体"/>
          <w:color w:val="auto"/>
          <w:sz w:val="24"/>
          <w:szCs w:val="24"/>
          <w:highlight w:val="none"/>
        </w:rPr>
      </w:pPr>
      <w:r>
        <w:rPr>
          <w:rFonts w:hint="eastAsia"/>
          <w:b/>
          <w:bCs/>
          <w:color w:val="auto"/>
          <w:sz w:val="24"/>
          <w:szCs w:val="24"/>
          <w:highlight w:val="none"/>
          <w:lang w:val="en-US" w:eastAsia="zh-CN"/>
        </w:rPr>
        <w:t>品目1-1：专病影像数据库教学培训系统</w:t>
      </w:r>
    </w:p>
    <w:p w14:paraId="762C3B27">
      <w:pPr>
        <w:pStyle w:val="5"/>
        <w:widowControl/>
        <w:spacing w:before="200" w:beforeAutospacing="0" w:after="100" w:afterAutospacing="0" w:line="360" w:lineRule="auto"/>
        <w:outlineLvl w:val="0"/>
        <w:rPr>
          <w:rStyle w:val="10"/>
          <w:rFonts w:hint="eastAsia" w:ascii="宋体" w:hAnsi="宋体" w:eastAsia="宋体" w:cs="宋体"/>
          <w:sz w:val="24"/>
          <w:szCs w:val="24"/>
          <w:highlight w:val="none"/>
        </w:rPr>
      </w:pPr>
    </w:p>
    <w:p w14:paraId="6DAB1EE9">
      <w:pPr>
        <w:pStyle w:val="5"/>
        <w:widowControl/>
        <w:spacing w:before="200" w:after="100" w:line="360" w:lineRule="auto"/>
        <w:outlineLvl w:val="0"/>
        <w:rPr>
          <w:rStyle w:val="10"/>
          <w:color w:val="auto"/>
          <w:sz w:val="24"/>
          <w:szCs w:val="24"/>
          <w:highlight w:val="none"/>
          <w:lang w:eastAsia="zh-CN"/>
        </w:rPr>
      </w:pPr>
      <w:r>
        <w:rPr>
          <w:rStyle w:val="10"/>
          <w:rFonts w:hint="eastAsia"/>
          <w:color w:val="auto"/>
          <w:sz w:val="24"/>
          <w:szCs w:val="24"/>
          <w:highlight w:val="none"/>
          <w:lang w:eastAsia="zh-CN"/>
        </w:rPr>
        <w:t>一、主要用途</w:t>
      </w:r>
    </w:p>
    <w:p w14:paraId="58CDB379">
      <w:pPr>
        <w:pStyle w:val="5"/>
        <w:widowControl/>
        <w:spacing w:line="360" w:lineRule="auto"/>
        <w:ind w:firstLine="482"/>
        <w:rPr>
          <w:color w:val="auto"/>
          <w:sz w:val="24"/>
          <w:szCs w:val="24"/>
          <w:highlight w:val="none"/>
          <w:lang w:eastAsia="zh-CN"/>
        </w:rPr>
      </w:pPr>
      <w:r>
        <w:rPr>
          <w:rFonts w:hint="eastAsia"/>
          <w:color w:val="auto"/>
          <w:sz w:val="24"/>
          <w:szCs w:val="24"/>
          <w:highlight w:val="none"/>
          <w:lang w:eastAsia="zh-CN"/>
        </w:rPr>
        <w:t>北京胸科医院专病影像教学培训系统是一个集影像展示、病例分析、教学互动、技能考核于一体的综合平台。该系统充分利用现代信息技术手段，将丰富的医学影像资源与临床教学实践紧密结合，旨在提高医学生和临床医生的影像诊断能力和专业技能。通过这一系统，医院不仅能够提供高质量的医学教育，还能够促进医学影像技术的不断创新与发展。</w:t>
      </w:r>
    </w:p>
    <w:p w14:paraId="666B1946">
      <w:pPr>
        <w:pStyle w:val="5"/>
        <w:widowControl/>
        <w:spacing w:before="200" w:after="100" w:line="360" w:lineRule="auto"/>
        <w:outlineLvl w:val="0"/>
        <w:rPr>
          <w:rStyle w:val="10"/>
          <w:color w:val="auto"/>
          <w:sz w:val="24"/>
          <w:szCs w:val="24"/>
          <w:highlight w:val="none"/>
          <w:lang w:eastAsia="zh-CN"/>
        </w:rPr>
      </w:pPr>
      <w:r>
        <w:rPr>
          <w:rStyle w:val="10"/>
          <w:rFonts w:hint="eastAsia"/>
          <w:color w:val="auto"/>
          <w:sz w:val="24"/>
          <w:szCs w:val="24"/>
          <w:highlight w:val="none"/>
        </w:rPr>
        <w:t>二、</w:t>
      </w:r>
      <w:r>
        <w:rPr>
          <w:rStyle w:val="10"/>
          <w:rFonts w:hint="eastAsia"/>
          <w:color w:val="auto"/>
          <w:sz w:val="24"/>
          <w:szCs w:val="24"/>
          <w:highlight w:val="none"/>
          <w:lang w:eastAsia="zh-CN"/>
        </w:rPr>
        <w:t>采购需求清单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4819"/>
        <w:gridCol w:w="901"/>
      </w:tblGrid>
      <w:tr w14:paraId="4EF9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B576FC">
            <w:pPr>
              <w:pStyle w:val="5"/>
              <w:widowControl/>
              <w:spacing w:before="200" w:after="100" w:line="240" w:lineRule="auto"/>
              <w:jc w:val="center"/>
              <w:outlineLvl w:val="0"/>
              <w:rPr>
                <w:rStyle w:val="10"/>
                <w:color w:val="auto"/>
                <w:kern w:val="2"/>
                <w:sz w:val="24"/>
                <w:szCs w:val="24"/>
                <w:highlight w:val="none"/>
                <w:lang w:eastAsia="zh-CN"/>
              </w:rPr>
            </w:pPr>
            <w:r>
              <w:rPr>
                <w:rStyle w:val="10"/>
                <w:rFonts w:hint="eastAsia"/>
                <w:color w:val="auto"/>
                <w:kern w:val="2"/>
                <w:sz w:val="24"/>
                <w:szCs w:val="24"/>
                <w:highlight w:val="none"/>
                <w:lang w:eastAsia="zh-CN"/>
              </w:rPr>
              <w:t>序号</w:t>
            </w:r>
          </w:p>
        </w:tc>
        <w:tc>
          <w:tcPr>
            <w:tcW w:w="1985" w:type="dxa"/>
            <w:vAlign w:val="center"/>
          </w:tcPr>
          <w:p w14:paraId="0DA2723F">
            <w:pPr>
              <w:pStyle w:val="5"/>
              <w:widowControl/>
              <w:spacing w:before="200" w:after="100" w:line="240" w:lineRule="auto"/>
              <w:jc w:val="center"/>
              <w:outlineLvl w:val="0"/>
              <w:rPr>
                <w:rStyle w:val="10"/>
                <w:color w:val="auto"/>
                <w:kern w:val="2"/>
                <w:sz w:val="24"/>
                <w:szCs w:val="24"/>
                <w:highlight w:val="none"/>
                <w:lang w:eastAsia="zh-CN"/>
              </w:rPr>
            </w:pPr>
            <w:r>
              <w:rPr>
                <w:rStyle w:val="10"/>
                <w:rFonts w:hint="eastAsia"/>
                <w:color w:val="auto"/>
                <w:kern w:val="2"/>
                <w:sz w:val="24"/>
                <w:szCs w:val="24"/>
                <w:highlight w:val="none"/>
                <w:lang w:eastAsia="zh-CN"/>
              </w:rPr>
              <w:t>名称</w:t>
            </w:r>
          </w:p>
        </w:tc>
        <w:tc>
          <w:tcPr>
            <w:tcW w:w="4819" w:type="dxa"/>
            <w:vAlign w:val="center"/>
          </w:tcPr>
          <w:p w14:paraId="2C05A66A">
            <w:pPr>
              <w:pStyle w:val="5"/>
              <w:widowControl/>
              <w:spacing w:before="200" w:after="100" w:line="240" w:lineRule="auto"/>
              <w:jc w:val="center"/>
              <w:outlineLvl w:val="0"/>
              <w:rPr>
                <w:rStyle w:val="10"/>
                <w:color w:val="auto"/>
                <w:kern w:val="2"/>
                <w:sz w:val="24"/>
                <w:szCs w:val="24"/>
                <w:highlight w:val="none"/>
                <w:lang w:eastAsia="zh-CN"/>
              </w:rPr>
            </w:pPr>
            <w:r>
              <w:rPr>
                <w:rStyle w:val="10"/>
                <w:rFonts w:hint="eastAsia"/>
                <w:color w:val="auto"/>
                <w:kern w:val="2"/>
                <w:sz w:val="24"/>
                <w:szCs w:val="24"/>
                <w:highlight w:val="none"/>
                <w:lang w:eastAsia="zh-CN"/>
              </w:rPr>
              <w:t>配置描述</w:t>
            </w:r>
          </w:p>
        </w:tc>
        <w:tc>
          <w:tcPr>
            <w:tcW w:w="901" w:type="dxa"/>
            <w:vAlign w:val="center"/>
          </w:tcPr>
          <w:p w14:paraId="6FCE0DF1">
            <w:pPr>
              <w:pStyle w:val="5"/>
              <w:widowControl/>
              <w:spacing w:before="200" w:after="100" w:line="240" w:lineRule="auto"/>
              <w:jc w:val="center"/>
              <w:outlineLvl w:val="0"/>
              <w:rPr>
                <w:rStyle w:val="10"/>
                <w:color w:val="auto"/>
                <w:kern w:val="2"/>
                <w:sz w:val="24"/>
                <w:szCs w:val="24"/>
                <w:highlight w:val="none"/>
                <w:lang w:eastAsia="zh-CN"/>
              </w:rPr>
            </w:pPr>
            <w:r>
              <w:rPr>
                <w:rStyle w:val="10"/>
                <w:rFonts w:hint="eastAsia"/>
                <w:color w:val="auto"/>
                <w:kern w:val="2"/>
                <w:sz w:val="24"/>
                <w:szCs w:val="24"/>
                <w:highlight w:val="none"/>
                <w:lang w:eastAsia="zh-CN"/>
              </w:rPr>
              <w:t>数量</w:t>
            </w:r>
          </w:p>
        </w:tc>
      </w:tr>
      <w:tr w14:paraId="6CBD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7" w:type="dxa"/>
            <w:vMerge w:val="restart"/>
            <w:vAlign w:val="center"/>
          </w:tcPr>
          <w:p w14:paraId="5ED93CA7">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1</w:t>
            </w:r>
          </w:p>
        </w:tc>
        <w:tc>
          <w:tcPr>
            <w:tcW w:w="1985" w:type="dxa"/>
            <w:vMerge w:val="restart"/>
            <w:vAlign w:val="center"/>
          </w:tcPr>
          <w:p w14:paraId="4EF8C0D0">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专病影像数据库教学培训系统</w:t>
            </w:r>
          </w:p>
        </w:tc>
        <w:tc>
          <w:tcPr>
            <w:tcW w:w="4819" w:type="dxa"/>
            <w:vAlign w:val="center"/>
          </w:tcPr>
          <w:p w14:paraId="3809C5DA">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专病影像资料库信息管理模块</w:t>
            </w:r>
          </w:p>
        </w:tc>
        <w:tc>
          <w:tcPr>
            <w:tcW w:w="901" w:type="dxa"/>
            <w:vMerge w:val="restart"/>
            <w:vAlign w:val="center"/>
          </w:tcPr>
          <w:p w14:paraId="69F81150">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1套</w:t>
            </w:r>
          </w:p>
        </w:tc>
      </w:tr>
      <w:tr w14:paraId="7224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C456FD4">
            <w:pPr>
              <w:pStyle w:val="5"/>
              <w:widowControl/>
              <w:spacing w:before="200" w:after="100" w:line="240" w:lineRule="auto"/>
              <w:jc w:val="center"/>
              <w:outlineLvl w:val="0"/>
              <w:rPr>
                <w:rStyle w:val="10"/>
                <w:b w:val="0"/>
                <w:color w:val="auto"/>
                <w:kern w:val="2"/>
                <w:sz w:val="24"/>
                <w:szCs w:val="24"/>
                <w:highlight w:val="none"/>
                <w:lang w:eastAsia="zh-CN"/>
              </w:rPr>
            </w:pPr>
          </w:p>
        </w:tc>
        <w:tc>
          <w:tcPr>
            <w:tcW w:w="1985" w:type="dxa"/>
            <w:vMerge w:val="continue"/>
            <w:vAlign w:val="center"/>
          </w:tcPr>
          <w:p w14:paraId="7EDFF526">
            <w:pPr>
              <w:pStyle w:val="5"/>
              <w:widowControl/>
              <w:spacing w:before="200" w:after="100" w:line="240" w:lineRule="auto"/>
              <w:jc w:val="center"/>
              <w:outlineLvl w:val="0"/>
              <w:rPr>
                <w:rStyle w:val="10"/>
                <w:b w:val="0"/>
                <w:color w:val="auto"/>
                <w:kern w:val="2"/>
                <w:sz w:val="24"/>
                <w:szCs w:val="24"/>
                <w:highlight w:val="none"/>
                <w:lang w:eastAsia="zh-CN"/>
              </w:rPr>
            </w:pPr>
          </w:p>
        </w:tc>
        <w:tc>
          <w:tcPr>
            <w:tcW w:w="4819" w:type="dxa"/>
            <w:vAlign w:val="center"/>
          </w:tcPr>
          <w:p w14:paraId="70CCAA8A">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病例分析模块</w:t>
            </w:r>
          </w:p>
        </w:tc>
        <w:tc>
          <w:tcPr>
            <w:tcW w:w="901" w:type="dxa"/>
            <w:vMerge w:val="continue"/>
            <w:vAlign w:val="center"/>
          </w:tcPr>
          <w:p w14:paraId="76B75429">
            <w:pPr>
              <w:pStyle w:val="5"/>
              <w:widowControl/>
              <w:spacing w:before="200" w:after="100" w:line="240" w:lineRule="auto"/>
              <w:jc w:val="center"/>
              <w:outlineLvl w:val="0"/>
              <w:rPr>
                <w:rStyle w:val="10"/>
                <w:b w:val="0"/>
                <w:color w:val="auto"/>
                <w:kern w:val="2"/>
                <w:sz w:val="24"/>
                <w:szCs w:val="24"/>
                <w:highlight w:val="none"/>
                <w:lang w:eastAsia="zh-CN"/>
              </w:rPr>
            </w:pPr>
          </w:p>
        </w:tc>
      </w:tr>
      <w:tr w14:paraId="4143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008C9775">
            <w:pPr>
              <w:pStyle w:val="5"/>
              <w:widowControl/>
              <w:spacing w:before="200" w:after="100" w:line="240" w:lineRule="auto"/>
              <w:jc w:val="center"/>
              <w:outlineLvl w:val="0"/>
              <w:rPr>
                <w:rStyle w:val="10"/>
                <w:b w:val="0"/>
                <w:color w:val="auto"/>
                <w:kern w:val="2"/>
                <w:sz w:val="24"/>
                <w:szCs w:val="24"/>
                <w:highlight w:val="none"/>
                <w:lang w:eastAsia="zh-CN"/>
              </w:rPr>
            </w:pPr>
          </w:p>
        </w:tc>
        <w:tc>
          <w:tcPr>
            <w:tcW w:w="1985" w:type="dxa"/>
            <w:vMerge w:val="continue"/>
            <w:vAlign w:val="center"/>
          </w:tcPr>
          <w:p w14:paraId="2C9B1AE1">
            <w:pPr>
              <w:pStyle w:val="5"/>
              <w:widowControl/>
              <w:spacing w:before="200" w:after="100" w:line="240" w:lineRule="auto"/>
              <w:jc w:val="center"/>
              <w:outlineLvl w:val="0"/>
              <w:rPr>
                <w:rStyle w:val="10"/>
                <w:b w:val="0"/>
                <w:color w:val="auto"/>
                <w:kern w:val="2"/>
                <w:sz w:val="24"/>
                <w:szCs w:val="24"/>
                <w:highlight w:val="none"/>
                <w:lang w:eastAsia="zh-CN"/>
              </w:rPr>
            </w:pPr>
          </w:p>
        </w:tc>
        <w:tc>
          <w:tcPr>
            <w:tcW w:w="4819" w:type="dxa"/>
            <w:vAlign w:val="center"/>
          </w:tcPr>
          <w:p w14:paraId="5562E621">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视频讲座模块</w:t>
            </w:r>
          </w:p>
        </w:tc>
        <w:tc>
          <w:tcPr>
            <w:tcW w:w="901" w:type="dxa"/>
            <w:vMerge w:val="continue"/>
            <w:vAlign w:val="center"/>
          </w:tcPr>
          <w:p w14:paraId="4E2374C3">
            <w:pPr>
              <w:pStyle w:val="5"/>
              <w:widowControl/>
              <w:spacing w:before="200" w:after="100" w:line="240" w:lineRule="auto"/>
              <w:jc w:val="center"/>
              <w:outlineLvl w:val="0"/>
              <w:rPr>
                <w:rStyle w:val="10"/>
                <w:b w:val="0"/>
                <w:color w:val="auto"/>
                <w:kern w:val="2"/>
                <w:sz w:val="24"/>
                <w:szCs w:val="24"/>
                <w:highlight w:val="none"/>
                <w:lang w:eastAsia="zh-CN"/>
              </w:rPr>
            </w:pPr>
          </w:p>
        </w:tc>
      </w:tr>
      <w:tr w14:paraId="1D3E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4DF6BBF5">
            <w:pPr>
              <w:pStyle w:val="5"/>
              <w:widowControl/>
              <w:spacing w:before="200" w:after="100" w:line="240" w:lineRule="auto"/>
              <w:jc w:val="center"/>
              <w:outlineLvl w:val="0"/>
              <w:rPr>
                <w:rStyle w:val="10"/>
                <w:b w:val="0"/>
                <w:color w:val="auto"/>
                <w:kern w:val="2"/>
                <w:sz w:val="24"/>
                <w:szCs w:val="24"/>
                <w:highlight w:val="none"/>
                <w:lang w:eastAsia="zh-CN"/>
              </w:rPr>
            </w:pPr>
          </w:p>
        </w:tc>
        <w:tc>
          <w:tcPr>
            <w:tcW w:w="1985" w:type="dxa"/>
            <w:vMerge w:val="continue"/>
            <w:vAlign w:val="center"/>
          </w:tcPr>
          <w:p w14:paraId="0D957296">
            <w:pPr>
              <w:pStyle w:val="5"/>
              <w:widowControl/>
              <w:spacing w:before="200" w:after="100" w:line="240" w:lineRule="auto"/>
              <w:jc w:val="center"/>
              <w:outlineLvl w:val="0"/>
              <w:rPr>
                <w:rStyle w:val="10"/>
                <w:b w:val="0"/>
                <w:color w:val="auto"/>
                <w:kern w:val="2"/>
                <w:sz w:val="24"/>
                <w:szCs w:val="24"/>
                <w:highlight w:val="none"/>
                <w:lang w:eastAsia="zh-CN"/>
              </w:rPr>
            </w:pPr>
          </w:p>
        </w:tc>
        <w:tc>
          <w:tcPr>
            <w:tcW w:w="4819" w:type="dxa"/>
            <w:vAlign w:val="center"/>
          </w:tcPr>
          <w:p w14:paraId="39598A08">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考核培训模块</w:t>
            </w:r>
          </w:p>
        </w:tc>
        <w:tc>
          <w:tcPr>
            <w:tcW w:w="901" w:type="dxa"/>
            <w:vMerge w:val="continue"/>
            <w:vAlign w:val="center"/>
          </w:tcPr>
          <w:p w14:paraId="3B112ED2">
            <w:pPr>
              <w:pStyle w:val="5"/>
              <w:widowControl/>
              <w:spacing w:before="200" w:after="100" w:line="240" w:lineRule="auto"/>
              <w:jc w:val="center"/>
              <w:outlineLvl w:val="0"/>
              <w:rPr>
                <w:rStyle w:val="10"/>
                <w:b w:val="0"/>
                <w:color w:val="auto"/>
                <w:kern w:val="2"/>
                <w:sz w:val="24"/>
                <w:szCs w:val="24"/>
                <w:highlight w:val="none"/>
                <w:lang w:eastAsia="zh-CN"/>
              </w:rPr>
            </w:pPr>
          </w:p>
        </w:tc>
      </w:tr>
      <w:tr w14:paraId="4D11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6F9CADBA">
            <w:pPr>
              <w:pStyle w:val="5"/>
              <w:widowControl/>
              <w:spacing w:before="200" w:after="100" w:line="240" w:lineRule="auto"/>
              <w:jc w:val="center"/>
              <w:outlineLvl w:val="0"/>
              <w:rPr>
                <w:rStyle w:val="10"/>
                <w:b w:val="0"/>
                <w:color w:val="auto"/>
                <w:kern w:val="2"/>
                <w:sz w:val="24"/>
                <w:szCs w:val="24"/>
                <w:highlight w:val="none"/>
                <w:lang w:eastAsia="zh-CN"/>
              </w:rPr>
            </w:pPr>
          </w:p>
        </w:tc>
        <w:tc>
          <w:tcPr>
            <w:tcW w:w="1985" w:type="dxa"/>
            <w:vMerge w:val="continue"/>
            <w:vAlign w:val="center"/>
          </w:tcPr>
          <w:p w14:paraId="68C1AD88">
            <w:pPr>
              <w:pStyle w:val="5"/>
              <w:widowControl/>
              <w:spacing w:before="200" w:after="100" w:line="240" w:lineRule="auto"/>
              <w:jc w:val="center"/>
              <w:outlineLvl w:val="0"/>
              <w:rPr>
                <w:rStyle w:val="10"/>
                <w:b w:val="0"/>
                <w:color w:val="auto"/>
                <w:kern w:val="2"/>
                <w:sz w:val="24"/>
                <w:szCs w:val="24"/>
                <w:highlight w:val="none"/>
                <w:lang w:eastAsia="zh-CN"/>
              </w:rPr>
            </w:pPr>
          </w:p>
        </w:tc>
        <w:tc>
          <w:tcPr>
            <w:tcW w:w="4819" w:type="dxa"/>
            <w:vAlign w:val="center"/>
          </w:tcPr>
          <w:p w14:paraId="692B2913">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系统管理与维护</w:t>
            </w:r>
          </w:p>
        </w:tc>
        <w:tc>
          <w:tcPr>
            <w:tcW w:w="901" w:type="dxa"/>
            <w:vMerge w:val="continue"/>
            <w:vAlign w:val="center"/>
          </w:tcPr>
          <w:p w14:paraId="37D3A29B">
            <w:pPr>
              <w:pStyle w:val="5"/>
              <w:widowControl/>
              <w:spacing w:before="200" w:after="100" w:line="240" w:lineRule="auto"/>
              <w:jc w:val="center"/>
              <w:outlineLvl w:val="0"/>
              <w:rPr>
                <w:rStyle w:val="10"/>
                <w:b w:val="0"/>
                <w:color w:val="auto"/>
                <w:kern w:val="2"/>
                <w:sz w:val="24"/>
                <w:szCs w:val="24"/>
                <w:highlight w:val="none"/>
                <w:lang w:eastAsia="zh-CN"/>
              </w:rPr>
            </w:pPr>
          </w:p>
        </w:tc>
      </w:tr>
      <w:tr w14:paraId="7F3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4A1F133">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2</w:t>
            </w:r>
          </w:p>
        </w:tc>
        <w:tc>
          <w:tcPr>
            <w:tcW w:w="1985" w:type="dxa"/>
            <w:vAlign w:val="center"/>
          </w:tcPr>
          <w:p w14:paraId="13AF0FB7">
            <w:pPr>
              <w:pStyle w:val="5"/>
              <w:widowControl/>
              <w:spacing w:before="200" w:after="100" w:line="240" w:lineRule="auto"/>
              <w:jc w:val="center"/>
              <w:outlineLvl w:val="0"/>
              <w:rPr>
                <w:rStyle w:val="10"/>
                <w:b w:val="0"/>
                <w:color w:val="auto"/>
                <w:kern w:val="2"/>
                <w:sz w:val="24"/>
                <w:szCs w:val="24"/>
                <w:highlight w:val="none"/>
                <w:lang w:eastAsia="zh-CN"/>
              </w:rPr>
            </w:pPr>
            <w:r>
              <w:rPr>
                <w:rStyle w:val="10"/>
                <w:rFonts w:hint="eastAsia"/>
                <w:color w:val="auto"/>
                <w:kern w:val="2"/>
                <w:sz w:val="24"/>
                <w:szCs w:val="24"/>
                <w:highlight w:val="none"/>
                <w:lang w:eastAsia="zh-CN"/>
              </w:rPr>
              <w:t>医用显示屏</w:t>
            </w:r>
          </w:p>
        </w:tc>
        <w:tc>
          <w:tcPr>
            <w:tcW w:w="4819" w:type="dxa"/>
            <w:vAlign w:val="center"/>
          </w:tcPr>
          <w:p w14:paraId="3DFA9F52">
            <w:pPr>
              <w:pStyle w:val="5"/>
              <w:widowControl/>
              <w:spacing w:before="200" w:after="100" w:line="240" w:lineRule="auto"/>
              <w:jc w:val="center"/>
              <w:outlineLvl w:val="0"/>
              <w:rPr>
                <w:rStyle w:val="10"/>
                <w:b w:val="0"/>
                <w:color w:val="auto"/>
                <w:kern w:val="2"/>
                <w:sz w:val="24"/>
                <w:szCs w:val="24"/>
                <w:highlight w:val="none"/>
                <w:lang w:eastAsia="zh-CN"/>
              </w:rPr>
            </w:pPr>
            <w:r>
              <w:rPr>
                <w:rFonts w:hint="eastAsia"/>
                <w:color w:val="auto"/>
                <w:kern w:val="2"/>
                <w:sz w:val="24"/>
                <w:szCs w:val="24"/>
                <w:highlight w:val="none"/>
                <w:lang w:eastAsia="zh-CN"/>
              </w:rPr>
              <w:t>对角线尺寸≥</w:t>
            </w:r>
            <w:r>
              <w:rPr>
                <w:color w:val="auto"/>
                <w:kern w:val="2"/>
                <w:sz w:val="24"/>
                <w:szCs w:val="24"/>
                <w:highlight w:val="none"/>
                <w:lang w:eastAsia="zh-CN"/>
              </w:rPr>
              <w:t>84"</w:t>
            </w:r>
            <w:r>
              <w:rPr>
                <w:rFonts w:hint="eastAsia"/>
                <w:color w:val="auto"/>
                <w:kern w:val="2"/>
                <w:sz w:val="24"/>
                <w:szCs w:val="24"/>
                <w:highlight w:val="none"/>
                <w:lang w:eastAsia="zh-CN"/>
              </w:rPr>
              <w:t>；分辨率≥</w:t>
            </w:r>
            <w:r>
              <w:rPr>
                <w:color w:val="auto"/>
                <w:kern w:val="2"/>
                <w:sz w:val="24"/>
                <w:szCs w:val="24"/>
                <w:highlight w:val="none"/>
                <w:lang w:eastAsia="zh-CN"/>
              </w:rPr>
              <w:t>3840</w:t>
            </w:r>
            <w:r>
              <w:rPr>
                <w:rFonts w:hint="eastAsia"/>
                <w:color w:val="auto"/>
                <w:kern w:val="2"/>
                <w:sz w:val="24"/>
                <w:szCs w:val="24"/>
                <w:highlight w:val="none"/>
                <w:lang w:eastAsia="zh-CN"/>
              </w:rPr>
              <w:t>×</w:t>
            </w:r>
            <w:r>
              <w:rPr>
                <w:color w:val="auto"/>
                <w:kern w:val="2"/>
                <w:sz w:val="24"/>
                <w:szCs w:val="24"/>
                <w:highlight w:val="none"/>
                <w:lang w:eastAsia="zh-CN"/>
              </w:rPr>
              <w:t>2160</w:t>
            </w:r>
            <w:r>
              <w:rPr>
                <w:rFonts w:hint="eastAsia"/>
                <w:color w:val="auto"/>
                <w:kern w:val="2"/>
                <w:sz w:val="24"/>
                <w:szCs w:val="24"/>
                <w:highlight w:val="none"/>
                <w:lang w:eastAsia="zh-CN"/>
              </w:rPr>
              <w:t>；点距≤</w:t>
            </w:r>
            <w:r>
              <w:rPr>
                <w:color w:val="auto"/>
                <w:kern w:val="2"/>
                <w:sz w:val="24"/>
                <w:szCs w:val="24"/>
                <w:highlight w:val="none"/>
                <w:lang w:eastAsia="zh-CN"/>
              </w:rPr>
              <w:t>0.4875</w:t>
            </w:r>
            <w:r>
              <w:rPr>
                <w:rFonts w:hint="eastAsia"/>
                <w:color w:val="auto"/>
                <w:kern w:val="2"/>
                <w:sz w:val="24"/>
                <w:szCs w:val="24"/>
                <w:highlight w:val="none"/>
                <w:lang w:eastAsia="zh-CN"/>
              </w:rPr>
              <w:t>×</w:t>
            </w:r>
            <w:r>
              <w:rPr>
                <w:color w:val="auto"/>
                <w:kern w:val="2"/>
                <w:sz w:val="24"/>
                <w:szCs w:val="24"/>
                <w:highlight w:val="none"/>
                <w:lang w:eastAsia="zh-CN"/>
              </w:rPr>
              <w:t>0.4875mm</w:t>
            </w:r>
            <w:r>
              <w:rPr>
                <w:rFonts w:hint="eastAsia"/>
                <w:color w:val="auto"/>
                <w:kern w:val="2"/>
                <w:sz w:val="24"/>
                <w:szCs w:val="24"/>
                <w:highlight w:val="none"/>
                <w:lang w:eastAsia="zh-CN"/>
              </w:rPr>
              <w:t>；响应时间≤</w:t>
            </w:r>
            <w:r>
              <w:rPr>
                <w:color w:val="auto"/>
                <w:kern w:val="2"/>
                <w:sz w:val="24"/>
                <w:szCs w:val="24"/>
                <w:highlight w:val="none"/>
                <w:lang w:eastAsia="zh-CN"/>
              </w:rPr>
              <w:t>8.5ms</w:t>
            </w:r>
            <w:r>
              <w:rPr>
                <w:rFonts w:hint="eastAsia"/>
                <w:color w:val="auto"/>
                <w:kern w:val="2"/>
                <w:sz w:val="24"/>
                <w:szCs w:val="24"/>
                <w:highlight w:val="none"/>
                <w:lang w:eastAsia="zh-CN"/>
              </w:rPr>
              <w:t>；最大亮度≥</w:t>
            </w:r>
            <w:r>
              <w:rPr>
                <w:color w:val="auto"/>
                <w:kern w:val="2"/>
                <w:sz w:val="24"/>
                <w:szCs w:val="24"/>
                <w:highlight w:val="none"/>
                <w:lang w:eastAsia="zh-CN"/>
              </w:rPr>
              <w:t>700cd/m2</w:t>
            </w:r>
            <w:r>
              <w:rPr>
                <w:rFonts w:hint="eastAsia"/>
                <w:color w:val="auto"/>
                <w:kern w:val="2"/>
                <w:sz w:val="24"/>
                <w:szCs w:val="24"/>
                <w:highlight w:val="none"/>
                <w:lang w:eastAsia="zh-CN"/>
              </w:rPr>
              <w:t>；可视角度≥</w:t>
            </w:r>
            <w:r>
              <w:rPr>
                <w:color w:val="auto"/>
                <w:kern w:val="2"/>
                <w:sz w:val="24"/>
                <w:szCs w:val="24"/>
                <w:highlight w:val="none"/>
                <w:lang w:eastAsia="zh-CN"/>
              </w:rPr>
              <w:t>178</w:t>
            </w:r>
            <w:r>
              <w:rPr>
                <w:rFonts w:hint="eastAsia"/>
                <w:color w:val="auto"/>
                <w:kern w:val="2"/>
                <w:sz w:val="24"/>
                <w:szCs w:val="24"/>
                <w:highlight w:val="none"/>
                <w:lang w:eastAsia="zh-CN"/>
              </w:rPr>
              <w:t>°；对比度≥</w:t>
            </w:r>
            <w:r>
              <w:rPr>
                <w:color w:val="auto"/>
                <w:kern w:val="2"/>
                <w:sz w:val="24"/>
                <w:szCs w:val="24"/>
                <w:highlight w:val="none"/>
                <w:lang w:eastAsia="zh-CN"/>
              </w:rPr>
              <w:t>4000:1</w:t>
            </w:r>
            <w:r>
              <w:rPr>
                <w:rFonts w:hint="eastAsia"/>
                <w:color w:val="auto"/>
                <w:kern w:val="2"/>
                <w:sz w:val="24"/>
                <w:szCs w:val="24"/>
                <w:highlight w:val="none"/>
                <w:lang w:eastAsia="zh-CN"/>
              </w:rPr>
              <w:t>，色彩≥</w:t>
            </w:r>
            <w:r>
              <w:rPr>
                <w:color w:val="auto"/>
                <w:kern w:val="2"/>
                <w:sz w:val="24"/>
                <w:szCs w:val="24"/>
                <w:highlight w:val="none"/>
                <w:lang w:eastAsia="zh-CN"/>
              </w:rPr>
              <w:t>48bit</w:t>
            </w:r>
            <w:r>
              <w:rPr>
                <w:rFonts w:hint="eastAsia"/>
                <w:color w:val="auto"/>
                <w:kern w:val="2"/>
                <w:sz w:val="24"/>
                <w:szCs w:val="24"/>
                <w:highlight w:val="none"/>
                <w:lang w:eastAsia="zh-CN"/>
              </w:rPr>
              <w:t>。</w:t>
            </w:r>
          </w:p>
        </w:tc>
        <w:tc>
          <w:tcPr>
            <w:tcW w:w="901" w:type="dxa"/>
            <w:vAlign w:val="center"/>
          </w:tcPr>
          <w:p w14:paraId="52BEDD56">
            <w:pPr>
              <w:pStyle w:val="5"/>
              <w:widowControl/>
              <w:spacing w:before="200" w:after="100" w:line="240" w:lineRule="auto"/>
              <w:jc w:val="center"/>
              <w:outlineLvl w:val="0"/>
              <w:rPr>
                <w:rStyle w:val="10"/>
                <w:b w:val="0"/>
                <w:color w:val="auto"/>
                <w:kern w:val="2"/>
                <w:sz w:val="24"/>
                <w:szCs w:val="24"/>
                <w:highlight w:val="none"/>
                <w:lang w:eastAsia="zh-CN"/>
              </w:rPr>
            </w:pPr>
            <w:r>
              <w:rPr>
                <w:rStyle w:val="10"/>
                <w:color w:val="auto"/>
                <w:kern w:val="2"/>
                <w:sz w:val="24"/>
                <w:szCs w:val="24"/>
                <w:highlight w:val="none"/>
                <w:lang w:eastAsia="zh-CN"/>
              </w:rPr>
              <w:t>1台</w:t>
            </w:r>
          </w:p>
        </w:tc>
      </w:tr>
    </w:tbl>
    <w:p w14:paraId="0B0033D8">
      <w:pPr>
        <w:pStyle w:val="5"/>
        <w:widowControl/>
        <w:spacing w:before="200" w:after="100" w:line="360" w:lineRule="auto"/>
        <w:outlineLvl w:val="0"/>
        <w:rPr>
          <w:rStyle w:val="10"/>
          <w:color w:val="auto"/>
          <w:sz w:val="24"/>
          <w:szCs w:val="24"/>
          <w:highlight w:val="none"/>
          <w:lang w:eastAsia="zh-CN"/>
        </w:rPr>
      </w:pPr>
      <w:r>
        <w:rPr>
          <w:rStyle w:val="10"/>
          <w:rFonts w:hint="eastAsia"/>
          <w:color w:val="auto"/>
          <w:sz w:val="24"/>
          <w:szCs w:val="24"/>
          <w:highlight w:val="none"/>
          <w:lang w:eastAsia="zh-CN"/>
        </w:rPr>
        <w:t>三、技术</w:t>
      </w:r>
      <w:r>
        <w:rPr>
          <w:rStyle w:val="10"/>
          <w:rFonts w:hint="eastAsia"/>
          <w:color w:val="auto"/>
          <w:sz w:val="24"/>
          <w:szCs w:val="24"/>
          <w:highlight w:val="none"/>
        </w:rPr>
        <w:t>指标</w:t>
      </w:r>
    </w:p>
    <w:p w14:paraId="21D1ABAE">
      <w:pPr>
        <w:pStyle w:val="5"/>
        <w:widowControl/>
        <w:spacing w:before="200" w:after="100" w:line="360" w:lineRule="auto"/>
        <w:outlineLvl w:val="0"/>
        <w:rPr>
          <w:b/>
          <w:color w:val="auto"/>
          <w:sz w:val="24"/>
          <w:szCs w:val="24"/>
          <w:highlight w:val="none"/>
          <w:lang w:eastAsia="zh-CN"/>
        </w:rPr>
      </w:pPr>
      <w:r>
        <w:rPr>
          <w:rStyle w:val="10"/>
          <w:rFonts w:hint="eastAsia"/>
          <w:color w:val="auto"/>
          <w:sz w:val="24"/>
          <w:szCs w:val="24"/>
          <w:highlight w:val="none"/>
          <w:lang w:eastAsia="zh-CN"/>
        </w:rPr>
        <w:t>3.1 专病影像数据库教学培训系统</w:t>
      </w:r>
    </w:p>
    <w:p w14:paraId="03B3ED42">
      <w:pPr>
        <w:numPr>
          <w:ilvl w:val="0"/>
          <w:numId w:val="0"/>
        </w:numPr>
        <w:spacing w:line="360" w:lineRule="auto"/>
        <w:ind w:left="420" w:leftChars="0" w:hanging="420" w:firstLineChars="0"/>
        <w:rPr>
          <w:color w:val="auto"/>
          <w:sz w:val="24"/>
          <w:szCs w:val="24"/>
          <w:highlight w:val="none"/>
        </w:rPr>
      </w:pPr>
      <w:r>
        <w:rPr>
          <w:rFonts w:ascii="宋体" w:hAnsi="宋体" w:eastAsia="宋体" w:cs="宋体"/>
          <w:color w:val="auto"/>
          <w:kern w:val="0"/>
          <w:sz w:val="24"/>
          <w:szCs w:val="24"/>
          <w:highlight w:val="none"/>
          <w:lang w:val="en-US" w:eastAsia="en-US" w:bidi="ar-SA"/>
        </w:rPr>
        <w:t>1.</w:t>
      </w:r>
      <w:r>
        <w:rPr>
          <w:rFonts w:hint="eastAsia"/>
          <w:color w:val="auto"/>
          <w:sz w:val="24"/>
          <w:szCs w:val="24"/>
          <w:highlight w:val="none"/>
        </w:rPr>
        <w:t>系统所有功能都基于WEB的B/S架构。</w:t>
      </w:r>
    </w:p>
    <w:p w14:paraId="28A1B58D">
      <w:pPr>
        <w:numPr>
          <w:ilvl w:val="0"/>
          <w:numId w:val="0"/>
        </w:numPr>
        <w:spacing w:line="360" w:lineRule="auto"/>
        <w:ind w:left="420" w:leftChars="0" w:hanging="420" w:firstLineChars="0"/>
        <w:rPr>
          <w:color w:val="auto"/>
          <w:sz w:val="24"/>
          <w:szCs w:val="24"/>
          <w:highlight w:val="none"/>
        </w:rPr>
      </w:pPr>
      <w:r>
        <w:rPr>
          <w:rFonts w:ascii="宋体" w:hAnsi="宋体" w:eastAsia="宋体" w:cs="宋体"/>
          <w:color w:val="auto"/>
          <w:kern w:val="0"/>
          <w:sz w:val="24"/>
          <w:szCs w:val="24"/>
          <w:highlight w:val="none"/>
          <w:lang w:val="en-US" w:eastAsia="en-US" w:bidi="ar-SA"/>
        </w:rPr>
        <w:t>2.</w:t>
      </w:r>
      <w:r>
        <w:rPr>
          <w:rFonts w:hint="eastAsia"/>
          <w:color w:val="auto"/>
          <w:sz w:val="24"/>
          <w:szCs w:val="24"/>
          <w:highlight w:val="none"/>
        </w:rPr>
        <w:t>支持虚拟化部署。</w:t>
      </w:r>
    </w:p>
    <w:p w14:paraId="5EBE9B04">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w:t>
      </w:r>
      <w:r>
        <w:rPr>
          <w:rFonts w:hint="eastAsia"/>
          <w:color w:val="auto"/>
          <w:sz w:val="24"/>
          <w:szCs w:val="24"/>
          <w:highlight w:val="none"/>
          <w:lang w:eastAsia="zh-CN"/>
        </w:rPr>
        <w:t>可同时接收多个不同影像设备如CT、MR、DR、CR、超声、内镜、病理、核医学发送的影像数据，支持多个用户对同一影像数据的并发调阅请求。</w:t>
      </w:r>
    </w:p>
    <w:p w14:paraId="514DDC84">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w:t>
      </w:r>
      <w:r>
        <w:rPr>
          <w:rFonts w:hint="eastAsia"/>
          <w:color w:val="auto"/>
          <w:sz w:val="24"/>
          <w:szCs w:val="24"/>
          <w:highlight w:val="none"/>
          <w:lang w:eastAsia="zh-CN"/>
        </w:rPr>
        <w:t>所有临床数据以患者为中心进行统一的存储和管理，并可以一次性查询和调阅</w:t>
      </w:r>
    </w:p>
    <w:p w14:paraId="33119BA8">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w:t>
      </w:r>
      <w:r>
        <w:rPr>
          <w:rFonts w:hint="eastAsia"/>
          <w:color w:val="auto"/>
          <w:sz w:val="24"/>
          <w:szCs w:val="24"/>
          <w:highlight w:val="none"/>
          <w:lang w:eastAsia="zh-CN"/>
        </w:rPr>
        <w:t>支持DICOM3.0数据压缩算法，支持影像有损压缩（LOSSY）和无损压缩（LOSSLESS）两种方式。</w:t>
      </w:r>
    </w:p>
    <w:p w14:paraId="458D3E7E">
      <w:pPr>
        <w:numPr>
          <w:ilvl w:val="0"/>
          <w:numId w:val="0"/>
        </w:numPr>
        <w:spacing w:line="360" w:lineRule="auto"/>
        <w:ind w:left="420" w:leftChars="0" w:hanging="420" w:firstLineChars="0"/>
        <w:rPr>
          <w:color w:val="auto"/>
          <w:sz w:val="24"/>
          <w:szCs w:val="24"/>
          <w:highlight w:val="none"/>
        </w:rPr>
      </w:pPr>
      <w:r>
        <w:rPr>
          <w:rFonts w:ascii="宋体" w:hAnsi="宋体" w:eastAsia="宋体" w:cs="宋体"/>
          <w:color w:val="auto"/>
          <w:kern w:val="0"/>
          <w:sz w:val="24"/>
          <w:szCs w:val="24"/>
          <w:highlight w:val="none"/>
          <w:lang w:val="en-US" w:eastAsia="en-US" w:bidi="ar-SA"/>
        </w:rPr>
        <w:t>6.</w:t>
      </w:r>
      <w:r>
        <w:rPr>
          <w:rFonts w:hint="eastAsia"/>
          <w:color w:val="auto"/>
          <w:sz w:val="24"/>
          <w:szCs w:val="24"/>
          <w:highlight w:val="none"/>
        </w:rPr>
        <w:t>支持DAS、SAN、NAS、CAS各种存储技术。</w:t>
      </w:r>
    </w:p>
    <w:p w14:paraId="56A34608">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7.</w:t>
      </w:r>
      <w:r>
        <w:rPr>
          <w:rFonts w:hint="eastAsia"/>
          <w:color w:val="auto"/>
          <w:sz w:val="24"/>
          <w:szCs w:val="24"/>
          <w:highlight w:val="none"/>
          <w:lang w:eastAsia="zh-CN"/>
        </w:rPr>
        <w:t>能够管理放射科DICOM影像，还能够管理超声、内镜等其它系统的非DICOM影像、图文报告、PDF文档等临床数据。</w:t>
      </w:r>
    </w:p>
    <w:p w14:paraId="50C28E13">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8.</w:t>
      </w:r>
      <w:r>
        <w:rPr>
          <w:rFonts w:hint="eastAsia"/>
          <w:color w:val="auto"/>
          <w:sz w:val="24"/>
          <w:szCs w:val="24"/>
          <w:highlight w:val="none"/>
          <w:lang w:eastAsia="zh-CN"/>
        </w:rPr>
        <w:t>长期归档存储设备要求提供无缝升级，升级无需停机，升级时现有存储继续使用。</w:t>
      </w:r>
    </w:p>
    <w:p w14:paraId="52D161B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9.</w:t>
      </w:r>
      <w:r>
        <w:rPr>
          <w:rFonts w:hint="eastAsia"/>
          <w:color w:val="auto"/>
          <w:sz w:val="24"/>
          <w:szCs w:val="24"/>
          <w:highlight w:val="none"/>
          <w:lang w:eastAsia="zh-CN"/>
        </w:rPr>
        <w:t>支持存储的‘全在线’扩展，同时支持多级在线存储策略，并且能够随时调整。</w:t>
      </w:r>
    </w:p>
    <w:p w14:paraId="459DA7A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10.</w:t>
      </w:r>
      <w:r>
        <w:rPr>
          <w:rFonts w:hint="eastAsia"/>
          <w:color w:val="auto"/>
          <w:sz w:val="24"/>
          <w:szCs w:val="24"/>
          <w:highlight w:val="none"/>
          <w:lang w:eastAsia="zh-CN"/>
        </w:rPr>
        <w:t>系统可以管理海量数据，支持大任务量并发请求，系统可以自动进行负载均衡并向用户提示负载状况。</w:t>
      </w:r>
    </w:p>
    <w:p w14:paraId="4C34ADA5">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11.</w:t>
      </w:r>
      <w:r>
        <w:rPr>
          <w:rFonts w:hint="eastAsia"/>
          <w:color w:val="auto"/>
          <w:sz w:val="24"/>
          <w:szCs w:val="24"/>
          <w:highlight w:val="none"/>
          <w:lang w:eastAsia="zh-CN"/>
        </w:rPr>
        <w:t>采用数据库与影像数据分离存储方式，用优化的算法进行数据库管理，保障海量数据存储与检索。</w:t>
      </w:r>
    </w:p>
    <w:p w14:paraId="1BF66AD6">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12.</w:t>
      </w:r>
      <w:r>
        <w:rPr>
          <w:rFonts w:hint="eastAsia"/>
          <w:color w:val="auto"/>
          <w:sz w:val="24"/>
          <w:szCs w:val="24"/>
          <w:highlight w:val="none"/>
          <w:lang w:eastAsia="zh-CN"/>
        </w:rPr>
        <w:t>支持数据的全在线存储及容灾备份</w:t>
      </w:r>
    </w:p>
    <w:p w14:paraId="576D49B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13.</w:t>
      </w:r>
      <w:r>
        <w:rPr>
          <w:rFonts w:hint="eastAsia"/>
          <w:color w:val="auto"/>
          <w:sz w:val="24"/>
          <w:szCs w:val="24"/>
          <w:highlight w:val="none"/>
          <w:lang w:eastAsia="zh-CN"/>
        </w:rPr>
        <w:t>安全日志：提供影像数据的各种状态记录日志（影像存档、影像调阅、影像传输等），并提供相应分析工具。</w:t>
      </w:r>
    </w:p>
    <w:p w14:paraId="16B0DCC0">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14.</w:t>
      </w:r>
      <w:r>
        <w:rPr>
          <w:rFonts w:hint="eastAsia"/>
          <w:color w:val="auto"/>
          <w:sz w:val="24"/>
          <w:szCs w:val="24"/>
          <w:highlight w:val="none"/>
          <w:lang w:eastAsia="zh-CN"/>
        </w:rPr>
        <w:t>系统具备高度可靠性，具有完善的危机应对方案。在电力故障、网络故障、不可预料灾难等情况发生时，能够自动启动危机应对预案，保护所有数据，并进行自动恢复。应具备安全措施，使任何一个或多个故障不会影响整个系统的运行。系统需保证99.99％的正常在线时间，系统宕机&lt;12小时/年。</w:t>
      </w:r>
    </w:p>
    <w:p w14:paraId="1A11763D">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15.</w:t>
      </w:r>
      <w:r>
        <w:rPr>
          <w:rFonts w:hint="eastAsia"/>
          <w:color w:val="auto"/>
          <w:sz w:val="24"/>
          <w:szCs w:val="24"/>
          <w:highlight w:val="none"/>
          <w:lang w:eastAsia="zh-CN"/>
        </w:rPr>
        <w:t>提供安全的远程维护、管理机制。</w:t>
      </w:r>
    </w:p>
    <w:p w14:paraId="2AF1B663">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16.</w:t>
      </w:r>
      <w:r>
        <w:rPr>
          <w:rFonts w:hint="eastAsia"/>
          <w:color w:val="auto"/>
          <w:sz w:val="24"/>
          <w:szCs w:val="24"/>
          <w:highlight w:val="none"/>
          <w:lang w:eastAsia="zh-CN"/>
        </w:rPr>
        <w:t>可以在任何工作站运行系统性能监控维护工具，与客户端PC位置无关。</w:t>
      </w:r>
    </w:p>
    <w:p w14:paraId="15EEBE99">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17.</w:t>
      </w:r>
      <w:r>
        <w:rPr>
          <w:rFonts w:hint="eastAsia"/>
          <w:color w:val="auto"/>
          <w:sz w:val="24"/>
          <w:szCs w:val="24"/>
          <w:highlight w:val="none"/>
          <w:lang w:eastAsia="zh-CN"/>
        </w:rPr>
        <w:t>当PACS系统运行出现异常时，系统可以以短信的方式通知管理员或维护人员。</w:t>
      </w:r>
    </w:p>
    <w:p w14:paraId="0312A3C4">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18.</w:t>
      </w:r>
      <w:r>
        <w:rPr>
          <w:rFonts w:hint="eastAsia"/>
          <w:color w:val="auto"/>
          <w:sz w:val="24"/>
          <w:szCs w:val="24"/>
          <w:highlight w:val="none"/>
          <w:lang w:eastAsia="zh-CN"/>
        </w:rPr>
        <w:t>系统内置自我监控和修复模块，能24小时监测系统使用状况，出现问题时能实时报警，并启用自我修复功能。</w:t>
      </w:r>
    </w:p>
    <w:p w14:paraId="7D2141CF">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19.</w:t>
      </w:r>
      <w:r>
        <w:rPr>
          <w:rFonts w:hint="eastAsia"/>
          <w:color w:val="auto"/>
          <w:sz w:val="24"/>
          <w:szCs w:val="24"/>
          <w:highlight w:val="none"/>
          <w:lang w:eastAsia="zh-CN"/>
        </w:rPr>
        <w:t>支持运行环境监控，支持对系统运行所依赖的各项资源进行监控，包括CPU、内存、硬盘、网络、数据交换等。（提供软件运行截图并加盖厂商公章）</w:t>
      </w:r>
    </w:p>
    <w:p w14:paraId="7FE69776">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20.</w:t>
      </w:r>
      <w:r>
        <w:rPr>
          <w:rFonts w:hint="eastAsia"/>
          <w:color w:val="auto"/>
          <w:sz w:val="24"/>
          <w:szCs w:val="24"/>
          <w:highlight w:val="none"/>
          <w:lang w:eastAsia="zh-CN"/>
        </w:rPr>
        <w:t>系统具备较高的信息安全防护能力，通过了第三级网络安全等级测评。（提供信息系统安全等级保护备案证明并加盖厂商公章）</w:t>
      </w:r>
    </w:p>
    <w:p w14:paraId="4C4D84F9">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21.</w:t>
      </w:r>
      <w:r>
        <w:rPr>
          <w:rFonts w:hint="eastAsia"/>
          <w:color w:val="auto"/>
          <w:sz w:val="24"/>
          <w:szCs w:val="24"/>
          <w:highlight w:val="none"/>
          <w:lang w:eastAsia="zh-CN"/>
        </w:rPr>
        <w:t>所投产品具有医疗影像信息管理系统医疗器械注册证。（提供证明文件并加盖厂商公章）</w:t>
      </w:r>
    </w:p>
    <w:p w14:paraId="54F32F14">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22.</w:t>
      </w:r>
      <w:r>
        <w:rPr>
          <w:rFonts w:hint="eastAsia"/>
          <w:color w:val="auto"/>
          <w:sz w:val="24"/>
          <w:szCs w:val="24"/>
          <w:highlight w:val="none"/>
          <w:lang w:eastAsia="zh-CN"/>
        </w:rPr>
        <w:t>所投产品具有广泛的适用性，获得FDA或CE认证。（提供证明文件并加盖厂商公章）</w:t>
      </w:r>
    </w:p>
    <w:p w14:paraId="1061FE51">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23.</w:t>
      </w:r>
      <w:r>
        <w:rPr>
          <w:rFonts w:hint="eastAsia"/>
          <w:color w:val="auto"/>
          <w:sz w:val="24"/>
          <w:szCs w:val="24"/>
          <w:highlight w:val="none"/>
          <w:lang w:eastAsia="zh-CN"/>
        </w:rPr>
        <w:t>所投产品满足信创要求，支持国产CPU、服务器操作系统和数据库。（提供证明文件并加盖厂商公章）</w:t>
      </w:r>
    </w:p>
    <w:p w14:paraId="1A661A0F">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24.</w:t>
      </w:r>
      <w:r>
        <w:rPr>
          <w:rFonts w:hint="eastAsia"/>
          <w:color w:val="auto"/>
          <w:sz w:val="24"/>
          <w:szCs w:val="24"/>
          <w:highlight w:val="none"/>
          <w:lang w:eastAsia="zh-CN"/>
        </w:rPr>
        <w:t>支持同一界面以时间轴方式显示同一患者在不同科室检查的数据，如放射、超声、内镜、眼科等影像，支持动（静）态影像显示。（提供软件功能截图并加盖厂商公章）</w:t>
      </w:r>
    </w:p>
    <w:p w14:paraId="5A02608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25.</w:t>
      </w:r>
      <w:r>
        <w:rPr>
          <w:rFonts w:hint="eastAsia"/>
          <w:color w:val="auto"/>
          <w:sz w:val="24"/>
          <w:szCs w:val="24"/>
          <w:highlight w:val="none"/>
          <w:lang w:eastAsia="zh-CN"/>
        </w:rPr>
        <w:t>支持用户自定义配置在指定显示器上显示检查列表、影像窗口、三维重建窗口。</w:t>
      </w:r>
    </w:p>
    <w:p w14:paraId="283D1167">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26.</w:t>
      </w:r>
      <w:r>
        <w:rPr>
          <w:rFonts w:hint="eastAsia"/>
          <w:color w:val="auto"/>
          <w:sz w:val="24"/>
          <w:szCs w:val="24"/>
          <w:highlight w:val="none"/>
          <w:lang w:eastAsia="zh-CN"/>
        </w:rPr>
        <w:t>提供按检查类型相关的显示协议自动安排显示布局，并可按用户选择和定义的显示协议调整显示布局，用户也可手工调整图像显示顺序。</w:t>
      </w:r>
    </w:p>
    <w:p w14:paraId="49D15C68">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27.</w:t>
      </w:r>
      <w:r>
        <w:rPr>
          <w:rFonts w:hint="eastAsia"/>
          <w:color w:val="auto"/>
          <w:sz w:val="24"/>
          <w:szCs w:val="24"/>
          <w:highlight w:val="none"/>
          <w:lang w:eastAsia="zh-CN"/>
        </w:rPr>
        <w:t>在多显示屏环境下可自动设定影像显示模式以适合屏幕大小及分辨率。</w:t>
      </w:r>
    </w:p>
    <w:p w14:paraId="7FD2E043">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28.</w:t>
      </w:r>
      <w:r>
        <w:rPr>
          <w:rFonts w:hint="eastAsia"/>
          <w:color w:val="auto"/>
          <w:sz w:val="24"/>
          <w:szCs w:val="24"/>
          <w:highlight w:val="none"/>
          <w:lang w:eastAsia="zh-CN"/>
        </w:rPr>
        <w:t>可根据患者姓名、检查设备、检查部位、检查时间等多种查询条件的组合形式查询，方便医生针对各种条件快速获取影像资料。</w:t>
      </w:r>
    </w:p>
    <w:p w14:paraId="57F26C6A">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29.</w:t>
      </w:r>
      <w:r>
        <w:rPr>
          <w:rFonts w:hint="eastAsia"/>
          <w:color w:val="auto"/>
          <w:sz w:val="24"/>
          <w:szCs w:val="24"/>
          <w:highlight w:val="none"/>
          <w:lang w:eastAsia="zh-CN"/>
        </w:rPr>
        <w:t>可同时调阅一个患者不同诊断序列、不同体位、不同时期、不同成像设备的影像对比显示和诊断。</w:t>
      </w:r>
    </w:p>
    <w:p w14:paraId="0A3604F0">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30.</w:t>
      </w:r>
      <w:r>
        <w:rPr>
          <w:rFonts w:hint="eastAsia"/>
          <w:color w:val="auto"/>
          <w:sz w:val="24"/>
          <w:szCs w:val="24"/>
          <w:highlight w:val="none"/>
          <w:lang w:eastAsia="zh-CN"/>
        </w:rPr>
        <w:t>灵活的挂片协议(“所见即所得”方式创建挂片协议)，可根据不同设备类型和部位的影像自动使用相应的挂片协议。</w:t>
      </w:r>
    </w:p>
    <w:p w14:paraId="55682A47">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31.</w:t>
      </w:r>
      <w:r>
        <w:rPr>
          <w:rFonts w:hint="eastAsia"/>
          <w:color w:val="auto"/>
          <w:sz w:val="24"/>
          <w:szCs w:val="24"/>
          <w:highlight w:val="none"/>
          <w:lang w:eastAsia="zh-CN"/>
        </w:rPr>
        <w:t>挂片协议支持指定多项匹配参数，包括显示器方向、显示器个数、检查个数、设备类型、检查部位、检查描述、显示器布局、检查序号、序列索引、序列编号、序列描述。（提供软件功能截图并加盖厂商公章）</w:t>
      </w:r>
    </w:p>
    <w:p w14:paraId="182ABD63">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32.</w:t>
      </w:r>
      <w:r>
        <w:rPr>
          <w:rFonts w:hint="eastAsia"/>
          <w:color w:val="auto"/>
          <w:sz w:val="24"/>
          <w:szCs w:val="24"/>
          <w:highlight w:val="none"/>
          <w:lang w:eastAsia="zh-CN"/>
        </w:rPr>
        <w:t>支持通过点击快捷按钮，在多个挂片协议间快速切换。</w:t>
      </w:r>
    </w:p>
    <w:p w14:paraId="3AB03F67">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33.</w:t>
      </w:r>
      <w:r>
        <w:rPr>
          <w:rFonts w:hint="eastAsia"/>
          <w:color w:val="auto"/>
          <w:sz w:val="24"/>
          <w:szCs w:val="24"/>
          <w:highlight w:val="none"/>
          <w:lang w:eastAsia="zh-CN"/>
        </w:rPr>
        <w:t>支持定位线显示和跟踪。</w:t>
      </w:r>
    </w:p>
    <w:p w14:paraId="167D345A">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34.</w:t>
      </w:r>
      <w:r>
        <w:rPr>
          <w:rFonts w:hint="eastAsia"/>
          <w:color w:val="auto"/>
          <w:sz w:val="24"/>
          <w:szCs w:val="24"/>
          <w:highlight w:val="none"/>
          <w:lang w:eastAsia="zh-CN"/>
        </w:rPr>
        <w:t>支持影像的整体窗宽/窗位调整，自动窗宽/窗位调整。</w:t>
      </w:r>
    </w:p>
    <w:p w14:paraId="5C4E23AE">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35.</w:t>
      </w:r>
      <w:r>
        <w:rPr>
          <w:rFonts w:hint="eastAsia"/>
          <w:color w:val="auto"/>
          <w:sz w:val="24"/>
          <w:szCs w:val="24"/>
          <w:highlight w:val="none"/>
          <w:lang w:eastAsia="zh-CN"/>
        </w:rPr>
        <w:t>可根据不同图像要求预设多种窗宽/窗位及快捷方式调整窗宽/窗位。</w:t>
      </w:r>
    </w:p>
    <w:p w14:paraId="3CBBB2E3">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36.</w:t>
      </w:r>
      <w:r>
        <w:rPr>
          <w:rFonts w:hint="eastAsia"/>
          <w:color w:val="auto"/>
          <w:sz w:val="24"/>
          <w:szCs w:val="24"/>
          <w:highlight w:val="none"/>
          <w:lang w:eastAsia="zh-CN"/>
        </w:rPr>
        <w:t>能测量长度、角度、各种封闭区域面积，并可在图上增加文字注释、图形、箭头标注等，可手画线，并可保存标注信息。</w:t>
      </w:r>
    </w:p>
    <w:p w14:paraId="07CA7ECB">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37.</w:t>
      </w:r>
      <w:r>
        <w:rPr>
          <w:rFonts w:hint="eastAsia"/>
          <w:color w:val="auto"/>
          <w:sz w:val="24"/>
          <w:szCs w:val="24"/>
          <w:highlight w:val="none"/>
          <w:lang w:eastAsia="zh-CN"/>
        </w:rPr>
        <w:t>支持检查记录可附加留言备注功能。</w:t>
      </w:r>
    </w:p>
    <w:p w14:paraId="7E6EDA6E">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38.</w:t>
      </w:r>
      <w:r>
        <w:rPr>
          <w:rFonts w:hint="eastAsia"/>
          <w:color w:val="auto"/>
          <w:sz w:val="24"/>
          <w:szCs w:val="24"/>
          <w:highlight w:val="none"/>
          <w:lang w:eastAsia="zh-CN"/>
        </w:rPr>
        <w:t>支持图像负片显示功能。</w:t>
      </w:r>
    </w:p>
    <w:p w14:paraId="7DBEA000">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39.</w:t>
      </w:r>
      <w:r>
        <w:rPr>
          <w:rFonts w:hint="eastAsia"/>
          <w:color w:val="auto"/>
          <w:sz w:val="24"/>
          <w:szCs w:val="24"/>
          <w:highlight w:val="none"/>
          <w:lang w:eastAsia="zh-CN"/>
        </w:rPr>
        <w:t>支持以新窗口方式打开序列副本，进行图像浏览操作。</w:t>
      </w:r>
    </w:p>
    <w:p w14:paraId="150D0B86">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40.</w:t>
      </w:r>
      <w:r>
        <w:rPr>
          <w:rFonts w:hint="eastAsia"/>
          <w:color w:val="auto"/>
          <w:sz w:val="24"/>
          <w:szCs w:val="24"/>
          <w:highlight w:val="none"/>
          <w:lang w:eastAsia="zh-CN"/>
        </w:rPr>
        <w:t>支持在当前激活序列上选择定位点，其余相关序列自动同步定位到包含定位点的相应层面。</w:t>
      </w:r>
    </w:p>
    <w:p w14:paraId="307FE055">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41.</w:t>
      </w:r>
      <w:r>
        <w:rPr>
          <w:rFonts w:hint="eastAsia"/>
          <w:color w:val="auto"/>
          <w:sz w:val="24"/>
          <w:szCs w:val="24"/>
          <w:highlight w:val="none"/>
          <w:lang w:eastAsia="zh-CN"/>
        </w:rPr>
        <w:t>支持影像诊断客户端零维护，所有维护升级都在服务器端完成。</w:t>
      </w:r>
    </w:p>
    <w:p w14:paraId="34CDEFC0">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42.</w:t>
      </w:r>
      <w:r>
        <w:rPr>
          <w:rFonts w:hint="eastAsia"/>
          <w:color w:val="auto"/>
          <w:sz w:val="24"/>
          <w:szCs w:val="24"/>
          <w:highlight w:val="none"/>
          <w:lang w:eastAsia="zh-CN"/>
        </w:rPr>
        <w:t>支持保存、提交、审核、评分、审核并打印、再审核、再审核并打印、退回、打印报告操作。</w:t>
      </w:r>
    </w:p>
    <w:p w14:paraId="5B736E8B">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43.</w:t>
      </w:r>
      <w:r>
        <w:rPr>
          <w:rFonts w:hint="eastAsia"/>
          <w:color w:val="auto"/>
          <w:sz w:val="24"/>
          <w:szCs w:val="24"/>
          <w:highlight w:val="none"/>
          <w:lang w:eastAsia="zh-CN"/>
        </w:rPr>
        <w:t>系统内置一系列由资深专家和医生录制的视频讲座，涵盖专病影像的各个方面，如影像技术、疾病诊断、治疗策略等。（提供软件功能截图并加盖厂商公章）</w:t>
      </w:r>
    </w:p>
    <w:p w14:paraId="7664A382">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44.</w:t>
      </w:r>
      <w:r>
        <w:rPr>
          <w:rFonts w:hint="eastAsia"/>
          <w:color w:val="auto"/>
          <w:sz w:val="24"/>
          <w:szCs w:val="24"/>
          <w:highlight w:val="none"/>
          <w:lang w:eastAsia="zh-CN"/>
        </w:rPr>
        <w:t>用户可以根据需要选择观看特定的讲座，系统支持讲座视频的在线播放、暂停、继续和快进快退等功能。</w:t>
      </w:r>
    </w:p>
    <w:p w14:paraId="0DE1AA57">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45.</w:t>
      </w:r>
      <w:r>
        <w:rPr>
          <w:rFonts w:hint="eastAsia"/>
          <w:color w:val="auto"/>
          <w:sz w:val="24"/>
          <w:szCs w:val="24"/>
          <w:highlight w:val="none"/>
          <w:lang w:eastAsia="zh-CN"/>
        </w:rPr>
        <w:t>讲座视频通过AI数字人方式完成（针对不同专家，每位专家提供5分钟原始讲座视频即可利用人工智能生成多个视频课件）。（提供软件功能截图并加盖厂商公章）</w:t>
      </w:r>
    </w:p>
    <w:p w14:paraId="255085AD">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46.</w:t>
      </w:r>
      <w:r>
        <w:rPr>
          <w:rFonts w:hint="eastAsia"/>
          <w:color w:val="auto"/>
          <w:sz w:val="24"/>
          <w:szCs w:val="24"/>
          <w:highlight w:val="none"/>
          <w:lang w:eastAsia="zh-CN"/>
        </w:rPr>
        <w:t>讲座视频输出支持</w:t>
      </w:r>
      <w:r>
        <w:rPr>
          <w:color w:val="auto"/>
          <w:sz w:val="24"/>
          <w:szCs w:val="24"/>
          <w:highlight w:val="none"/>
          <w:lang w:eastAsia="zh-CN"/>
        </w:rPr>
        <w:t>H.264编码MP4格式，兼容多种播放平台</w:t>
      </w:r>
      <w:r>
        <w:rPr>
          <w:rFonts w:hint="eastAsia"/>
          <w:color w:val="auto"/>
          <w:sz w:val="24"/>
          <w:szCs w:val="24"/>
          <w:highlight w:val="none"/>
          <w:lang w:eastAsia="zh-CN"/>
        </w:rPr>
        <w:t>；视频分辨率≥1</w:t>
      </w:r>
      <w:r>
        <w:rPr>
          <w:color w:val="auto"/>
          <w:sz w:val="24"/>
          <w:szCs w:val="24"/>
          <w:highlight w:val="none"/>
          <w:lang w:eastAsia="zh-CN"/>
        </w:rPr>
        <w:t>080</w:t>
      </w:r>
      <w:r>
        <w:rPr>
          <w:rFonts w:hint="eastAsia"/>
          <w:color w:val="auto"/>
          <w:sz w:val="24"/>
          <w:szCs w:val="24"/>
          <w:highlight w:val="none"/>
          <w:lang w:eastAsia="zh-CN"/>
        </w:rPr>
        <w:t>P；支持唱词字幕、音乐等辅助手段增强用户观感。</w:t>
      </w:r>
    </w:p>
    <w:p w14:paraId="1D250EEC">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47.</w:t>
      </w:r>
      <w:r>
        <w:rPr>
          <w:rFonts w:hint="eastAsia"/>
          <w:color w:val="auto"/>
          <w:sz w:val="24"/>
          <w:szCs w:val="24"/>
          <w:highlight w:val="none"/>
          <w:lang w:eastAsia="zh-CN"/>
        </w:rPr>
        <w:t>讲座视频含</w:t>
      </w:r>
      <w:r>
        <w:rPr>
          <w:color w:val="auto"/>
          <w:sz w:val="24"/>
          <w:szCs w:val="24"/>
          <w:highlight w:val="none"/>
          <w:lang w:eastAsia="zh-CN"/>
        </w:rPr>
        <w:t>30课时的内容制作费</w:t>
      </w:r>
      <w:r>
        <w:rPr>
          <w:rFonts w:hint="eastAsia"/>
          <w:color w:val="auto"/>
          <w:sz w:val="24"/>
          <w:szCs w:val="24"/>
          <w:highlight w:val="none"/>
          <w:lang w:eastAsia="zh-CN"/>
        </w:rPr>
        <w:t>，每</w:t>
      </w:r>
      <w:r>
        <w:rPr>
          <w:color w:val="auto"/>
          <w:sz w:val="24"/>
          <w:szCs w:val="24"/>
          <w:highlight w:val="none"/>
          <w:lang w:eastAsia="zh-CN"/>
        </w:rPr>
        <w:t>课时不超过45分钟</w:t>
      </w:r>
      <w:r>
        <w:rPr>
          <w:rFonts w:hint="eastAsia"/>
          <w:color w:val="auto"/>
          <w:sz w:val="24"/>
          <w:szCs w:val="24"/>
          <w:highlight w:val="none"/>
          <w:lang w:eastAsia="zh-CN"/>
        </w:rPr>
        <w:t>。</w:t>
      </w:r>
    </w:p>
    <w:p w14:paraId="31BA3BBE">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48.</w:t>
      </w:r>
      <w:r>
        <w:rPr>
          <w:rFonts w:hint="eastAsia"/>
          <w:color w:val="auto"/>
          <w:sz w:val="24"/>
          <w:szCs w:val="24"/>
          <w:highlight w:val="none"/>
          <w:lang w:eastAsia="zh-CN"/>
        </w:rPr>
        <w:t>讲座视频可以与病例分析模块相结合，为用户提供更全面的学习体验。</w:t>
      </w:r>
    </w:p>
    <w:p w14:paraId="5092B0DA">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49.</w:t>
      </w:r>
      <w:r>
        <w:rPr>
          <w:rFonts w:hint="eastAsia"/>
          <w:color w:val="auto"/>
          <w:sz w:val="24"/>
          <w:szCs w:val="24"/>
          <w:highlight w:val="none"/>
          <w:lang w:eastAsia="zh-CN"/>
        </w:rPr>
        <w:t>制作完成的视频讲座可以直接上传到系统中，供其他用户观看和学习。</w:t>
      </w:r>
    </w:p>
    <w:p w14:paraId="26978A5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50.</w:t>
      </w:r>
      <w:r>
        <w:rPr>
          <w:rFonts w:hint="eastAsia"/>
          <w:color w:val="auto"/>
          <w:sz w:val="24"/>
          <w:szCs w:val="24"/>
          <w:highlight w:val="none"/>
          <w:lang w:eastAsia="zh-CN"/>
        </w:rPr>
        <w:t>系统支持专家在线直播授课，实时解答学生疑问。这种教学方式能够打破时间和空间的限制，让更多的医学生和医生受益。</w:t>
      </w:r>
    </w:p>
    <w:p w14:paraId="1EA20737">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51.</w:t>
      </w:r>
      <w:r>
        <w:rPr>
          <w:rFonts w:hint="eastAsia"/>
          <w:color w:val="auto"/>
          <w:sz w:val="24"/>
          <w:szCs w:val="24"/>
          <w:highlight w:val="none"/>
          <w:lang w:eastAsia="zh-CN"/>
        </w:rPr>
        <w:t>系统设立讨论区供学生交流学习心得，建立专业交流群便于师生间的即时沟通。这种互动交流方式有助于促进学术思想的碰撞和融合，推动医学影像技术的不断创新与发展。（提供软件功能截图并加盖厂商公章）</w:t>
      </w:r>
    </w:p>
    <w:p w14:paraId="48FB8EE3">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52.</w:t>
      </w:r>
      <w:r>
        <w:rPr>
          <w:rFonts w:hint="eastAsia"/>
          <w:color w:val="auto"/>
          <w:sz w:val="24"/>
          <w:szCs w:val="24"/>
          <w:highlight w:val="none"/>
          <w:lang w:eastAsia="zh-CN"/>
        </w:rPr>
        <w:t>系统提供模拟考试功能，涵盖影像诊断、病例分析等多个方面。通过模拟考试，用户可以检验自己的学习成果，了解自己的薄弱环节，以便有针对性地进行改进。（提供软件功能截图并加盖厂商公章）</w:t>
      </w:r>
    </w:p>
    <w:p w14:paraId="75A5865C">
      <w:pPr>
        <w:numPr>
          <w:ilvl w:val="0"/>
          <w:numId w:val="0"/>
        </w:numPr>
        <w:spacing w:line="360" w:lineRule="auto"/>
        <w:ind w:left="420" w:leftChars="0" w:hanging="420" w:firstLineChars="0"/>
        <w:rPr>
          <w:color w:val="auto"/>
          <w:sz w:val="24"/>
          <w:szCs w:val="24"/>
          <w:highlight w:val="none"/>
          <w:lang w:eastAsia="zh-CN"/>
        </w:rPr>
      </w:pPr>
      <w:r>
        <w:rPr>
          <w:rFonts w:hint="eastAsia"/>
          <w:color w:val="auto"/>
          <w:sz w:val="24"/>
          <w:highlight w:val="none"/>
          <w:lang w:eastAsia="zh-CN"/>
        </w:rPr>
        <w:t>▲</w:t>
      </w:r>
      <w:r>
        <w:rPr>
          <w:rFonts w:ascii="宋体" w:hAnsi="宋体" w:eastAsia="宋体" w:cs="宋体"/>
          <w:color w:val="auto"/>
          <w:kern w:val="0"/>
          <w:sz w:val="24"/>
          <w:szCs w:val="24"/>
          <w:highlight w:val="none"/>
          <w:lang w:val="en-US" w:eastAsia="zh-CN" w:bidi="ar-SA"/>
        </w:rPr>
        <w:t>53.</w:t>
      </w:r>
      <w:r>
        <w:rPr>
          <w:rFonts w:hint="eastAsia"/>
          <w:color w:val="auto"/>
          <w:sz w:val="24"/>
          <w:szCs w:val="24"/>
          <w:highlight w:val="none"/>
          <w:lang w:eastAsia="zh-CN"/>
        </w:rPr>
        <w:t>系统自动评分并给出详细反馈报告，指出用户答题中的错误与不足。这种即时的反馈机制有助于用户及时纠正错误，提高学习效率和质量。（提供软件功能截图并加盖厂商公章）</w:t>
      </w:r>
    </w:p>
    <w:p w14:paraId="6A2066D7">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54.</w:t>
      </w:r>
      <w:r>
        <w:rPr>
          <w:rFonts w:hint="eastAsia"/>
          <w:color w:val="auto"/>
          <w:sz w:val="24"/>
          <w:szCs w:val="24"/>
          <w:highlight w:val="none"/>
          <w:lang w:eastAsia="zh-CN"/>
        </w:rPr>
        <w:t>系统根据用户的学习进度和兴趣偏好，智能推荐相关的学习资源和病例分析内容。这种个性化的学习方式能够更好地满足用户的需求，提高学习的针对性和有效性。</w:t>
      </w:r>
    </w:p>
    <w:p w14:paraId="781623D6">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55.</w:t>
      </w:r>
      <w:r>
        <w:rPr>
          <w:rFonts w:hint="eastAsia"/>
          <w:color w:val="auto"/>
          <w:sz w:val="24"/>
          <w:szCs w:val="24"/>
          <w:highlight w:val="none"/>
          <w:lang w:eastAsia="zh-CN"/>
        </w:rPr>
        <w:t>系统记录用户的学习进度和成绩变化，帮助用户了解自己的学习状况并制定合理的学习计划。通过跟踪学习进度，用户可以更好地掌握自己的学习节奏和进度，提高自我管理能力。</w:t>
      </w:r>
    </w:p>
    <w:p w14:paraId="0469D1DD">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56.</w:t>
      </w:r>
      <w:r>
        <w:rPr>
          <w:rFonts w:hint="eastAsia"/>
          <w:color w:val="auto"/>
          <w:sz w:val="24"/>
          <w:szCs w:val="24"/>
          <w:highlight w:val="none"/>
          <w:lang w:eastAsia="zh-CN"/>
        </w:rPr>
        <w:t>系统支持用户注册、登录、权限分配等功能，确保系统的安全性和稳定性。通过用户管理功能，系统管理员可以方便地管理用户信息，维护系统的正常运行。</w:t>
      </w:r>
    </w:p>
    <w:p w14:paraId="367AC4CE">
      <w:pPr>
        <w:pStyle w:val="5"/>
        <w:widowControl/>
        <w:spacing w:before="200" w:after="100" w:line="360" w:lineRule="auto"/>
        <w:outlineLvl w:val="0"/>
        <w:rPr>
          <w:b/>
          <w:color w:val="auto"/>
          <w:sz w:val="24"/>
          <w:szCs w:val="24"/>
          <w:highlight w:val="none"/>
          <w:lang w:eastAsia="zh-CN"/>
        </w:rPr>
      </w:pPr>
      <w:r>
        <w:rPr>
          <w:rStyle w:val="10"/>
          <w:rFonts w:hint="eastAsia"/>
          <w:color w:val="auto"/>
          <w:sz w:val="24"/>
          <w:szCs w:val="24"/>
          <w:highlight w:val="none"/>
          <w:lang w:eastAsia="zh-CN"/>
        </w:rPr>
        <w:t>3.2 医用显示屏</w:t>
      </w:r>
    </w:p>
    <w:p w14:paraId="1EDCF1B3">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57.</w:t>
      </w:r>
      <w:r>
        <w:rPr>
          <w:rFonts w:hint="eastAsia"/>
          <w:color w:val="auto"/>
          <w:sz w:val="24"/>
          <w:szCs w:val="24"/>
          <w:highlight w:val="none"/>
          <w:lang w:eastAsia="zh-CN"/>
        </w:rPr>
        <w:t>对角线尺寸≥84"；分辨率≥3840×2160；点距≤0.4875×0.4875mm；响应时间≤8.5ms；最大亮度≥700cd/m2；可视角度≥178°；对比度≥4000:1，色彩≥48bit， 满足环境光传感器≥1 ；</w:t>
      </w:r>
    </w:p>
    <w:p w14:paraId="1D3111DB">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58.</w:t>
      </w:r>
      <w:r>
        <w:rPr>
          <w:rFonts w:hint="eastAsia"/>
          <w:color w:val="auto"/>
          <w:sz w:val="24"/>
          <w:szCs w:val="24"/>
          <w:highlight w:val="none"/>
        </w:rPr>
        <w:t>显示器内置DICOM、GAMMA2.0、GAMMA2.2、CIE、DSA ；</w:t>
      </w:r>
    </w:p>
    <w:p w14:paraId="7E86D060">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59.</w:t>
      </w:r>
      <w:r>
        <w:rPr>
          <w:rFonts w:hint="eastAsia"/>
          <w:color w:val="auto"/>
          <w:sz w:val="24"/>
          <w:szCs w:val="24"/>
          <w:highlight w:val="none"/>
        </w:rPr>
        <w:t>视频信号输入接口：Single-link DVI≥2、Dual-link DVI≥2、DP≥1、HDMI≥1、VGA≥1；输出接口DP≥1、HDMI≥1 ；</w:t>
      </w:r>
    </w:p>
    <w:p w14:paraId="14F5009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60.</w:t>
      </w:r>
      <w:r>
        <w:rPr>
          <w:rFonts w:hint="eastAsia"/>
          <w:color w:val="auto"/>
          <w:sz w:val="24"/>
          <w:szCs w:val="24"/>
          <w:highlight w:val="none"/>
          <w:lang w:eastAsia="zh-CN"/>
        </w:rPr>
        <w:t>显示器可以自动识别医学彩色和灰阶图像的像素点并调取相应曲线校准；</w:t>
      </w:r>
    </w:p>
    <w:p w14:paraId="162380BD">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61.</w:t>
      </w:r>
      <w:r>
        <w:rPr>
          <w:rFonts w:hint="eastAsia"/>
          <w:color w:val="auto"/>
          <w:sz w:val="24"/>
          <w:szCs w:val="24"/>
          <w:highlight w:val="none"/>
          <w:lang w:eastAsia="zh-CN"/>
        </w:rPr>
        <w:t>可探测前方是否有使用人员，自动待机或唤醒会诊显示器，用于消除医用显示器残影并自行保养延长会诊显示器寿命，并更好地实现节能；</w:t>
      </w:r>
    </w:p>
    <w:p w14:paraId="6B0E7FC4">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62.</w:t>
      </w:r>
      <w:r>
        <w:rPr>
          <w:rFonts w:hint="eastAsia"/>
          <w:color w:val="auto"/>
          <w:sz w:val="24"/>
          <w:szCs w:val="24"/>
          <w:highlight w:val="none"/>
          <w:lang w:eastAsia="zh-CN"/>
        </w:rPr>
        <w:t>显示器可以侦测使用环境的环境光数据，根据环境光自适应调整亮度；</w:t>
      </w:r>
    </w:p>
    <w:p w14:paraId="26486962">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63.</w:t>
      </w:r>
      <w:r>
        <w:rPr>
          <w:rFonts w:hint="eastAsia"/>
          <w:color w:val="auto"/>
          <w:sz w:val="24"/>
          <w:szCs w:val="24"/>
          <w:highlight w:val="none"/>
          <w:lang w:eastAsia="zh-CN"/>
        </w:rPr>
        <w:t>NFC动感应区域具备NFC动感应区域，将移动设备靠近感应区，可快速获取医用显示器上显示器的医学影像；</w:t>
      </w:r>
    </w:p>
    <w:p w14:paraId="42FF8CB9">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64.</w:t>
      </w:r>
      <w:r>
        <w:rPr>
          <w:rFonts w:hint="eastAsia"/>
          <w:color w:val="auto"/>
          <w:sz w:val="24"/>
          <w:szCs w:val="24"/>
          <w:highlight w:val="none"/>
          <w:lang w:eastAsia="zh-CN"/>
        </w:rPr>
        <w:t>支持截取图像通过碰触智能阅片桌NFC连接后，可一键可对医用显示器上的医学影像进行截图；</w:t>
      </w:r>
    </w:p>
    <w:p w14:paraId="60C670EB">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65.</w:t>
      </w:r>
      <w:r>
        <w:rPr>
          <w:rFonts w:hint="eastAsia"/>
          <w:color w:val="auto"/>
          <w:sz w:val="24"/>
          <w:szCs w:val="24"/>
          <w:highlight w:val="none"/>
          <w:lang w:eastAsia="zh-CN"/>
        </w:rPr>
        <w:t>支持预览操作，截取影像预览区供用户查看，用户可自主选择保存、重新截取和取消；</w:t>
      </w:r>
    </w:p>
    <w:p w14:paraId="37E6CDCD">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66.</w:t>
      </w:r>
      <w:r>
        <w:rPr>
          <w:rFonts w:hint="eastAsia"/>
          <w:color w:val="auto"/>
          <w:sz w:val="24"/>
          <w:szCs w:val="24"/>
          <w:highlight w:val="none"/>
          <w:lang w:eastAsia="zh-CN"/>
        </w:rPr>
        <w:t>支持图像保存截取图像自动保存手机相册，预设相册图标，快速定位。</w:t>
      </w:r>
    </w:p>
    <w:p w14:paraId="2EAD898F">
      <w:pPr>
        <w:pStyle w:val="5"/>
        <w:widowControl/>
        <w:spacing w:before="200" w:after="100" w:line="360" w:lineRule="auto"/>
        <w:outlineLvl w:val="0"/>
        <w:rPr>
          <w:rStyle w:val="10"/>
          <w:color w:val="auto"/>
          <w:sz w:val="24"/>
          <w:szCs w:val="24"/>
          <w:highlight w:val="none"/>
          <w:lang w:eastAsia="zh-CN"/>
        </w:rPr>
      </w:pPr>
      <w:r>
        <w:rPr>
          <w:rStyle w:val="10"/>
          <w:rFonts w:hint="eastAsia"/>
          <w:color w:val="auto"/>
          <w:sz w:val="24"/>
          <w:szCs w:val="24"/>
          <w:highlight w:val="none"/>
          <w:lang w:eastAsia="zh-CN"/>
        </w:rPr>
        <w:t>四、服务要求</w:t>
      </w:r>
    </w:p>
    <w:p w14:paraId="528304C5">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1.</w:t>
      </w:r>
      <w:r>
        <w:rPr>
          <w:rFonts w:hint="eastAsia"/>
          <w:color w:val="auto"/>
          <w:sz w:val="24"/>
          <w:szCs w:val="24"/>
          <w:highlight w:val="none"/>
          <w:lang w:eastAsia="zh-CN"/>
        </w:rPr>
        <w:t>实施工期：签订合同后180天内，在采购人指定地点，测试安装调试完毕，完成系统上线运行，并按招标文件要求通过验收、评测。</w:t>
      </w:r>
    </w:p>
    <w:p w14:paraId="075AE0E5">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2.</w:t>
      </w:r>
      <w:r>
        <w:rPr>
          <w:rFonts w:hint="eastAsia"/>
          <w:color w:val="auto"/>
          <w:sz w:val="24"/>
          <w:szCs w:val="24"/>
          <w:highlight w:val="none"/>
          <w:lang w:eastAsia="zh-CN"/>
        </w:rPr>
        <w:t>质保期：免费维保期五年，自项目最终验收之日起计算。</w:t>
      </w:r>
    </w:p>
    <w:p w14:paraId="4472772D">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3.</w:t>
      </w:r>
      <w:r>
        <w:rPr>
          <w:rFonts w:hint="eastAsia"/>
          <w:color w:val="auto"/>
          <w:sz w:val="24"/>
          <w:szCs w:val="24"/>
          <w:highlight w:val="none"/>
          <w:lang w:eastAsia="zh-CN"/>
        </w:rPr>
        <w:t>人员要求：</w:t>
      </w:r>
      <w:r>
        <w:rPr>
          <w:rFonts w:hint="eastAsia"/>
          <w:color w:val="auto"/>
          <w:sz w:val="24"/>
          <w:highlight w:val="none"/>
          <w:lang w:eastAsia="zh-CN"/>
        </w:rPr>
        <w:t>供应商保证按时派遣合格、有熟练经验且能够胜任本项目工作的技术人员提供专业、优质、正确和高效的技术服务。</w:t>
      </w:r>
    </w:p>
    <w:p w14:paraId="7652C5D9">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4.</w:t>
      </w:r>
      <w:r>
        <w:rPr>
          <w:rFonts w:hint="eastAsia"/>
          <w:color w:val="auto"/>
          <w:sz w:val="24"/>
          <w:szCs w:val="21"/>
          <w:highlight w:val="none"/>
          <w:lang w:eastAsia="zh-CN"/>
        </w:rPr>
        <w:t>供应商必须提供7×24小时免费技术支持，包括邮件、电话、远程维护、现场服务等方式。必须保证有足够的人员负责本系统运维工作，并保证30分钟内对用户的维护请求予以响应。系统故障、BUG等影响系统稳定运行的问题需在24小时之内解决，如需进行现场维护，维护工程师需在2小时内到达现场</w:t>
      </w:r>
      <w:r>
        <w:rPr>
          <w:rFonts w:hint="eastAsia" w:cs="华文中宋"/>
          <w:color w:val="auto"/>
          <w:sz w:val="24"/>
          <w:szCs w:val="24"/>
          <w:highlight w:val="none"/>
          <w:lang w:eastAsia="zh-CN"/>
        </w:rPr>
        <w:t>。</w:t>
      </w:r>
    </w:p>
    <w:p w14:paraId="607D0121">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5.</w:t>
      </w:r>
      <w:r>
        <w:rPr>
          <w:rFonts w:hint="eastAsia"/>
          <w:color w:val="auto"/>
          <w:sz w:val="24"/>
          <w:highlight w:val="none"/>
          <w:lang w:eastAsia="zh-CN"/>
        </w:rPr>
        <w:t>针对本项目提供的培训应包括系统技术培训和操作使用培训等，确保在系统正式上线前完成相应培训工作，要求培训质量满足相关人员能独立使用及承担日常的维护管理。</w:t>
      </w:r>
    </w:p>
    <w:p w14:paraId="36A12D06">
      <w:pPr>
        <w:numPr>
          <w:ilvl w:val="0"/>
          <w:numId w:val="0"/>
        </w:numPr>
        <w:spacing w:line="360" w:lineRule="auto"/>
        <w:ind w:left="420" w:leftChars="0" w:hanging="420" w:firstLineChars="0"/>
        <w:rPr>
          <w:color w:val="auto"/>
          <w:sz w:val="24"/>
          <w:szCs w:val="24"/>
          <w:highlight w:val="none"/>
          <w:lang w:eastAsia="zh-CN"/>
        </w:rPr>
      </w:pPr>
      <w:r>
        <w:rPr>
          <w:rFonts w:ascii="宋体" w:hAnsi="宋体" w:eastAsia="宋体" w:cs="宋体"/>
          <w:color w:val="auto"/>
          <w:kern w:val="0"/>
          <w:sz w:val="24"/>
          <w:szCs w:val="24"/>
          <w:highlight w:val="none"/>
          <w:lang w:val="en-US" w:eastAsia="zh-CN" w:bidi="ar-SA"/>
        </w:rPr>
        <w:t>6.</w:t>
      </w:r>
      <w:r>
        <w:rPr>
          <w:rFonts w:hint="eastAsia"/>
          <w:color w:val="auto"/>
          <w:sz w:val="24"/>
          <w:highlight w:val="none"/>
          <w:lang w:eastAsia="zh-CN"/>
        </w:rPr>
        <w:t>配合采购人完成数据备份相关工作。</w:t>
      </w:r>
    </w:p>
    <w:p w14:paraId="10632A3A">
      <w:r>
        <w:rPr>
          <w:rFonts w:ascii="宋体" w:hAnsi="宋体" w:eastAsia="宋体" w:cs="宋体"/>
          <w:color w:val="auto"/>
          <w:kern w:val="0"/>
          <w:sz w:val="24"/>
          <w:szCs w:val="24"/>
          <w:highlight w:val="none"/>
          <w:lang w:val="en-US" w:eastAsia="zh-CN" w:bidi="ar-SA"/>
        </w:rPr>
        <w:t>7.</w:t>
      </w:r>
      <w:r>
        <w:rPr>
          <w:rFonts w:hint="eastAsia"/>
          <w:color w:val="auto"/>
          <w:sz w:val="24"/>
          <w:highlight w:val="none"/>
          <w:lang w:eastAsia="zh-CN"/>
        </w:rPr>
        <w:t>突发重大安全及系统故障应急处理：对于出现的机房环境问题、硬件损坏或应用系统等故障的情况，供应商需要在2个小时内上门配合采购人维护，分析具体故障原因和严重程度，制定临时应急方案，尽快恢复系统运行，根据需求及时增加相应人员，配合工作，在规定的期限内完成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Arial Regular">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DEEB4"/>
    <w:multiLevelType w:val="singleLevel"/>
    <w:tmpl w:val="D1BDEEB4"/>
    <w:lvl w:ilvl="0" w:tentative="0">
      <w:start w:val="2"/>
      <w:numFmt w:val="decimal"/>
      <w:suff w:val="space"/>
      <w:lvlText w:val="%1."/>
      <w:lvlJc w:val="left"/>
      <w:pPr>
        <w:ind w:left="540"/>
      </w:pPr>
      <w:rPr>
        <w:rFonts w:hint="default"/>
        <w:b w:val="0"/>
        <w:bCs w:val="0"/>
      </w:rPr>
    </w:lvl>
  </w:abstractNum>
  <w:abstractNum w:abstractNumId="1">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D00AD"/>
    <w:rsid w:val="3ECD0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Plain Text"/>
    <w:basedOn w:val="1"/>
    <w:semiHidden/>
    <w:unhideWhenUsed/>
    <w:qFormat/>
    <w:uiPriority w:val="0"/>
    <w:rPr>
      <w:rFonts w:hAnsi="Courier New" w:cs="Courier New"/>
      <w:sz w:val="24"/>
      <w:szCs w:val="21"/>
    </w:rPr>
  </w:style>
  <w:style w:type="paragraph" w:styleId="5">
    <w:name w:val="Normal (Web)"/>
    <w:basedOn w:val="1"/>
    <w:unhideWhenUsed/>
    <w:qFormat/>
    <w:uiPriority w:val="99"/>
  </w:style>
  <w:style w:type="paragraph" w:styleId="6">
    <w:name w:val="Title"/>
    <w:basedOn w:val="1"/>
    <w:qFormat/>
    <w:uiPriority w:val="0"/>
    <w:pPr>
      <w:jc w:val="center"/>
      <w:outlineLvl w:val="0"/>
    </w:pPr>
    <w:rPr>
      <w:b/>
      <w:sz w:val="32"/>
      <w:szCs w:val="20"/>
    </w:rPr>
  </w:style>
  <w:style w:type="table" w:styleId="8">
    <w:name w:val="Table Grid"/>
    <w:basedOn w:val="7"/>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出段落1"/>
    <w:basedOn w:val="1"/>
    <w:qFormat/>
    <w:uiPriority w:val="1"/>
    <w:pPr>
      <w:spacing w:before="134"/>
      <w:ind w:left="1196" w:hanging="720"/>
    </w:pPr>
    <w:rPr>
      <w:sz w:val="20"/>
    </w:rPr>
  </w:style>
  <w:style w:type="paragraph" w:styleId="12">
    <w:name w:val="List Paragraph"/>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2025-07-09T06:54:00Z</dcterms:created>
  <dc:creator>王崴</dc:creator>
  <cp:lastModifiedBy>王崴</cp:lastModifiedBy>
  <dcterms:modified xsi:type="dcterms:W3CDTF">2025-07-09T06:56:51Z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9CB08DFD275646CEA15C8CD0AC91B748_11</vt:lpwstr>
  </property>
  <property fmtid="{D5CDD505-2E9C-101B-9397-08002B2CF9AE}" pid="4" name="KSOTemplateDocerSaveRecord">
    <vt:lpwstr>eyJoZGlkIjoiMDcyMmFjNmZjM2U5ODcyZjQ5NTE0NjNjMjU2OTE5OTIiLCJ1c2VySWQiOiI4NDYxOTIwMTUifQ==</vt:lpwstr>
  </property>
</Properties>
</file>