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7078B">
      <w:pPr>
        <w:spacing w:line="360" w:lineRule="auto"/>
        <w:jc w:val="center"/>
        <w:outlineLvl w:val="0"/>
        <w:rPr>
          <w:rFonts w:ascii="宋体" w:hAnsi="宋体"/>
          <w:b/>
          <w:sz w:val="36"/>
          <w:szCs w:val="36"/>
        </w:rPr>
      </w:pPr>
      <w:r>
        <w:rPr>
          <w:rFonts w:ascii="宋体" w:hAnsi="宋体"/>
          <w:b/>
          <w:sz w:val="36"/>
          <w:szCs w:val="36"/>
        </w:rPr>
        <w:t>采购需求</w:t>
      </w:r>
    </w:p>
    <w:p w14:paraId="28FF1B6A">
      <w:pPr>
        <w:pStyle w:val="5"/>
        <w:spacing w:line="360" w:lineRule="auto"/>
        <w:ind w:firstLine="482"/>
        <w:contextualSpacing/>
        <w:rPr>
          <w:rFonts w:ascii="宋体" w:hAnsi="宋体" w:cs="宋体"/>
          <w:b/>
          <w:sz w:val="24"/>
          <w:szCs w:val="24"/>
        </w:rPr>
      </w:pPr>
      <w:r>
        <w:rPr>
          <w:rFonts w:ascii="宋体" w:hAnsi="宋体" w:cs="宋体"/>
          <w:b/>
          <w:sz w:val="24"/>
          <w:szCs w:val="24"/>
        </w:rPr>
        <w:t>一、采购标的</w:t>
      </w:r>
    </w:p>
    <w:p w14:paraId="00B879FF">
      <w:pPr>
        <w:spacing w:line="360" w:lineRule="auto"/>
        <w:ind w:left="130" w:leftChars="62" w:firstLine="302" w:firstLineChars="126"/>
        <w:rPr>
          <w:rFonts w:ascii="宋体" w:hAnsi="宋体" w:cs="宋体"/>
          <w:sz w:val="24"/>
        </w:rPr>
      </w:pPr>
      <w:r>
        <w:rPr>
          <w:rFonts w:hint="eastAsia" w:ascii="宋体" w:hAnsi="宋体" w:cs="宋体"/>
          <w:sz w:val="24"/>
        </w:rPr>
        <w:t>1. 采购标的</w:t>
      </w:r>
    </w:p>
    <w:tbl>
      <w:tblPr>
        <w:tblStyle w:val="3"/>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59"/>
        <w:gridCol w:w="993"/>
        <w:gridCol w:w="1275"/>
        <w:gridCol w:w="3777"/>
      </w:tblGrid>
      <w:tr w14:paraId="56A0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vAlign w:val="center"/>
          </w:tcPr>
          <w:p w14:paraId="759E853E">
            <w:pPr>
              <w:jc w:val="center"/>
              <w:rPr>
                <w:rFonts w:ascii="宋体" w:hAnsi="宋体"/>
                <w:bCs/>
                <w:sz w:val="24"/>
              </w:rPr>
            </w:pPr>
            <w:r>
              <w:rPr>
                <w:rFonts w:hint="eastAsia" w:ascii="宋体" w:hAnsi="宋体"/>
                <w:bCs/>
                <w:sz w:val="24"/>
              </w:rPr>
              <w:t>序号</w:t>
            </w:r>
          </w:p>
        </w:tc>
        <w:tc>
          <w:tcPr>
            <w:tcW w:w="1559" w:type="dxa"/>
            <w:vAlign w:val="center"/>
          </w:tcPr>
          <w:p w14:paraId="7CF4B682">
            <w:pPr>
              <w:jc w:val="center"/>
              <w:rPr>
                <w:rFonts w:ascii="宋体" w:hAnsi="宋体"/>
                <w:bCs/>
                <w:sz w:val="24"/>
              </w:rPr>
            </w:pPr>
            <w:r>
              <w:rPr>
                <w:rFonts w:hint="eastAsia" w:ascii="宋体" w:hAnsi="宋体"/>
                <w:bCs/>
                <w:sz w:val="24"/>
              </w:rPr>
              <w:t>标的名称</w:t>
            </w:r>
          </w:p>
        </w:tc>
        <w:tc>
          <w:tcPr>
            <w:tcW w:w="993" w:type="dxa"/>
            <w:vAlign w:val="center"/>
          </w:tcPr>
          <w:p w14:paraId="75E03158">
            <w:pPr>
              <w:jc w:val="center"/>
              <w:rPr>
                <w:rFonts w:ascii="宋体" w:hAnsi="宋体"/>
                <w:bCs/>
                <w:sz w:val="24"/>
              </w:rPr>
            </w:pPr>
            <w:r>
              <w:rPr>
                <w:rFonts w:hint="eastAsia" w:ascii="宋体" w:hAnsi="宋体"/>
                <w:bCs/>
                <w:sz w:val="24"/>
              </w:rPr>
              <w:t>样本量</w:t>
            </w:r>
          </w:p>
        </w:tc>
        <w:tc>
          <w:tcPr>
            <w:tcW w:w="1275" w:type="dxa"/>
            <w:vAlign w:val="center"/>
          </w:tcPr>
          <w:p w14:paraId="227D1026">
            <w:pPr>
              <w:jc w:val="center"/>
              <w:rPr>
                <w:rFonts w:ascii="宋体" w:hAnsi="宋体"/>
                <w:bCs/>
                <w:sz w:val="24"/>
              </w:rPr>
            </w:pPr>
            <w:r>
              <w:rPr>
                <w:rFonts w:hint="eastAsia" w:ascii="宋体" w:hAnsi="宋体"/>
                <w:bCs/>
                <w:sz w:val="24"/>
              </w:rPr>
              <w:t>单价最高限价</w:t>
            </w:r>
          </w:p>
        </w:tc>
        <w:tc>
          <w:tcPr>
            <w:tcW w:w="3777" w:type="dxa"/>
            <w:vAlign w:val="center"/>
          </w:tcPr>
          <w:p w14:paraId="372C5767">
            <w:pPr>
              <w:jc w:val="center"/>
              <w:rPr>
                <w:rFonts w:ascii="宋体" w:hAnsi="宋体"/>
                <w:bCs/>
                <w:sz w:val="24"/>
              </w:rPr>
            </w:pPr>
            <w:r>
              <w:rPr>
                <w:rFonts w:hint="eastAsia" w:ascii="宋体" w:hAnsi="宋体"/>
                <w:bCs/>
                <w:sz w:val="24"/>
              </w:rPr>
              <w:t>简要技术需求</w:t>
            </w:r>
          </w:p>
        </w:tc>
      </w:tr>
      <w:tr w14:paraId="614F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vAlign w:val="center"/>
          </w:tcPr>
          <w:p w14:paraId="65B2DBB9">
            <w:pPr>
              <w:jc w:val="center"/>
              <w:rPr>
                <w:rFonts w:ascii="宋体" w:hAnsi="宋体"/>
                <w:bCs/>
                <w:sz w:val="24"/>
              </w:rPr>
            </w:pPr>
            <w:r>
              <w:rPr>
                <w:rFonts w:hint="eastAsia" w:ascii="宋体" w:hAnsi="宋体"/>
                <w:bCs/>
                <w:sz w:val="24"/>
              </w:rPr>
              <w:t>1</w:t>
            </w:r>
          </w:p>
        </w:tc>
        <w:tc>
          <w:tcPr>
            <w:tcW w:w="1559" w:type="dxa"/>
            <w:vAlign w:val="center"/>
          </w:tcPr>
          <w:p w14:paraId="2F1E48BE">
            <w:pPr>
              <w:jc w:val="center"/>
              <w:rPr>
                <w:rFonts w:ascii="宋体" w:hAnsi="宋体"/>
                <w:bCs/>
                <w:sz w:val="24"/>
              </w:rPr>
            </w:pPr>
            <w:r>
              <w:rPr>
                <w:rFonts w:hint="eastAsia" w:ascii="宋体" w:hAnsi="宋体"/>
                <w:bCs/>
                <w:sz w:val="24"/>
              </w:rPr>
              <w:t>空间转录组测序</w:t>
            </w:r>
          </w:p>
        </w:tc>
        <w:tc>
          <w:tcPr>
            <w:tcW w:w="993" w:type="dxa"/>
            <w:vAlign w:val="center"/>
          </w:tcPr>
          <w:p w14:paraId="02702FA4">
            <w:pPr>
              <w:jc w:val="center"/>
              <w:rPr>
                <w:rFonts w:ascii="宋体" w:hAnsi="宋体"/>
                <w:bCs/>
                <w:sz w:val="24"/>
              </w:rPr>
            </w:pPr>
            <w:r>
              <w:rPr>
                <w:rFonts w:hint="eastAsia" w:ascii="宋体" w:hAnsi="宋体"/>
                <w:bCs/>
                <w:sz w:val="24"/>
              </w:rPr>
              <w:t>24例</w:t>
            </w:r>
          </w:p>
        </w:tc>
        <w:tc>
          <w:tcPr>
            <w:tcW w:w="1275" w:type="dxa"/>
            <w:vAlign w:val="center"/>
          </w:tcPr>
          <w:p w14:paraId="375AF167">
            <w:pPr>
              <w:jc w:val="center"/>
              <w:rPr>
                <w:rFonts w:ascii="宋体" w:hAnsi="宋体"/>
                <w:bCs/>
                <w:sz w:val="24"/>
              </w:rPr>
            </w:pPr>
            <w:r>
              <w:rPr>
                <w:rFonts w:hint="eastAsia" w:ascii="宋体" w:hAnsi="宋体"/>
                <w:bCs/>
                <w:sz w:val="24"/>
              </w:rPr>
              <w:t>34500元/例</w:t>
            </w:r>
          </w:p>
        </w:tc>
        <w:tc>
          <w:tcPr>
            <w:tcW w:w="3777" w:type="dxa"/>
            <w:vAlign w:val="center"/>
          </w:tcPr>
          <w:p w14:paraId="02D2E902">
            <w:pPr>
              <w:jc w:val="left"/>
              <w:rPr>
                <w:rFonts w:ascii="宋体" w:hAnsi="宋体" w:cs="宋体"/>
                <w:bCs/>
                <w:sz w:val="24"/>
              </w:rPr>
            </w:pPr>
            <w:r>
              <w:rPr>
                <w:rFonts w:hint="eastAsia" w:ascii="宋体" w:hAnsi="宋体" w:cs="宋体"/>
                <w:bCs/>
                <w:sz w:val="24"/>
              </w:rPr>
              <w:t>根据数据的条形码信息对数据进行分析，以确定数据的空间位置，从而实现空间基因表达的可视化。</w:t>
            </w:r>
          </w:p>
        </w:tc>
      </w:tr>
      <w:tr w14:paraId="239F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16" w:type="dxa"/>
            <w:vAlign w:val="center"/>
          </w:tcPr>
          <w:p w14:paraId="349DB5C7">
            <w:pPr>
              <w:jc w:val="center"/>
              <w:rPr>
                <w:rFonts w:ascii="宋体" w:hAnsi="宋体"/>
                <w:bCs/>
                <w:sz w:val="24"/>
              </w:rPr>
            </w:pPr>
            <w:r>
              <w:rPr>
                <w:rFonts w:hint="eastAsia" w:ascii="宋体" w:hAnsi="宋体"/>
                <w:bCs/>
                <w:sz w:val="24"/>
              </w:rPr>
              <w:t>2</w:t>
            </w:r>
          </w:p>
        </w:tc>
        <w:tc>
          <w:tcPr>
            <w:tcW w:w="1559" w:type="dxa"/>
            <w:vAlign w:val="center"/>
          </w:tcPr>
          <w:p w14:paraId="3F9C048F">
            <w:pPr>
              <w:jc w:val="center"/>
              <w:rPr>
                <w:rFonts w:ascii="宋体" w:hAnsi="宋体"/>
                <w:bCs/>
                <w:sz w:val="24"/>
              </w:rPr>
            </w:pPr>
            <w:r>
              <w:rPr>
                <w:rFonts w:hint="eastAsia" w:ascii="宋体" w:hAnsi="宋体"/>
                <w:bCs/>
                <w:sz w:val="24"/>
              </w:rPr>
              <w:t>空间代谢组学测序</w:t>
            </w:r>
          </w:p>
        </w:tc>
        <w:tc>
          <w:tcPr>
            <w:tcW w:w="993" w:type="dxa"/>
            <w:vAlign w:val="center"/>
          </w:tcPr>
          <w:p w14:paraId="0081E257">
            <w:pPr>
              <w:jc w:val="center"/>
              <w:rPr>
                <w:rFonts w:ascii="宋体" w:hAnsi="宋体"/>
                <w:bCs/>
                <w:sz w:val="24"/>
              </w:rPr>
            </w:pPr>
            <w:r>
              <w:rPr>
                <w:rFonts w:hint="eastAsia" w:ascii="宋体" w:hAnsi="宋体"/>
                <w:bCs/>
                <w:sz w:val="24"/>
              </w:rPr>
              <w:t>20例</w:t>
            </w:r>
          </w:p>
        </w:tc>
        <w:tc>
          <w:tcPr>
            <w:tcW w:w="1275" w:type="dxa"/>
            <w:vAlign w:val="center"/>
          </w:tcPr>
          <w:p w14:paraId="4373F229">
            <w:pPr>
              <w:jc w:val="center"/>
              <w:rPr>
                <w:rFonts w:ascii="宋体" w:hAnsi="宋体"/>
                <w:bCs/>
                <w:sz w:val="24"/>
              </w:rPr>
            </w:pPr>
            <w:r>
              <w:rPr>
                <w:rFonts w:hint="eastAsia" w:ascii="宋体" w:hAnsi="宋体"/>
                <w:bCs/>
                <w:sz w:val="24"/>
              </w:rPr>
              <w:t>18100元/例</w:t>
            </w:r>
          </w:p>
        </w:tc>
        <w:tc>
          <w:tcPr>
            <w:tcW w:w="3777" w:type="dxa"/>
            <w:vAlign w:val="center"/>
          </w:tcPr>
          <w:p w14:paraId="05450250">
            <w:pPr>
              <w:jc w:val="left"/>
              <w:rPr>
                <w:rFonts w:ascii="宋体" w:hAnsi="宋体" w:cs="宋体"/>
                <w:bCs/>
                <w:sz w:val="24"/>
              </w:rPr>
            </w:pPr>
            <w:r>
              <w:rPr>
                <w:rFonts w:hint="eastAsia" w:ascii="宋体" w:hAnsi="宋体" w:cs="宋体"/>
                <w:bCs/>
                <w:sz w:val="24"/>
              </w:rPr>
              <w:t>提供从实验设计、样品检测、数据分析一站式代谢组与16S rDNA测序整合分析服务，可满足多种检测需求。</w:t>
            </w:r>
          </w:p>
        </w:tc>
      </w:tr>
      <w:tr w14:paraId="3728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vAlign w:val="center"/>
          </w:tcPr>
          <w:p w14:paraId="3EE04635">
            <w:pPr>
              <w:jc w:val="center"/>
              <w:rPr>
                <w:rFonts w:ascii="宋体" w:hAnsi="宋体"/>
                <w:bCs/>
                <w:sz w:val="24"/>
              </w:rPr>
            </w:pPr>
            <w:r>
              <w:rPr>
                <w:rFonts w:hint="eastAsia" w:ascii="宋体" w:hAnsi="宋体"/>
                <w:bCs/>
                <w:sz w:val="24"/>
              </w:rPr>
              <w:t>3</w:t>
            </w:r>
          </w:p>
        </w:tc>
        <w:tc>
          <w:tcPr>
            <w:tcW w:w="1559" w:type="dxa"/>
            <w:vAlign w:val="center"/>
          </w:tcPr>
          <w:p w14:paraId="30511D2D">
            <w:pPr>
              <w:jc w:val="center"/>
              <w:rPr>
                <w:rFonts w:ascii="宋体" w:hAnsi="宋体"/>
                <w:bCs/>
                <w:sz w:val="24"/>
              </w:rPr>
            </w:pPr>
            <w:r>
              <w:rPr>
                <w:rFonts w:hint="eastAsia" w:ascii="宋体" w:hAnsi="宋体"/>
                <w:bCs/>
                <w:sz w:val="24"/>
              </w:rPr>
              <w:t>单细胞转录组测序</w:t>
            </w:r>
          </w:p>
        </w:tc>
        <w:tc>
          <w:tcPr>
            <w:tcW w:w="993" w:type="dxa"/>
            <w:vAlign w:val="center"/>
          </w:tcPr>
          <w:p w14:paraId="2C25577D">
            <w:pPr>
              <w:jc w:val="center"/>
              <w:rPr>
                <w:rFonts w:ascii="宋体" w:hAnsi="宋体"/>
                <w:bCs/>
                <w:sz w:val="24"/>
              </w:rPr>
            </w:pPr>
            <w:r>
              <w:rPr>
                <w:rFonts w:hint="eastAsia" w:ascii="宋体" w:hAnsi="宋体"/>
                <w:bCs/>
                <w:sz w:val="24"/>
              </w:rPr>
              <w:t>10例</w:t>
            </w:r>
          </w:p>
        </w:tc>
        <w:tc>
          <w:tcPr>
            <w:tcW w:w="1275" w:type="dxa"/>
            <w:vAlign w:val="center"/>
          </w:tcPr>
          <w:p w14:paraId="341AF2D1">
            <w:pPr>
              <w:jc w:val="center"/>
              <w:rPr>
                <w:rFonts w:ascii="宋体" w:hAnsi="宋体"/>
                <w:bCs/>
                <w:sz w:val="24"/>
              </w:rPr>
            </w:pPr>
            <w:r>
              <w:rPr>
                <w:rFonts w:hint="eastAsia" w:ascii="宋体" w:hAnsi="宋体"/>
                <w:bCs/>
                <w:sz w:val="24"/>
              </w:rPr>
              <w:t>11500元/例</w:t>
            </w:r>
          </w:p>
        </w:tc>
        <w:tc>
          <w:tcPr>
            <w:tcW w:w="3777" w:type="dxa"/>
            <w:vAlign w:val="center"/>
          </w:tcPr>
          <w:p w14:paraId="0ECD4181">
            <w:pPr>
              <w:jc w:val="left"/>
              <w:rPr>
                <w:rFonts w:ascii="宋体" w:hAnsi="宋体" w:cs="宋体"/>
                <w:bCs/>
                <w:sz w:val="24"/>
              </w:rPr>
            </w:pPr>
            <w:r>
              <w:rPr>
                <w:rFonts w:hint="eastAsia" w:ascii="宋体" w:hAnsi="宋体" w:cs="宋体"/>
                <w:bCs/>
                <w:sz w:val="24"/>
              </w:rPr>
              <w:t>利用生物信息学对单细胞的转录组展开数据分析，获得单细胞的基因表达谱和膜表面蛋白表达信息，对细胞亚群进行聚类、信号通路富集分析等。</w:t>
            </w:r>
          </w:p>
        </w:tc>
      </w:tr>
      <w:tr w14:paraId="48EF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vAlign w:val="center"/>
          </w:tcPr>
          <w:p w14:paraId="2B68E3D5">
            <w:pPr>
              <w:jc w:val="center"/>
              <w:rPr>
                <w:rFonts w:ascii="宋体" w:hAnsi="宋体"/>
                <w:bCs/>
                <w:sz w:val="24"/>
              </w:rPr>
            </w:pPr>
            <w:r>
              <w:rPr>
                <w:rFonts w:hint="eastAsia" w:ascii="宋体" w:hAnsi="宋体"/>
                <w:bCs/>
                <w:sz w:val="24"/>
              </w:rPr>
              <w:t>4</w:t>
            </w:r>
          </w:p>
        </w:tc>
        <w:tc>
          <w:tcPr>
            <w:tcW w:w="1559" w:type="dxa"/>
            <w:vAlign w:val="center"/>
          </w:tcPr>
          <w:p w14:paraId="7A3F5030">
            <w:pPr>
              <w:jc w:val="center"/>
              <w:rPr>
                <w:rFonts w:ascii="宋体" w:hAnsi="宋体"/>
                <w:bCs/>
                <w:sz w:val="24"/>
              </w:rPr>
            </w:pPr>
            <w:r>
              <w:rPr>
                <w:rFonts w:hint="eastAsia" w:ascii="宋体" w:hAnsi="宋体"/>
                <w:bCs/>
                <w:sz w:val="24"/>
              </w:rPr>
              <w:t>靶向代谢组学和蛋白组学测序</w:t>
            </w:r>
          </w:p>
        </w:tc>
        <w:tc>
          <w:tcPr>
            <w:tcW w:w="993" w:type="dxa"/>
            <w:vAlign w:val="center"/>
          </w:tcPr>
          <w:p w14:paraId="6E9A7ACD">
            <w:pPr>
              <w:jc w:val="center"/>
              <w:rPr>
                <w:rFonts w:ascii="宋体" w:hAnsi="宋体"/>
                <w:bCs/>
                <w:sz w:val="24"/>
              </w:rPr>
            </w:pPr>
            <w:r>
              <w:rPr>
                <w:rFonts w:hint="eastAsia" w:ascii="宋体" w:hAnsi="宋体"/>
                <w:bCs/>
                <w:sz w:val="24"/>
              </w:rPr>
              <w:t>190例</w:t>
            </w:r>
          </w:p>
        </w:tc>
        <w:tc>
          <w:tcPr>
            <w:tcW w:w="1275" w:type="dxa"/>
            <w:vAlign w:val="center"/>
          </w:tcPr>
          <w:p w14:paraId="0D1DACED">
            <w:pPr>
              <w:jc w:val="center"/>
              <w:rPr>
                <w:rFonts w:ascii="宋体" w:hAnsi="宋体"/>
                <w:bCs/>
                <w:sz w:val="24"/>
              </w:rPr>
            </w:pPr>
            <w:r>
              <w:rPr>
                <w:rFonts w:hint="eastAsia" w:ascii="宋体" w:hAnsi="宋体"/>
                <w:bCs/>
                <w:sz w:val="24"/>
              </w:rPr>
              <w:t>500元/例</w:t>
            </w:r>
          </w:p>
        </w:tc>
        <w:tc>
          <w:tcPr>
            <w:tcW w:w="3777" w:type="dxa"/>
            <w:vAlign w:val="center"/>
          </w:tcPr>
          <w:p w14:paraId="38427EF1">
            <w:pPr>
              <w:jc w:val="left"/>
              <w:rPr>
                <w:rFonts w:ascii="宋体" w:hAnsi="宋体" w:cs="宋体"/>
                <w:bCs/>
                <w:sz w:val="24"/>
              </w:rPr>
            </w:pPr>
            <w:r>
              <w:rPr>
                <w:rFonts w:hint="eastAsia" w:ascii="宋体" w:hAnsi="宋体" w:cs="宋体"/>
                <w:bCs/>
                <w:sz w:val="24"/>
              </w:rPr>
              <w:t>提供蛋白处理标准规程、蛋白数量汇总、差异蛋白、蛋白富集信号通路的标准检测报告。</w:t>
            </w:r>
          </w:p>
        </w:tc>
      </w:tr>
    </w:tbl>
    <w:p w14:paraId="331B9E5A">
      <w:pPr>
        <w:pStyle w:val="6"/>
        <w:spacing w:line="360" w:lineRule="auto"/>
        <w:ind w:firstLine="0" w:firstLineChars="0"/>
        <w:contextualSpacing/>
        <w:jc w:val="left"/>
        <w:rPr>
          <w:rFonts w:ascii="宋体" w:hAnsi="宋体"/>
          <w:b/>
          <w:sz w:val="24"/>
          <w:szCs w:val="24"/>
        </w:rPr>
      </w:pPr>
    </w:p>
    <w:p w14:paraId="29B00960">
      <w:pPr>
        <w:pStyle w:val="6"/>
        <w:spacing w:line="360" w:lineRule="auto"/>
        <w:ind w:firstLine="482"/>
        <w:contextualSpacing/>
        <w:jc w:val="left"/>
        <w:rPr>
          <w:rFonts w:ascii="宋体" w:hAnsi="宋体"/>
          <w:b/>
          <w:sz w:val="24"/>
          <w:szCs w:val="24"/>
        </w:rPr>
      </w:pPr>
      <w:r>
        <w:rPr>
          <w:rFonts w:ascii="宋体" w:hAnsi="宋体"/>
          <w:b/>
          <w:sz w:val="24"/>
          <w:szCs w:val="24"/>
        </w:rPr>
        <w:t>二、商务要求</w:t>
      </w:r>
    </w:p>
    <w:p w14:paraId="6CF6F149">
      <w:pPr>
        <w:spacing w:line="360" w:lineRule="auto"/>
        <w:ind w:firstLine="482" w:firstLineChars="200"/>
        <w:contextualSpacing/>
        <w:jc w:val="left"/>
        <w:rPr>
          <w:rFonts w:ascii="宋体" w:hAnsi="宋体" w:cs="宋体"/>
          <w:b/>
          <w:sz w:val="24"/>
        </w:rPr>
      </w:pPr>
      <w:r>
        <w:rPr>
          <w:rFonts w:hint="eastAsia" w:ascii="宋体" w:hAnsi="宋体" w:cs="宋体"/>
          <w:b/>
          <w:sz w:val="24"/>
        </w:rPr>
        <w:t>（一）服务期限和地点：</w:t>
      </w:r>
    </w:p>
    <w:p w14:paraId="3F8C6C54">
      <w:pPr>
        <w:spacing w:line="360" w:lineRule="auto"/>
        <w:ind w:firstLine="480" w:firstLineChars="200"/>
        <w:contextualSpacing/>
        <w:jc w:val="left"/>
        <w:rPr>
          <w:rFonts w:ascii="宋体" w:hAnsi="宋体"/>
        </w:rPr>
      </w:pPr>
      <w:r>
        <w:rPr>
          <w:rFonts w:hint="eastAsia" w:ascii="宋体" w:hAnsi="宋体" w:cs="宋体"/>
          <w:bCs/>
          <w:sz w:val="24"/>
        </w:rPr>
        <w:t>1.</w:t>
      </w:r>
      <w:r>
        <w:rPr>
          <w:rFonts w:hint="eastAsia" w:ascii="宋体" w:hAnsi="宋体" w:cs="宋体"/>
          <w:b/>
          <w:sz w:val="24"/>
        </w:rPr>
        <w:t>服务期限</w:t>
      </w:r>
      <w:r>
        <w:rPr>
          <w:rFonts w:hint="eastAsia" w:ascii="宋体" w:hAnsi="宋体"/>
          <w:bCs/>
          <w:sz w:val="24"/>
        </w:rPr>
        <w:t>：</w:t>
      </w:r>
      <w:r>
        <w:rPr>
          <w:rFonts w:hint="eastAsia" w:ascii="宋体" w:hAnsi="宋体" w:cs="宋体"/>
          <w:bCs/>
          <w:sz w:val="24"/>
        </w:rPr>
        <w:t>自合同签订生效后1年。</w:t>
      </w:r>
    </w:p>
    <w:p w14:paraId="2EE04391">
      <w:pPr>
        <w:spacing w:line="360" w:lineRule="auto"/>
        <w:ind w:firstLine="480" w:firstLineChars="200"/>
        <w:contextualSpacing/>
        <w:jc w:val="left"/>
        <w:rPr>
          <w:rFonts w:ascii="宋体" w:hAnsi="宋体" w:cs="宋体"/>
          <w:bCs/>
          <w:sz w:val="24"/>
        </w:rPr>
      </w:pPr>
      <w:r>
        <w:rPr>
          <w:rFonts w:hint="eastAsia" w:ascii="宋体" w:hAnsi="宋体" w:cs="宋体"/>
          <w:bCs/>
          <w:sz w:val="24"/>
        </w:rPr>
        <w:t>2.</w:t>
      </w:r>
      <w:r>
        <w:rPr>
          <w:rFonts w:hint="eastAsia" w:ascii="宋体" w:hAnsi="宋体" w:cs="宋体"/>
          <w:b/>
          <w:sz w:val="24"/>
        </w:rPr>
        <w:t>服务地点：</w:t>
      </w:r>
      <w:r>
        <w:rPr>
          <w:rFonts w:hint="eastAsia" w:ascii="宋体" w:hAnsi="宋体" w:cs="宋体"/>
          <w:bCs/>
          <w:sz w:val="24"/>
        </w:rPr>
        <w:t>采购人指定地点</w:t>
      </w:r>
    </w:p>
    <w:p w14:paraId="55A92A98">
      <w:pPr>
        <w:spacing w:line="360" w:lineRule="auto"/>
        <w:ind w:firstLine="482" w:firstLineChars="200"/>
        <w:contextualSpacing/>
        <w:jc w:val="left"/>
        <w:rPr>
          <w:rFonts w:ascii="宋体" w:hAnsi="宋体" w:cs="宋体"/>
          <w:bCs/>
          <w:sz w:val="24"/>
        </w:rPr>
      </w:pPr>
      <w:r>
        <w:rPr>
          <w:rFonts w:hint="eastAsia" w:ascii="宋体" w:hAnsi="宋体" w:cs="宋体"/>
          <w:b/>
          <w:sz w:val="24"/>
        </w:rPr>
        <w:t>（二）付款条件（进度和方式）：详见第六章《拟签订的合同文本》</w:t>
      </w:r>
      <w:r>
        <w:rPr>
          <w:rFonts w:hint="eastAsia" w:ascii="宋体" w:hAnsi="宋体" w:cs="宋体"/>
          <w:bCs/>
          <w:sz w:val="24"/>
        </w:rPr>
        <w:t>。</w:t>
      </w:r>
    </w:p>
    <w:p w14:paraId="5381474A">
      <w:pPr>
        <w:pStyle w:val="6"/>
        <w:spacing w:line="360" w:lineRule="auto"/>
        <w:ind w:firstLine="482"/>
        <w:contextualSpacing/>
        <w:jc w:val="left"/>
        <w:rPr>
          <w:rFonts w:ascii="宋体" w:hAnsi="宋体"/>
          <w:b/>
          <w:sz w:val="24"/>
        </w:rPr>
      </w:pPr>
      <w:r>
        <w:rPr>
          <w:rFonts w:hint="eastAsia" w:ascii="宋体" w:hAnsi="宋体"/>
          <w:b/>
          <w:sz w:val="24"/>
        </w:rPr>
        <w:t>（三）售后服务</w:t>
      </w:r>
    </w:p>
    <w:p w14:paraId="4D82D70B">
      <w:pPr>
        <w:pStyle w:val="6"/>
        <w:spacing w:line="360" w:lineRule="auto"/>
        <w:ind w:firstLine="480"/>
        <w:contextualSpacing/>
        <w:jc w:val="left"/>
        <w:rPr>
          <w:rFonts w:ascii="宋体" w:hAnsi="宋体"/>
          <w:bCs/>
          <w:sz w:val="24"/>
        </w:rPr>
      </w:pPr>
      <w:r>
        <w:rPr>
          <w:rFonts w:ascii="宋体" w:hAnsi="宋体"/>
          <w:bCs/>
          <w:sz w:val="24"/>
        </w:rPr>
        <w:t>1</w:t>
      </w:r>
      <w:r>
        <w:rPr>
          <w:rFonts w:hint="eastAsia" w:ascii="宋体" w:hAnsi="宋体"/>
          <w:bCs/>
          <w:sz w:val="24"/>
        </w:rPr>
        <w:t>.投标人需提供售后服务，数据返回后将进行测序质量的评估，一旦出现问题，投标人需保证2小时内做出响应，并于24小时以内给予处理办法。如需返样，采购人会在项目完成后10天内与投标人联系提出返样需求，投标人在收到采购人返样需求的10个工作日内将样品返还。</w:t>
      </w:r>
    </w:p>
    <w:p w14:paraId="2F842169">
      <w:pPr>
        <w:pStyle w:val="5"/>
        <w:spacing w:line="360" w:lineRule="auto"/>
        <w:ind w:firstLine="482"/>
        <w:contextualSpacing/>
        <w:rPr>
          <w:rFonts w:ascii="宋体" w:hAnsi="宋体" w:cs="宋体"/>
          <w:b/>
          <w:sz w:val="24"/>
          <w:szCs w:val="24"/>
        </w:rPr>
      </w:pPr>
      <w:r>
        <w:rPr>
          <w:rFonts w:hint="eastAsia" w:ascii="宋体" w:hAnsi="宋体" w:cs="宋体"/>
          <w:b/>
          <w:sz w:val="24"/>
          <w:szCs w:val="24"/>
        </w:rPr>
        <w:t>三、技术要求</w:t>
      </w:r>
    </w:p>
    <w:p w14:paraId="2F80A15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（一）基本要求</w:t>
      </w:r>
    </w:p>
    <w:p w14:paraId="6D939A0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1.采购标的需实现的功能或者目标</w:t>
      </w:r>
    </w:p>
    <w:p w14:paraId="50042E9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1.1投标人应根据招标文件所提出的服务要求，以优良的服务和优惠的价格，充分显示自己的竞争实力。</w:t>
      </w:r>
    </w:p>
    <w:p w14:paraId="3BBF91AE">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2.需执行的国家相关标准、行业标准、地方标准或者其他标准、规范：投标人所提供的服务应符合国家有关部门规定的相应技术法规及标准要求。</w:t>
      </w:r>
    </w:p>
    <w:p w14:paraId="0D465D38">
      <w:pPr>
        <w:spacing w:line="360" w:lineRule="auto"/>
        <w:ind w:firstLine="480" w:firstLineChars="200"/>
        <w:rPr>
          <w:rFonts w:ascii="宋体" w:hAnsi="宋体" w:cstheme="majorEastAsia"/>
          <w:sz w:val="24"/>
        </w:rPr>
      </w:pPr>
      <w:r>
        <w:rPr>
          <w:rFonts w:hint="eastAsia" w:ascii="宋体" w:hAnsi="宋体" w:cstheme="majorEastAsia"/>
          <w:sz w:val="24"/>
        </w:rPr>
        <w:t>（二）服务内容及要求</w:t>
      </w:r>
    </w:p>
    <w:p w14:paraId="4597800E">
      <w:pPr>
        <w:pStyle w:val="2"/>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标的名称1：空间转录组测序</w:t>
      </w:r>
    </w:p>
    <w:p w14:paraId="52CEFF9C">
      <w:pPr>
        <w:spacing w:line="360" w:lineRule="auto"/>
        <w:ind w:firstLine="480" w:firstLineChars="200"/>
        <w:rPr>
          <w:rFonts w:ascii="宋体" w:hAnsi="宋体" w:cs="宋体"/>
          <w:sz w:val="24"/>
        </w:rPr>
      </w:pPr>
      <w:r>
        <w:rPr>
          <w:rFonts w:hint="eastAsia" w:ascii="宋体" w:hAnsi="宋体" w:cs="宋体"/>
          <w:sz w:val="24"/>
        </w:rPr>
        <w:t>1.实验平台：空间转录组平台。</w:t>
      </w:r>
    </w:p>
    <w:p w14:paraId="508F2851">
      <w:pPr>
        <w:spacing w:line="360" w:lineRule="auto"/>
        <w:ind w:firstLine="480" w:firstLineChars="200"/>
        <w:rPr>
          <w:rFonts w:ascii="宋体" w:hAnsi="宋体" w:cs="宋体"/>
          <w:sz w:val="24"/>
        </w:rPr>
      </w:pPr>
      <w:r>
        <w:rPr>
          <w:rFonts w:hint="eastAsia" w:ascii="宋体" w:hAnsi="宋体" w:cs="宋体"/>
          <w:sz w:val="24"/>
        </w:rPr>
        <w:t>2.主要仪器设备：荧光定量PCR仪、生物分析仪、样品混匀仪、PCR扩增仪、空间转录组平台</w:t>
      </w:r>
    </w:p>
    <w:p w14:paraId="7427ABEA">
      <w:pPr>
        <w:spacing w:line="360" w:lineRule="auto"/>
        <w:ind w:firstLine="480" w:firstLineChars="200"/>
        <w:rPr>
          <w:rFonts w:ascii="宋体" w:hAnsi="宋体" w:cs="宋体"/>
          <w:sz w:val="24"/>
        </w:rPr>
      </w:pPr>
      <w:r>
        <w:rPr>
          <w:rFonts w:hint="eastAsia" w:ascii="宋体" w:hAnsi="宋体" w:cs="宋体"/>
          <w:sz w:val="24"/>
        </w:rPr>
        <w:t>3.实验内容：空间转录组用于文库构建的每张载玻片上有四个捕获区域，每个捕获区域的大小为6.5×6.5mm，包含5000个被条形码标记的点（barcoded spots），每个点的直径为55μm，点和点之间中心的距离为100μm，并且每个点都有一个唯一的barcode序列组织切片的细胞中会释放出mRNA，迁移到每个spot的mRNA会被标记上相应的barcode序列，然后进行文库构建并进行测序。根据数据的条形码信息对数据进行分析，以确定数据的空间位置，从而实现空间基因表达的可视化。</w:t>
      </w:r>
    </w:p>
    <w:p w14:paraId="073BB388">
      <w:pPr>
        <w:spacing w:line="360" w:lineRule="auto"/>
        <w:ind w:firstLine="480" w:firstLineChars="200"/>
        <w:rPr>
          <w:rFonts w:ascii="宋体" w:hAnsi="宋体" w:cs="宋体"/>
          <w:sz w:val="24"/>
        </w:rPr>
      </w:pPr>
      <w:r>
        <w:rPr>
          <w:rFonts w:hint="eastAsia" w:ascii="宋体" w:hAnsi="宋体" w:cs="宋体"/>
          <w:sz w:val="24"/>
        </w:rPr>
        <w:t>4.实验方法：</w:t>
      </w:r>
    </w:p>
    <w:p w14:paraId="11F9E866">
      <w:pPr>
        <w:spacing w:line="360" w:lineRule="auto"/>
        <w:ind w:firstLine="480" w:firstLineChars="200"/>
        <w:rPr>
          <w:rFonts w:ascii="宋体" w:hAnsi="宋体" w:cs="宋体"/>
          <w:sz w:val="24"/>
        </w:rPr>
      </w:pPr>
      <w:r>
        <w:rPr>
          <w:rFonts w:hint="eastAsia" w:ascii="宋体" w:hAnsi="宋体" w:cs="宋体"/>
          <w:sz w:val="24"/>
        </w:rPr>
        <w:t>4.1样品准备与质控：将新鲜组织放在预冷的组织缓冲液、PBS等液体中清洗两到三次，去除表面杂质，清洗后需用无菌无纺布/无菌无尘纸擦干表面液体，立即进行OCT包埋或组织速冻，使组织的形态保持完整，并使RNA保持完整性和可靠性；对包埋后的样本进行切片，HE染色鉴定组织形态和RNA降解情况，当组织形态完整且RIN≥4时，可进行空转检测；</w:t>
      </w:r>
    </w:p>
    <w:p w14:paraId="08D65466">
      <w:pPr>
        <w:spacing w:line="360" w:lineRule="auto"/>
        <w:ind w:firstLine="480" w:firstLineChars="200"/>
        <w:rPr>
          <w:rFonts w:ascii="宋体" w:hAnsi="宋体" w:cs="宋体"/>
          <w:sz w:val="24"/>
        </w:rPr>
      </w:pPr>
      <w:r>
        <w:rPr>
          <w:rFonts w:hint="eastAsia" w:ascii="宋体" w:hAnsi="宋体" w:cs="宋体"/>
          <w:sz w:val="24"/>
        </w:rPr>
        <w:t xml:space="preserve">4.2组织切片与染色、透化、转移、反转录和建库：对于Visium技术，冷冻切取8μm的切片贴到载玻片上，使用标准的固定和染色技术，包括苏木精和伊红（H&amp;E）染色，使用明场显微镜扫描载玻片上的组织切片；使用Visium CytAssist将 FFPE 组织切片上的转录组分析物从组织载玻片转移到 Visium 芯片上,实现组织转录组的原位转移并被芯片上的Barcode标记通过反转录、建库、测序和生信分析，确定组织原位的mRNA表达，实现组织的空间转录组检测 </w:t>
      </w:r>
    </w:p>
    <w:p w14:paraId="2EFA2C98">
      <w:pPr>
        <w:spacing w:line="360" w:lineRule="auto"/>
        <w:ind w:firstLine="480" w:firstLineChars="200"/>
        <w:rPr>
          <w:rFonts w:ascii="宋体" w:hAnsi="宋体" w:cs="宋体"/>
          <w:sz w:val="24"/>
        </w:rPr>
      </w:pPr>
      <w:r>
        <w:rPr>
          <w:rFonts w:hint="eastAsia" w:ascii="宋体" w:hAnsi="宋体" w:cs="宋体"/>
          <w:sz w:val="24"/>
        </w:rPr>
        <w:t>4.3上机测序：高通量测序平台选择，Illumina测序读长：通常Illumina平台为150bp。测序深度：不低于30x覆盖度</w:t>
      </w:r>
    </w:p>
    <w:p w14:paraId="2EE3EECC">
      <w:pPr>
        <w:spacing w:line="360" w:lineRule="auto"/>
        <w:ind w:firstLine="480" w:firstLineChars="200"/>
        <w:rPr>
          <w:rFonts w:ascii="宋体" w:hAnsi="宋体" w:cs="宋体"/>
          <w:sz w:val="24"/>
        </w:rPr>
      </w:pPr>
      <w:r>
        <w:rPr>
          <w:rFonts w:hint="eastAsia" w:ascii="宋体" w:hAnsi="宋体" w:cs="宋体"/>
          <w:sz w:val="24"/>
        </w:rPr>
        <w:t>4.4数据质控：测序饱和度不低于50%，Q30不低于80%.</w:t>
      </w:r>
    </w:p>
    <w:p w14:paraId="4B62B6B6">
      <w:pPr>
        <w:spacing w:line="360" w:lineRule="auto"/>
        <w:ind w:firstLine="480" w:firstLineChars="200"/>
        <w:rPr>
          <w:rFonts w:ascii="宋体" w:hAnsi="宋体" w:cs="宋体"/>
          <w:sz w:val="24"/>
        </w:rPr>
      </w:pPr>
      <w:r>
        <w:rPr>
          <w:rFonts w:hint="eastAsia" w:ascii="宋体" w:hAnsi="宋体" w:cs="宋体"/>
          <w:sz w:val="24"/>
        </w:rPr>
        <w:t>4.5数据分析生成报告：提供组织完整性和RNA质量检测、文库质检报告，10Xspace Ranger矩阵分析报告</w:t>
      </w:r>
    </w:p>
    <w:p w14:paraId="11350D68">
      <w:pPr>
        <w:pStyle w:val="2"/>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标的名称2：空间代谢组学测序</w:t>
      </w:r>
    </w:p>
    <w:p w14:paraId="3C3013FC">
      <w:pPr>
        <w:spacing w:line="360" w:lineRule="auto"/>
        <w:ind w:firstLine="480" w:firstLineChars="200"/>
        <w:rPr>
          <w:rFonts w:ascii="宋体" w:hAnsi="宋体" w:cs="宋体"/>
          <w:sz w:val="24"/>
        </w:rPr>
      </w:pPr>
      <w:r>
        <w:rPr>
          <w:rFonts w:hint="eastAsia" w:ascii="宋体" w:hAnsi="宋体" w:cs="宋体"/>
          <w:sz w:val="24"/>
        </w:rPr>
        <w:t>1.实验平台：空间代谢组学平台</w:t>
      </w:r>
    </w:p>
    <w:p w14:paraId="1FA3BDF5">
      <w:pPr>
        <w:spacing w:line="360" w:lineRule="auto"/>
        <w:ind w:firstLine="480" w:firstLineChars="200"/>
        <w:rPr>
          <w:rFonts w:ascii="宋体" w:hAnsi="宋体" w:cs="宋体"/>
          <w:sz w:val="24"/>
        </w:rPr>
      </w:pPr>
      <w:r>
        <w:rPr>
          <w:rFonts w:hint="eastAsia" w:ascii="宋体" w:hAnsi="宋体" w:cs="宋体"/>
          <w:sz w:val="24"/>
        </w:rPr>
        <w:t>2.仪器设备：冷冻切片机、喷涂设备、光学显微镜、扫描型基质辅助激光解吸电离离子源质谱成像仪</w:t>
      </w:r>
    </w:p>
    <w:p w14:paraId="666849B9">
      <w:pPr>
        <w:spacing w:line="360" w:lineRule="auto"/>
        <w:ind w:firstLine="480" w:firstLineChars="200"/>
        <w:rPr>
          <w:rFonts w:ascii="宋体" w:hAnsi="宋体" w:cs="宋体"/>
          <w:sz w:val="24"/>
        </w:rPr>
      </w:pPr>
      <w:r>
        <w:rPr>
          <w:rFonts w:hint="eastAsia" w:ascii="宋体" w:hAnsi="宋体" w:cs="宋体"/>
          <w:sz w:val="24"/>
        </w:rPr>
        <w:t>3.实验内容：空间代谢组与16S rDNA测序整合分析-基于GC-MS、LC-MS、核磁共振等多种技术手段，可提供多种样品的靶向和非靶向代谢组学分析服务，与16SrDNA测序服务，结合可定制化的生物信息学分析方法进行整合，提供从实验设计、样品检测、数据分析一站式代谢组与16S rDNA测序整合分析服务，可满足多种检测需求。</w:t>
      </w:r>
    </w:p>
    <w:p w14:paraId="097DCB07">
      <w:pPr>
        <w:spacing w:line="360" w:lineRule="auto"/>
        <w:ind w:firstLine="480" w:firstLineChars="200"/>
        <w:rPr>
          <w:rFonts w:ascii="宋体" w:hAnsi="宋体" w:cs="宋体"/>
          <w:sz w:val="24"/>
        </w:rPr>
      </w:pPr>
      <w:r>
        <w:rPr>
          <w:rFonts w:hint="eastAsia" w:ascii="宋体" w:hAnsi="宋体" w:cs="宋体"/>
          <w:sz w:val="24"/>
        </w:rPr>
        <w:t>4.实验方法：</w:t>
      </w:r>
    </w:p>
    <w:p w14:paraId="44DF763D">
      <w:pPr>
        <w:spacing w:line="360" w:lineRule="auto"/>
        <w:ind w:firstLine="480" w:firstLineChars="200"/>
        <w:rPr>
          <w:rFonts w:ascii="宋体" w:hAnsi="宋体" w:cs="宋体"/>
          <w:sz w:val="24"/>
        </w:rPr>
      </w:pPr>
      <w:r>
        <w:rPr>
          <w:rFonts w:hint="eastAsia" w:ascii="宋体" w:hAnsi="宋体" w:cs="宋体"/>
          <w:sz w:val="24"/>
        </w:rPr>
        <w:t>4.1样品收集和包埋：收集检测的组织样本根据检测类型进行修剪，使用5%CMC进行包埋。</w:t>
      </w:r>
    </w:p>
    <w:p w14:paraId="2931E450">
      <w:pPr>
        <w:spacing w:line="360" w:lineRule="auto"/>
        <w:ind w:firstLine="480" w:firstLineChars="200"/>
        <w:rPr>
          <w:rFonts w:ascii="宋体" w:hAnsi="宋体" w:cs="宋体"/>
          <w:sz w:val="24"/>
        </w:rPr>
      </w:pPr>
      <w:r>
        <w:rPr>
          <w:rFonts w:hint="eastAsia" w:ascii="宋体" w:hAnsi="宋体" w:cs="宋体"/>
          <w:sz w:val="24"/>
        </w:rPr>
        <w:t>4.2冷冻切片和光学拍照：切取厚度为 16μm样品切片，室温自然晾干，用光学显微镜拍摄光学图像。</w:t>
      </w:r>
    </w:p>
    <w:p w14:paraId="0526C9F1">
      <w:pPr>
        <w:spacing w:line="360" w:lineRule="auto"/>
        <w:ind w:firstLine="480" w:firstLineChars="200"/>
        <w:rPr>
          <w:rFonts w:ascii="宋体" w:hAnsi="宋体" w:cs="宋体"/>
          <w:sz w:val="24"/>
        </w:rPr>
      </w:pPr>
      <w:r>
        <w:rPr>
          <w:rFonts w:hint="eastAsia" w:ascii="宋体" w:hAnsi="宋体" w:cs="宋体"/>
          <w:sz w:val="24"/>
        </w:rPr>
        <w:t>4.3基质喷涂：对喷涂管路进行清洗，按照基质为 DHB+(30mg/ml)、基质流速20μl/min、氮气流速 5L/min、 喷嘴移速 8mm/s、 喷涂时长 50min/玻片的参数进行样本喷涂；</w:t>
      </w:r>
    </w:p>
    <w:p w14:paraId="246252EF">
      <w:pPr>
        <w:spacing w:line="360" w:lineRule="auto"/>
        <w:ind w:firstLine="480" w:firstLineChars="200"/>
        <w:rPr>
          <w:rFonts w:ascii="宋体" w:hAnsi="宋体" w:cs="宋体"/>
          <w:sz w:val="24"/>
        </w:rPr>
      </w:pPr>
      <w:r>
        <w:rPr>
          <w:rFonts w:hint="eastAsia" w:ascii="宋体" w:hAnsi="宋体" w:cs="宋体"/>
          <w:sz w:val="24"/>
        </w:rPr>
        <w:t>4.4质谱成像：将目标区域圈定后，打开质谱对目标区域进行离子化，收集化合物m/z数据；</w:t>
      </w:r>
    </w:p>
    <w:p w14:paraId="28EA755C">
      <w:pPr>
        <w:spacing w:line="360" w:lineRule="auto"/>
        <w:ind w:firstLine="480" w:firstLineChars="200"/>
        <w:rPr>
          <w:rFonts w:ascii="宋体" w:hAnsi="宋体" w:cs="宋体"/>
          <w:sz w:val="24"/>
        </w:rPr>
      </w:pPr>
      <w:r>
        <w:rPr>
          <w:rFonts w:hint="eastAsia" w:ascii="宋体" w:hAnsi="宋体" w:cs="宋体"/>
          <w:sz w:val="24"/>
        </w:rPr>
        <w:t>4.5数据处理和分析：使用Mirion 软件比对确定代谢物类型并生成化合物的高分辨率二维质谱成像图。</w:t>
      </w:r>
    </w:p>
    <w:p w14:paraId="4ECF4D5F">
      <w:pPr>
        <w:pStyle w:val="2"/>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标的名称3：单细胞转录组测序</w:t>
      </w:r>
    </w:p>
    <w:p w14:paraId="2D6CAE76">
      <w:pPr>
        <w:spacing w:line="360" w:lineRule="auto"/>
        <w:ind w:firstLine="480" w:firstLineChars="200"/>
        <w:rPr>
          <w:rFonts w:ascii="宋体" w:hAnsi="宋体" w:cs="宋体"/>
          <w:sz w:val="24"/>
        </w:rPr>
      </w:pPr>
      <w:r>
        <w:rPr>
          <w:rFonts w:hint="eastAsia" w:ascii="宋体" w:hAnsi="宋体" w:cs="宋体"/>
          <w:sz w:val="24"/>
        </w:rPr>
        <w:t>1.实验平台：单细胞转录组测序平台</w:t>
      </w:r>
    </w:p>
    <w:p w14:paraId="60BAA7AB">
      <w:pPr>
        <w:spacing w:line="360" w:lineRule="auto"/>
        <w:ind w:firstLine="480" w:firstLineChars="200"/>
        <w:rPr>
          <w:rFonts w:ascii="宋体" w:hAnsi="宋体" w:cs="宋体"/>
          <w:sz w:val="24"/>
        </w:rPr>
      </w:pPr>
      <w:r>
        <w:rPr>
          <w:rFonts w:hint="eastAsia" w:ascii="宋体" w:hAnsi="宋体" w:cs="宋体"/>
          <w:sz w:val="24"/>
        </w:rPr>
        <w:t>2.仪器设备：双人双面净化工作台、台式高速冷冻离心机、恒温水浴锅、单细胞悬液制备仪、高精天平、制冰机、恒温混匀仪、单细胞测序平台、PCR仪、掌心离心机、涡旋混匀器</w:t>
      </w:r>
    </w:p>
    <w:p w14:paraId="7D149E35">
      <w:pPr>
        <w:spacing w:line="360" w:lineRule="auto"/>
        <w:ind w:firstLine="480" w:firstLineChars="200"/>
        <w:rPr>
          <w:rFonts w:ascii="宋体" w:hAnsi="宋体" w:cs="宋体"/>
          <w:sz w:val="24"/>
        </w:rPr>
      </w:pPr>
      <w:r>
        <w:rPr>
          <w:rFonts w:hint="eastAsia" w:ascii="宋体" w:hAnsi="宋体" w:cs="宋体"/>
          <w:sz w:val="24"/>
        </w:rPr>
        <w:t>3.实验内容：单细胞转录组测序是以单个细胞作为研究对象分析单细胞内基因表达和膜表面蛋白表达情况的方法，其通过Barcoded磁珠捕获单细胞的转录本后或膜表面蛋白结合抗体寡核酸序列后进行反转录、扩增建库和检测，利用生物信息学对单细胞的转录组展开数据分析，获得单细胞的基因表达谱和膜表面蛋白表达信息，对细胞亚群进行聚类、信号通路富集分析等。</w:t>
      </w:r>
    </w:p>
    <w:p w14:paraId="75DC8AC6">
      <w:pPr>
        <w:spacing w:line="360" w:lineRule="auto"/>
        <w:ind w:firstLine="480" w:firstLineChars="200"/>
        <w:rPr>
          <w:rFonts w:ascii="宋体" w:hAnsi="宋体" w:cs="宋体"/>
          <w:sz w:val="24"/>
        </w:rPr>
      </w:pPr>
      <w:r>
        <w:rPr>
          <w:rFonts w:hint="eastAsia" w:ascii="宋体" w:hAnsi="宋体" w:cs="宋体"/>
          <w:sz w:val="24"/>
        </w:rPr>
        <w:t>单细胞测序技术实现了对单个细胞基因表达差异的分析，可以在单细胞分辨率下，从数万个细胞中收集特定细胞的表达信息，分析单细胞个体的异质性，是探究疾病机制的新研究手段。</w:t>
      </w:r>
    </w:p>
    <w:p w14:paraId="60A0098E">
      <w:pPr>
        <w:spacing w:line="360" w:lineRule="auto"/>
        <w:ind w:firstLine="480" w:firstLineChars="200"/>
        <w:rPr>
          <w:rFonts w:ascii="宋体" w:hAnsi="宋体" w:cs="宋体"/>
          <w:sz w:val="24"/>
        </w:rPr>
      </w:pPr>
      <w:r>
        <w:rPr>
          <w:rFonts w:hint="eastAsia" w:ascii="宋体" w:hAnsi="宋体" w:cs="宋体"/>
          <w:sz w:val="24"/>
        </w:rPr>
        <w:t>4.实验方法：</w:t>
      </w:r>
    </w:p>
    <w:p w14:paraId="19A7A834">
      <w:pPr>
        <w:spacing w:line="360" w:lineRule="auto"/>
        <w:ind w:firstLine="480" w:firstLineChars="200"/>
        <w:rPr>
          <w:rFonts w:ascii="宋体" w:hAnsi="宋体" w:cs="宋体"/>
          <w:sz w:val="24"/>
        </w:rPr>
      </w:pPr>
      <w:r>
        <w:rPr>
          <w:rFonts w:hint="eastAsia" w:ascii="宋体" w:hAnsi="宋体" w:cs="宋体"/>
          <w:sz w:val="24"/>
        </w:rPr>
        <w:t>4.1样本采集与单细胞制备：将新鲜采集的组织样本，经生理盐水冲洗后立即放到组织保存液中转运至实验室，采用组织专用解离液和瑞沃德组织解离配套相应的解离程序将组织解离为单细胞悬液；对单细胞悬液经Calcein-AM和Draq7染色后进行细胞计数和活率检测，细胞活率到达80%以上进行单细胞分离捕获。</w:t>
      </w:r>
    </w:p>
    <w:p w14:paraId="35C7C196">
      <w:pPr>
        <w:spacing w:line="360" w:lineRule="auto"/>
        <w:ind w:firstLine="480" w:firstLineChars="200"/>
        <w:rPr>
          <w:rFonts w:ascii="宋体" w:hAnsi="宋体" w:cs="宋体"/>
          <w:sz w:val="24"/>
        </w:rPr>
      </w:pPr>
      <w:r>
        <w:rPr>
          <w:rFonts w:hint="eastAsia" w:ascii="宋体" w:hAnsi="宋体" w:cs="宋体"/>
          <w:sz w:val="24"/>
        </w:rPr>
        <w:t>4.2单细胞分离捕获：将细胞稀释至500-1000个/微升，使用电动移液枪加入到活化微孔板中，细胞自由落孔完成单细胞的沉降分析，细胞沉降后芯片中加入60万Barcode标记的磁珠，充分标记细胞；</w:t>
      </w:r>
    </w:p>
    <w:p w14:paraId="335D2757">
      <w:pPr>
        <w:spacing w:line="360" w:lineRule="auto"/>
        <w:ind w:firstLine="480" w:firstLineChars="200"/>
        <w:rPr>
          <w:rFonts w:ascii="宋体" w:hAnsi="宋体" w:cs="宋体"/>
          <w:sz w:val="24"/>
        </w:rPr>
      </w:pPr>
      <w:r>
        <w:rPr>
          <w:rFonts w:hint="eastAsia" w:ascii="宋体" w:hAnsi="宋体" w:cs="宋体"/>
          <w:sz w:val="24"/>
        </w:rPr>
        <w:t>4.3细胞裂解与反转录：将芯片中加入裂解液，细胞裂解释放的转录组被Barcode标记磁珠充分捕获，使用反转录酶完成mRNA到反转录成cDNA。</w:t>
      </w:r>
    </w:p>
    <w:p w14:paraId="16082791">
      <w:pPr>
        <w:spacing w:line="360" w:lineRule="auto"/>
        <w:ind w:firstLine="480" w:firstLineChars="200"/>
        <w:rPr>
          <w:rFonts w:ascii="宋体" w:hAnsi="宋体" w:cs="宋体"/>
          <w:sz w:val="24"/>
        </w:rPr>
      </w:pPr>
      <w:r>
        <w:rPr>
          <w:rFonts w:hint="eastAsia" w:ascii="宋体" w:hAnsi="宋体" w:cs="宋体"/>
          <w:sz w:val="24"/>
        </w:rPr>
        <w:t>4.4转录组建库：使用试剂盒中随机引物结合与延伸cDNA，对得到的PCR产物进行纯化，消除短片段及引物二聚体，保留目的片段；根据捕获的细胞数，进行PCR扩增富集文库，并添加测序接头，将得到的PCR产物进行纯化后，即为WTA文库。</w:t>
      </w:r>
    </w:p>
    <w:p w14:paraId="4A14E270">
      <w:pPr>
        <w:spacing w:line="360" w:lineRule="auto"/>
        <w:ind w:firstLine="480" w:firstLineChars="200"/>
        <w:rPr>
          <w:rFonts w:ascii="宋体" w:hAnsi="宋体" w:cs="宋体"/>
          <w:sz w:val="24"/>
        </w:rPr>
      </w:pPr>
      <w:r>
        <w:rPr>
          <w:rFonts w:hint="eastAsia" w:ascii="宋体" w:hAnsi="宋体" w:cs="宋体"/>
          <w:sz w:val="24"/>
        </w:rPr>
        <w:t>4.5文库测序：选择Illumina平台/ DNBSEQ-T7平台按照PE150进行双端文库测序，测序要求饱和度不低于80%，细胞有效reads数不低于60%。</w:t>
      </w:r>
    </w:p>
    <w:p w14:paraId="59A9EBB9">
      <w:pPr>
        <w:spacing w:line="360" w:lineRule="auto"/>
        <w:ind w:firstLine="480" w:firstLineChars="200"/>
        <w:rPr>
          <w:rFonts w:ascii="宋体" w:hAnsi="宋体" w:cs="宋体"/>
          <w:sz w:val="24"/>
        </w:rPr>
      </w:pPr>
      <w:r>
        <w:rPr>
          <w:rFonts w:hint="eastAsia" w:ascii="宋体" w:hAnsi="宋体" w:cs="宋体"/>
          <w:sz w:val="24"/>
        </w:rPr>
        <w:t>4.6数据分析与报告：单细胞计数与活率报告，含捕获细胞数、Q30、有效细胞reads数占比的单细胞矩阵分析报告。</w:t>
      </w:r>
    </w:p>
    <w:p w14:paraId="21C08CA5">
      <w:pPr>
        <w:pStyle w:val="2"/>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标的名称4：靶向代谢组学和蛋白组学测序</w:t>
      </w:r>
    </w:p>
    <w:p w14:paraId="6F3DE486">
      <w:pPr>
        <w:spacing w:line="360" w:lineRule="auto"/>
        <w:ind w:firstLine="480" w:firstLineChars="200"/>
        <w:rPr>
          <w:rFonts w:ascii="宋体" w:hAnsi="宋体" w:cs="宋体"/>
          <w:sz w:val="24"/>
        </w:rPr>
      </w:pPr>
      <w:r>
        <w:rPr>
          <w:rFonts w:hint="eastAsia" w:ascii="宋体" w:hAnsi="宋体" w:cs="宋体"/>
          <w:sz w:val="24"/>
        </w:rPr>
        <w:t>1.实验平台：代谢组学和蛋白质组学检测平台</w:t>
      </w:r>
    </w:p>
    <w:p w14:paraId="58DF5AC8">
      <w:pPr>
        <w:spacing w:line="360" w:lineRule="auto"/>
        <w:ind w:firstLine="480" w:firstLineChars="200"/>
        <w:rPr>
          <w:rFonts w:ascii="宋体" w:hAnsi="宋体" w:cs="宋体"/>
          <w:sz w:val="24"/>
        </w:rPr>
      </w:pPr>
      <w:r>
        <w:rPr>
          <w:rFonts w:hint="eastAsia" w:ascii="宋体" w:hAnsi="宋体" w:cs="宋体"/>
          <w:sz w:val="24"/>
        </w:rPr>
        <w:t>2.仪器设备：台式高速冷冻离心机、恒温混匀仪、超声波清洗器、组织裂解仪、液相色谱仪、质谱仪</w:t>
      </w:r>
    </w:p>
    <w:p w14:paraId="1AF0523B">
      <w:pPr>
        <w:spacing w:line="360" w:lineRule="auto"/>
        <w:ind w:firstLine="480" w:firstLineChars="200"/>
        <w:rPr>
          <w:rFonts w:ascii="宋体" w:hAnsi="宋体" w:cs="宋体"/>
          <w:sz w:val="24"/>
        </w:rPr>
      </w:pPr>
      <w:r>
        <w:rPr>
          <w:rFonts w:hint="eastAsia" w:ascii="宋体" w:hAnsi="宋体" w:cs="宋体"/>
          <w:sz w:val="24"/>
        </w:rPr>
        <w:t>3.实验内容：靶向代谢组学测序通过对血液、尿液或其他体液以及组织中某一类特定的代谢物（比如某条代谢途径中的代谢物）进行富集与准确定量定性分析，并结合其它实验数据来揭示相关的分子生物学作用机制；蛋白组学测序对生物体在特定条件下表达的所有蛋白质进行分析，了解蛋白质的种类、数量、表达水平等信息。这有助于研究者掌握细胞或组织在不同生理或病理状态下的蛋白质表达特征。</w:t>
      </w:r>
    </w:p>
    <w:p w14:paraId="3852E270">
      <w:pPr>
        <w:spacing w:line="360" w:lineRule="auto"/>
        <w:ind w:firstLine="480" w:firstLineChars="200"/>
        <w:rPr>
          <w:rFonts w:ascii="宋体" w:hAnsi="宋体" w:cs="宋体"/>
          <w:sz w:val="24"/>
        </w:rPr>
      </w:pPr>
      <w:r>
        <w:rPr>
          <w:rFonts w:hint="eastAsia" w:ascii="宋体" w:hAnsi="宋体" w:cs="宋体"/>
          <w:sz w:val="24"/>
        </w:rPr>
        <w:t>4.实验步骤：</w:t>
      </w:r>
    </w:p>
    <w:p w14:paraId="361FE2D8">
      <w:pPr>
        <w:spacing w:line="360" w:lineRule="auto"/>
        <w:ind w:firstLine="480" w:firstLineChars="200"/>
        <w:rPr>
          <w:rFonts w:ascii="宋体" w:hAnsi="宋体" w:cs="宋体"/>
          <w:sz w:val="24"/>
        </w:rPr>
      </w:pPr>
      <w:r>
        <w:rPr>
          <w:rFonts w:hint="eastAsia" w:ascii="宋体" w:hAnsi="宋体" w:cs="宋体"/>
          <w:sz w:val="24"/>
        </w:rPr>
        <w:t>4.1靶向代谢组学分析流程</w:t>
      </w:r>
    </w:p>
    <w:p w14:paraId="1AC5548C">
      <w:pPr>
        <w:spacing w:line="360" w:lineRule="auto"/>
        <w:ind w:firstLine="480" w:firstLineChars="200"/>
        <w:rPr>
          <w:rFonts w:ascii="宋体" w:hAnsi="宋体" w:cs="宋体"/>
          <w:sz w:val="24"/>
        </w:rPr>
      </w:pPr>
      <w:r>
        <w:rPr>
          <w:rFonts w:hint="eastAsia" w:ascii="宋体" w:hAnsi="宋体" w:cs="宋体"/>
          <w:sz w:val="24"/>
        </w:rPr>
        <w:t>4.1.1样本收集：采集的样本立即冷冻保存，防止代谢物降解；</w:t>
      </w:r>
    </w:p>
    <w:p w14:paraId="01A9D316">
      <w:pPr>
        <w:spacing w:line="360" w:lineRule="auto"/>
        <w:ind w:firstLine="480" w:firstLineChars="200"/>
        <w:rPr>
          <w:rFonts w:ascii="宋体" w:hAnsi="宋体" w:cs="宋体"/>
          <w:sz w:val="24"/>
        </w:rPr>
      </w:pPr>
      <w:r>
        <w:rPr>
          <w:rFonts w:hint="eastAsia" w:ascii="宋体" w:hAnsi="宋体" w:cs="宋体"/>
          <w:sz w:val="24"/>
        </w:rPr>
        <w:t>4.1.2代谢物提取：根据检测代谢物类型，选择合适的提取溶剂对代谢物进行提取富集；</w:t>
      </w:r>
    </w:p>
    <w:p w14:paraId="1B5C8DA1">
      <w:pPr>
        <w:spacing w:line="360" w:lineRule="auto"/>
        <w:ind w:firstLine="480" w:firstLineChars="200"/>
        <w:rPr>
          <w:rFonts w:ascii="宋体" w:hAnsi="宋体" w:cs="宋体"/>
          <w:sz w:val="24"/>
        </w:rPr>
      </w:pPr>
      <w:r>
        <w:rPr>
          <w:rFonts w:hint="eastAsia" w:ascii="宋体" w:hAnsi="宋体" w:cs="宋体"/>
          <w:sz w:val="24"/>
        </w:rPr>
        <w:t>4.1.3QC样本制备：将提取的代谢进行QC检测；</w:t>
      </w:r>
    </w:p>
    <w:p w14:paraId="49863C93">
      <w:pPr>
        <w:spacing w:line="360" w:lineRule="auto"/>
        <w:ind w:firstLine="480" w:firstLineChars="200"/>
        <w:rPr>
          <w:rFonts w:ascii="宋体" w:hAnsi="宋体" w:cs="宋体"/>
          <w:sz w:val="24"/>
        </w:rPr>
      </w:pPr>
      <w:r>
        <w:rPr>
          <w:rFonts w:hint="eastAsia" w:ascii="宋体" w:hAnsi="宋体" w:cs="宋体"/>
          <w:sz w:val="24"/>
        </w:rPr>
        <w:t>4.1.4代谢物检测：采用高分辨LC-MS/MS检测代谢物，专用数据预处理多元统计分析；</w:t>
      </w:r>
    </w:p>
    <w:p w14:paraId="35B05F0C">
      <w:pPr>
        <w:spacing w:line="360" w:lineRule="auto"/>
        <w:ind w:firstLine="480" w:firstLineChars="200"/>
        <w:rPr>
          <w:rFonts w:ascii="宋体" w:hAnsi="宋体" w:cs="宋体"/>
          <w:sz w:val="24"/>
        </w:rPr>
      </w:pPr>
      <w:r>
        <w:rPr>
          <w:rFonts w:hint="eastAsia" w:ascii="宋体" w:hAnsi="宋体" w:cs="宋体"/>
          <w:sz w:val="24"/>
        </w:rPr>
        <w:t>4.1.5数据分析和报告：生信分析完成差异代谢物定性筛选、代谢物通路富集和代谢网络分析，并提供相应报告。</w:t>
      </w:r>
    </w:p>
    <w:p w14:paraId="7824BAD6">
      <w:pPr>
        <w:spacing w:line="360" w:lineRule="auto"/>
        <w:ind w:firstLine="480" w:firstLineChars="200"/>
        <w:rPr>
          <w:rFonts w:ascii="宋体" w:hAnsi="宋体" w:cs="宋体"/>
          <w:sz w:val="24"/>
        </w:rPr>
      </w:pPr>
      <w:r>
        <w:rPr>
          <w:rFonts w:hint="eastAsia" w:ascii="宋体" w:hAnsi="宋体" w:cs="宋体"/>
          <w:sz w:val="24"/>
        </w:rPr>
        <w:t>4.2蛋白组学测序流程</w:t>
      </w:r>
    </w:p>
    <w:p w14:paraId="39BC0BF5">
      <w:pPr>
        <w:spacing w:line="360" w:lineRule="auto"/>
        <w:ind w:firstLine="480" w:firstLineChars="200"/>
        <w:rPr>
          <w:rFonts w:ascii="宋体" w:hAnsi="宋体" w:cs="宋体"/>
          <w:sz w:val="24"/>
        </w:rPr>
      </w:pPr>
      <w:r>
        <w:rPr>
          <w:rFonts w:hint="eastAsia" w:ascii="宋体" w:hAnsi="宋体" w:cs="宋体"/>
          <w:sz w:val="24"/>
        </w:rPr>
        <w:t>4.2.1样品准备：对样本进行裂解，从生物样品中提取蛋白质；</w:t>
      </w:r>
    </w:p>
    <w:p w14:paraId="25DD2867">
      <w:pPr>
        <w:spacing w:line="360" w:lineRule="auto"/>
        <w:ind w:firstLine="480" w:firstLineChars="200"/>
        <w:rPr>
          <w:rFonts w:ascii="宋体" w:hAnsi="宋体" w:cs="宋体"/>
          <w:sz w:val="24"/>
        </w:rPr>
      </w:pPr>
      <w:r>
        <w:rPr>
          <w:rFonts w:hint="eastAsia" w:ascii="宋体" w:hAnsi="宋体" w:cs="宋体"/>
          <w:sz w:val="24"/>
        </w:rPr>
        <w:t>4.2.2蛋白质处理：提取的蛋白质经还原烷基化、酶解、除盐后产生的多肽样品进行质谱鉴定；</w:t>
      </w:r>
    </w:p>
    <w:p w14:paraId="6A205D19">
      <w:pPr>
        <w:spacing w:line="360" w:lineRule="auto"/>
        <w:ind w:firstLine="480" w:firstLineChars="200"/>
        <w:rPr>
          <w:rFonts w:ascii="宋体" w:hAnsi="宋体" w:cs="宋体"/>
          <w:sz w:val="24"/>
        </w:rPr>
      </w:pPr>
      <w:r>
        <w:rPr>
          <w:rFonts w:hint="eastAsia" w:ascii="宋体" w:hAnsi="宋体" w:cs="宋体"/>
          <w:sz w:val="24"/>
        </w:rPr>
        <w:t>4.2.3蛋白质质谱检测：使用LC-MS/MS对蛋白质的肽段进行检测；</w:t>
      </w:r>
    </w:p>
    <w:p w14:paraId="7990C17C">
      <w:pPr>
        <w:spacing w:line="360" w:lineRule="auto"/>
        <w:ind w:firstLine="480" w:firstLineChars="200"/>
        <w:rPr>
          <w:rFonts w:ascii="宋体" w:hAnsi="宋体" w:cs="宋体"/>
          <w:sz w:val="24"/>
        </w:rPr>
      </w:pPr>
      <w:r>
        <w:rPr>
          <w:rFonts w:hint="eastAsia" w:ascii="宋体" w:hAnsi="宋体" w:cs="宋体"/>
          <w:sz w:val="24"/>
        </w:rPr>
        <w:t>4.2.4蛋白质鉴定分析：采用 DIA-NN (1.8.1)进行质谱数据处理，UniProt 数据库比对获得蛋白信息；</w:t>
      </w:r>
    </w:p>
    <w:p w14:paraId="3CB09840">
      <w:pPr>
        <w:spacing w:line="360" w:lineRule="auto"/>
        <w:ind w:firstLine="480" w:firstLineChars="200"/>
        <w:rPr>
          <w:rFonts w:ascii="宋体" w:hAnsi="宋体" w:cs="宋体"/>
          <w:sz w:val="24"/>
        </w:rPr>
      </w:pPr>
      <w:r>
        <w:rPr>
          <w:rFonts w:hint="eastAsia" w:ascii="宋体" w:hAnsi="宋体" w:cs="宋体"/>
          <w:sz w:val="24"/>
        </w:rPr>
        <w:t>4.2.5数据分析：提供蛋白处理标准规程、蛋白数量汇总、差异蛋白、蛋白富集信号通路的标准检测报告。</w:t>
      </w:r>
    </w:p>
    <w:p w14:paraId="1B98756D">
      <w:pPr>
        <w:keepNext/>
        <w:keepLines/>
        <w:adjustRightInd w:val="0"/>
        <w:spacing w:line="360" w:lineRule="auto"/>
        <w:ind w:firstLine="482" w:firstLineChars="200"/>
        <w:textAlignment w:val="baseline"/>
      </w:pPr>
      <w:r>
        <w:rPr>
          <w:rFonts w:hint="eastAsia" w:ascii="宋体" w:hAnsi="宋体"/>
          <w:b/>
          <w:sz w:val="24"/>
        </w:rPr>
        <w:t>四、项目验收要求</w:t>
      </w:r>
    </w:p>
    <w:p w14:paraId="33BDC949">
      <w:pPr>
        <w:spacing w:line="360" w:lineRule="auto"/>
        <w:ind w:firstLine="480" w:firstLineChars="200"/>
        <w:rPr>
          <w:rFonts w:hint="eastAsia" w:ascii="宋体" w:hAnsi="宋体" w:cs="宋体"/>
          <w:sz w:val="24"/>
        </w:rPr>
      </w:pPr>
      <w:r>
        <w:rPr>
          <w:rFonts w:ascii="宋体" w:hAnsi="宋体" w:cs="宋体"/>
          <w:sz w:val="24"/>
        </w:rPr>
        <w:t>标的名称1：空间转录组测序</w:t>
      </w:r>
    </w:p>
    <w:p w14:paraId="0B0E6926">
      <w:pPr>
        <w:spacing w:line="360" w:lineRule="auto"/>
        <w:ind w:firstLine="480" w:firstLineChars="200"/>
        <w:rPr>
          <w:rFonts w:hint="eastAsia" w:ascii="宋体" w:hAnsi="宋体" w:cs="宋体"/>
          <w:sz w:val="24"/>
        </w:rPr>
      </w:pPr>
      <w:r>
        <w:rPr>
          <w:rFonts w:hint="eastAsia" w:ascii="宋体" w:hAnsi="宋体" w:cs="宋体"/>
          <w:sz w:val="24"/>
        </w:rPr>
        <w:t>数据质控：测序饱和度不低于50%，Q30不低于80%.</w:t>
      </w:r>
    </w:p>
    <w:p w14:paraId="03992B74">
      <w:pPr>
        <w:spacing w:line="360" w:lineRule="auto"/>
        <w:ind w:firstLine="480" w:firstLineChars="200"/>
        <w:rPr>
          <w:rFonts w:hint="eastAsia" w:ascii="宋体" w:hAnsi="宋体" w:cs="宋体"/>
          <w:sz w:val="24"/>
        </w:rPr>
      </w:pPr>
      <w:r>
        <w:rPr>
          <w:rFonts w:hint="eastAsia" w:ascii="宋体" w:hAnsi="宋体" w:cs="宋体"/>
          <w:sz w:val="24"/>
        </w:rPr>
        <w:t>标的名称2：空间代谢组学测序</w:t>
      </w:r>
    </w:p>
    <w:p w14:paraId="70F812C0">
      <w:pPr>
        <w:spacing w:line="360" w:lineRule="auto"/>
        <w:ind w:firstLine="480" w:firstLineChars="200"/>
        <w:rPr>
          <w:rFonts w:ascii="宋体" w:hAnsi="宋体" w:cs="宋体"/>
          <w:sz w:val="24"/>
        </w:rPr>
      </w:pPr>
      <w:r>
        <w:rPr>
          <w:rFonts w:hint="eastAsia" w:ascii="宋体" w:hAnsi="宋体" w:cs="宋体"/>
          <w:sz w:val="24"/>
        </w:rPr>
        <w:t>数据质控：单张切片鉴定化合物不低于500；实际检测分辨率与设定分辨率控制在10%之内（若设定空间分辨率为 10 μm，则相邻两个激光斑点的中心距离应为 10 μm，实际测量偏差需 ≤10%。</w:t>
      </w:r>
    </w:p>
    <w:p w14:paraId="1F1E0AC0">
      <w:pPr>
        <w:spacing w:line="360" w:lineRule="auto"/>
        <w:ind w:firstLine="480" w:firstLineChars="200"/>
        <w:rPr>
          <w:rFonts w:hint="eastAsia" w:ascii="宋体" w:hAnsi="宋体" w:cs="宋体"/>
          <w:sz w:val="24"/>
        </w:rPr>
      </w:pPr>
      <w:r>
        <w:rPr>
          <w:rFonts w:hint="eastAsia" w:ascii="宋体" w:hAnsi="宋体" w:cs="宋体"/>
          <w:sz w:val="24"/>
        </w:rPr>
        <w:t>标的名称3：单细胞转录组测序</w:t>
      </w:r>
    </w:p>
    <w:p w14:paraId="26A849F1">
      <w:pPr>
        <w:spacing w:line="360" w:lineRule="auto"/>
        <w:ind w:firstLine="480" w:firstLineChars="200"/>
        <w:rPr>
          <w:rFonts w:hint="eastAsia" w:ascii="宋体" w:hAnsi="宋体" w:cs="宋体"/>
          <w:sz w:val="24"/>
        </w:rPr>
      </w:pPr>
      <w:r>
        <w:rPr>
          <w:rFonts w:hint="eastAsia" w:ascii="宋体" w:hAnsi="宋体" w:cs="宋体"/>
          <w:sz w:val="24"/>
        </w:rPr>
        <w:t>数据质控：选择Illumina平台/ DNBSEQ-T7平台按照PE150进行双端文库测序，测序要求饱和度不低于80%，细胞有效reads数不低于60%。</w:t>
      </w:r>
    </w:p>
    <w:p w14:paraId="010F3F33">
      <w:pPr>
        <w:spacing w:line="360" w:lineRule="auto"/>
        <w:ind w:firstLine="480" w:firstLineChars="200"/>
        <w:rPr>
          <w:rFonts w:hint="eastAsia" w:ascii="宋体" w:hAnsi="宋体" w:cs="宋体"/>
          <w:sz w:val="24"/>
        </w:rPr>
      </w:pPr>
      <w:r>
        <w:rPr>
          <w:rFonts w:hint="eastAsia" w:ascii="宋体" w:hAnsi="宋体" w:cs="宋体"/>
          <w:sz w:val="24"/>
        </w:rPr>
        <w:t>标的名称4：靶向代谢组学和蛋白组学测序</w:t>
      </w:r>
    </w:p>
    <w:p w14:paraId="423BF7F6">
      <w:pPr>
        <w:spacing w:line="360" w:lineRule="auto"/>
        <w:ind w:firstLine="480" w:firstLineChars="200"/>
        <w:rPr>
          <w:rFonts w:hint="eastAsia" w:ascii="宋体" w:hAnsi="宋体" w:cs="宋体"/>
          <w:sz w:val="24"/>
        </w:rPr>
      </w:pPr>
      <w:r>
        <w:rPr>
          <w:rFonts w:hint="eastAsia" w:ascii="宋体" w:hAnsi="宋体" w:cs="宋体"/>
          <w:sz w:val="24"/>
        </w:rPr>
        <w:t>靶向代谢组学数据质控：基于化合物的相对定量值来计算QC样本之间的 pearson 相关系数，QC样本相关性R2不低于0.95，确保检测过程稳定性。</w:t>
      </w:r>
    </w:p>
    <w:p w14:paraId="4A48C1C1">
      <w:r>
        <w:rPr>
          <w:rFonts w:hint="eastAsia" w:ascii="宋体" w:hAnsi="宋体" w:cs="宋体"/>
          <w:sz w:val="24"/>
        </w:rPr>
        <w:t>蛋白组学数据质控：对于常规复杂样品，肽段长度主要分布在7-30之间，内标校正肽段iRT值波动不高于2%，对LC-MS/MS原始数据进行保留时间有效校正，Unique肽段分布图满足Unique肽段30时，Unique肽段的蛋白占总蛋白的累计占比不低于85%，确保鉴定到蛋白可靠性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52EE5"/>
    <w:rsid w:val="11B52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1"/>
    <w:basedOn w:val="1"/>
    <w:autoRedefine/>
    <w:qFormat/>
    <w:uiPriority w:val="0"/>
    <w:pPr>
      <w:ind w:firstLine="420" w:firstLineChars="200"/>
    </w:pPr>
    <w:rPr>
      <w:rFonts w:ascii="Calibri" w:hAnsi="Calibri"/>
      <w:szCs w:val="22"/>
    </w:rPr>
  </w:style>
  <w:style w:type="paragraph" w:customStyle="1" w:styleId="6">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2025-07-22T03:27:00Z</dcterms:created>
  <dc:creator>周连妹</dc:creator>
  <cp:lastModifiedBy>周连妹</cp:lastModifiedBy>
  <dcterms:modified xsi:type="dcterms:W3CDTF">2025-07-22T03:28:39Z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3614CB442B9A4444AF9E4045F55BC112_11</vt:lpwstr>
  </property>
  <property fmtid="{D5CDD505-2E9C-101B-9397-08002B2CF9AE}" pid="4" name="KSOTemplateDocerSaveRecord">
    <vt:lpwstr>eyJoZGlkIjoiOTBlYjhiOWM3OTA5ZDBjNmEzYjU5M2VjODA1MmY2OGEiLCJ1c2VySWQiOiIyOTI2NjUzMzQifQ==</vt:lpwstr>
  </property>
</Properties>
</file>