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01BDF">
      <w:pPr>
        <w:pStyle w:val="6"/>
        <w:numPr>
          <w:numId w:val="0"/>
        </w:numPr>
        <w:spacing w:line="360" w:lineRule="auto"/>
        <w:ind w:leftChars="0"/>
        <w:contextualSpacing/>
        <w:jc w:val="center"/>
        <w:rPr>
          <w:rFonts w:ascii="Times New Roman" w:hAnsi="Times New Roman"/>
          <w:b/>
          <w:sz w:val="24"/>
          <w:szCs w:val="24"/>
        </w:rPr>
      </w:pPr>
      <w:r>
        <w:rPr>
          <w:b/>
          <w:sz w:val="36"/>
          <w:szCs w:val="36"/>
        </w:rPr>
        <w:t>采购需求</w:t>
      </w:r>
    </w:p>
    <w:p w14:paraId="45C31F33">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5271D4C5">
      <w:pPr>
        <w:numPr>
          <w:ilvl w:val="0"/>
          <w:numId w:val="2"/>
        </w:numPr>
        <w:spacing w:line="360" w:lineRule="auto"/>
        <w:contextualSpacing/>
        <w:rPr>
          <w:bCs/>
          <w:sz w:val="24"/>
        </w:rPr>
      </w:pPr>
      <w:r>
        <w:rPr>
          <w:bCs/>
          <w:sz w:val="24"/>
        </w:rPr>
        <w:t>采购标的</w:t>
      </w:r>
    </w:p>
    <w:p w14:paraId="3CE60C35">
      <w:pPr>
        <w:spacing w:line="360" w:lineRule="auto"/>
        <w:contextualSpacing/>
        <w:rPr>
          <w:bCs/>
          <w:sz w:val="24"/>
        </w:rPr>
      </w:pPr>
      <w:r>
        <w:rPr>
          <w:rFonts w:hint="eastAsia"/>
          <w:bCs/>
          <w:sz w:val="24"/>
        </w:rPr>
        <w:t>（不接受进口产品）</w:t>
      </w:r>
    </w:p>
    <w:tbl>
      <w:tblPr>
        <w:tblStyle w:val="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853"/>
        <w:gridCol w:w="1040"/>
        <w:gridCol w:w="1069"/>
        <w:gridCol w:w="1855"/>
        <w:gridCol w:w="1986"/>
      </w:tblGrid>
      <w:tr w14:paraId="06BD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right"/>
        </w:trPr>
        <w:tc>
          <w:tcPr>
            <w:tcW w:w="716" w:type="dxa"/>
            <w:tcBorders>
              <w:top w:val="single" w:color="auto" w:sz="4" w:space="0"/>
              <w:left w:val="single" w:color="auto" w:sz="4" w:space="0"/>
              <w:right w:val="single" w:color="auto" w:sz="4" w:space="0"/>
            </w:tcBorders>
            <w:shd w:val="clear" w:color="auto" w:fill="BFBFBF"/>
            <w:noWrap w:val="0"/>
            <w:vAlign w:val="center"/>
          </w:tcPr>
          <w:p w14:paraId="4CF7A482">
            <w:pPr>
              <w:adjustRightInd w:val="0"/>
              <w:snapToGrid w:val="0"/>
              <w:jc w:val="center"/>
              <w:rPr>
                <w:rFonts w:ascii="宋体" w:hAnsi="宋体" w:cs="宋体"/>
                <w:b/>
                <w:sz w:val="24"/>
              </w:rPr>
            </w:pPr>
            <w:r>
              <w:rPr>
                <w:rFonts w:hint="eastAsia" w:ascii="宋体" w:hAnsi="宋体" w:cs="宋体"/>
                <w:b/>
                <w:sz w:val="24"/>
              </w:rPr>
              <w:t>序号</w:t>
            </w:r>
          </w:p>
        </w:tc>
        <w:tc>
          <w:tcPr>
            <w:tcW w:w="1853" w:type="dxa"/>
            <w:tcBorders>
              <w:top w:val="single" w:color="auto" w:sz="4" w:space="0"/>
              <w:left w:val="single" w:color="auto" w:sz="4" w:space="0"/>
              <w:right w:val="single" w:color="auto" w:sz="4" w:space="0"/>
            </w:tcBorders>
            <w:shd w:val="clear" w:color="auto" w:fill="BFBFBF"/>
            <w:noWrap w:val="0"/>
            <w:vAlign w:val="center"/>
          </w:tcPr>
          <w:p w14:paraId="7F6CE02E">
            <w:pPr>
              <w:adjustRightInd w:val="0"/>
              <w:snapToGrid w:val="0"/>
              <w:jc w:val="center"/>
              <w:rPr>
                <w:rFonts w:ascii="宋体" w:hAnsi="宋体" w:cs="宋体"/>
                <w:b/>
                <w:sz w:val="24"/>
              </w:rPr>
            </w:pPr>
            <w:r>
              <w:rPr>
                <w:rFonts w:hint="eastAsia" w:ascii="宋体" w:hAnsi="宋体" w:cs="宋体"/>
                <w:b/>
                <w:sz w:val="24"/>
              </w:rPr>
              <w:t>标的名称</w:t>
            </w:r>
          </w:p>
        </w:tc>
        <w:tc>
          <w:tcPr>
            <w:tcW w:w="1040" w:type="dxa"/>
            <w:tcBorders>
              <w:top w:val="single" w:color="auto" w:sz="4" w:space="0"/>
              <w:left w:val="single" w:color="auto" w:sz="4" w:space="0"/>
              <w:right w:val="single" w:color="auto" w:sz="4" w:space="0"/>
            </w:tcBorders>
            <w:shd w:val="clear" w:color="auto" w:fill="BFBFBF"/>
            <w:noWrap w:val="0"/>
            <w:vAlign w:val="center"/>
          </w:tcPr>
          <w:p w14:paraId="535035EC">
            <w:pPr>
              <w:adjustRightInd w:val="0"/>
              <w:snapToGrid w:val="0"/>
              <w:jc w:val="center"/>
              <w:rPr>
                <w:rFonts w:ascii="宋体" w:hAnsi="宋体" w:cs="宋体"/>
                <w:b/>
                <w:sz w:val="24"/>
              </w:rPr>
            </w:pPr>
            <w:r>
              <w:rPr>
                <w:rFonts w:hint="eastAsia" w:ascii="宋体" w:hAnsi="宋体" w:cs="宋体"/>
                <w:b/>
                <w:sz w:val="24"/>
              </w:rPr>
              <w:t>单位</w:t>
            </w:r>
          </w:p>
        </w:tc>
        <w:tc>
          <w:tcPr>
            <w:tcW w:w="1069" w:type="dxa"/>
            <w:tcBorders>
              <w:top w:val="single" w:color="auto" w:sz="4" w:space="0"/>
              <w:left w:val="single" w:color="auto" w:sz="4" w:space="0"/>
              <w:right w:val="single" w:color="auto" w:sz="4" w:space="0"/>
            </w:tcBorders>
            <w:shd w:val="clear" w:color="auto" w:fill="BFBFBF"/>
            <w:noWrap w:val="0"/>
            <w:vAlign w:val="center"/>
          </w:tcPr>
          <w:p w14:paraId="35F2509B">
            <w:pPr>
              <w:adjustRightInd w:val="0"/>
              <w:snapToGrid w:val="0"/>
              <w:jc w:val="center"/>
              <w:rPr>
                <w:rFonts w:ascii="宋体" w:hAnsi="宋体" w:cs="宋体"/>
                <w:b/>
                <w:sz w:val="24"/>
              </w:rPr>
            </w:pPr>
            <w:r>
              <w:rPr>
                <w:rFonts w:hint="eastAsia" w:ascii="宋体" w:hAnsi="宋体" w:cs="宋体"/>
                <w:b/>
                <w:sz w:val="24"/>
              </w:rPr>
              <w:t>数量</w:t>
            </w:r>
          </w:p>
        </w:tc>
        <w:tc>
          <w:tcPr>
            <w:tcW w:w="1855" w:type="dxa"/>
            <w:tcBorders>
              <w:top w:val="single" w:color="auto" w:sz="4" w:space="0"/>
              <w:left w:val="single" w:color="auto" w:sz="4" w:space="0"/>
              <w:right w:val="single" w:color="auto" w:sz="4" w:space="0"/>
            </w:tcBorders>
            <w:shd w:val="clear" w:color="auto" w:fill="BFBFBF"/>
            <w:noWrap w:val="0"/>
            <w:vAlign w:val="center"/>
          </w:tcPr>
          <w:p w14:paraId="2A32F4E7">
            <w:pPr>
              <w:adjustRightInd w:val="0"/>
              <w:snapToGrid w:val="0"/>
              <w:jc w:val="center"/>
              <w:rPr>
                <w:rFonts w:ascii="宋体" w:hAnsi="宋体" w:cs="宋体"/>
                <w:b/>
                <w:sz w:val="24"/>
              </w:rPr>
            </w:pPr>
            <w:r>
              <w:rPr>
                <w:rFonts w:hint="eastAsia" w:ascii="宋体" w:hAnsi="宋体" w:cs="宋体"/>
                <w:b/>
                <w:sz w:val="24"/>
              </w:rPr>
              <w:t>是否为核心产品</w:t>
            </w:r>
          </w:p>
        </w:tc>
        <w:tc>
          <w:tcPr>
            <w:tcW w:w="1986" w:type="dxa"/>
            <w:tcBorders>
              <w:top w:val="single" w:color="auto" w:sz="4" w:space="0"/>
              <w:left w:val="single" w:color="auto" w:sz="4" w:space="0"/>
              <w:right w:val="single" w:color="auto" w:sz="4" w:space="0"/>
            </w:tcBorders>
            <w:shd w:val="clear" w:color="auto" w:fill="BFBFBF"/>
            <w:noWrap w:val="0"/>
            <w:vAlign w:val="center"/>
          </w:tcPr>
          <w:p w14:paraId="39F8E3A7">
            <w:pPr>
              <w:adjustRightInd w:val="0"/>
              <w:snapToGrid w:val="0"/>
              <w:jc w:val="center"/>
              <w:rPr>
                <w:rFonts w:ascii="宋体" w:hAnsi="宋体" w:cs="宋体"/>
                <w:b/>
                <w:sz w:val="24"/>
              </w:rPr>
            </w:pPr>
            <w:r>
              <w:rPr>
                <w:rFonts w:hint="eastAsia" w:ascii="宋体" w:hAnsi="宋体" w:cs="宋体"/>
                <w:b/>
                <w:sz w:val="24"/>
              </w:rPr>
              <w:t>是否接受进口产品</w:t>
            </w:r>
          </w:p>
        </w:tc>
      </w:tr>
      <w:tr w14:paraId="3CCF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right"/>
        </w:trPr>
        <w:tc>
          <w:tcPr>
            <w:tcW w:w="716" w:type="dxa"/>
            <w:tcBorders>
              <w:top w:val="single" w:color="auto" w:sz="4" w:space="0"/>
              <w:left w:val="single" w:color="auto" w:sz="4" w:space="0"/>
              <w:bottom w:val="single" w:color="auto" w:sz="4" w:space="0"/>
              <w:right w:val="single" w:color="auto" w:sz="4" w:space="0"/>
            </w:tcBorders>
            <w:noWrap w:val="0"/>
            <w:vAlign w:val="center"/>
          </w:tcPr>
          <w:p w14:paraId="590F707A">
            <w:pPr>
              <w:adjustRightInd w:val="0"/>
              <w:snapToGrid w:val="0"/>
              <w:jc w:val="center"/>
              <w:rPr>
                <w:rFonts w:ascii="宋体" w:hAnsi="宋体" w:cs="宋体"/>
                <w:sz w:val="24"/>
              </w:rPr>
            </w:pPr>
            <w:r>
              <w:rPr>
                <w:rFonts w:hint="eastAsia" w:ascii="宋体" w:hAnsi="宋体" w:cs="宋体"/>
                <w:sz w:val="24"/>
              </w:rPr>
              <w:t>1</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A1C4C1A">
            <w:pPr>
              <w:adjustRightInd w:val="0"/>
              <w:snapToGrid w:val="0"/>
              <w:jc w:val="center"/>
              <w:rPr>
                <w:rFonts w:ascii="宋体" w:hAnsi="宋体" w:cs="宋体"/>
                <w:sz w:val="24"/>
              </w:rPr>
            </w:pPr>
            <w:r>
              <w:rPr>
                <w:rFonts w:hint="eastAsia" w:ascii="宋体" w:hAnsi="宋体" w:cs="宋体"/>
                <w:sz w:val="24"/>
              </w:rPr>
              <w:t>教学触控一体机</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EF5428B">
            <w:pPr>
              <w:adjustRightInd w:val="0"/>
              <w:snapToGrid w:val="0"/>
              <w:jc w:val="center"/>
              <w:rPr>
                <w:rFonts w:ascii="宋体" w:hAnsi="宋体" w:cs="宋体"/>
                <w:sz w:val="24"/>
              </w:rPr>
            </w:pPr>
            <w:r>
              <w:rPr>
                <w:rFonts w:hint="eastAsia" w:ascii="宋体" w:hAnsi="宋体" w:cs="宋体"/>
                <w:sz w:val="24"/>
              </w:rPr>
              <w:t>台</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51F3B3D">
            <w:pPr>
              <w:adjustRightInd w:val="0"/>
              <w:snapToGrid w:val="0"/>
              <w:jc w:val="center"/>
              <w:rPr>
                <w:rFonts w:hint="eastAsia" w:ascii="宋体" w:hAnsi="宋体" w:cs="宋体"/>
                <w:sz w:val="24"/>
              </w:rPr>
            </w:pPr>
            <w:r>
              <w:rPr>
                <w:rFonts w:hint="eastAsia" w:ascii="宋体" w:hAnsi="宋体" w:cs="宋体"/>
                <w:sz w:val="24"/>
              </w:rPr>
              <w:t>47</w:t>
            </w:r>
          </w:p>
        </w:tc>
        <w:tc>
          <w:tcPr>
            <w:tcW w:w="1855" w:type="dxa"/>
            <w:tcBorders>
              <w:top w:val="single" w:color="auto" w:sz="4" w:space="0"/>
              <w:left w:val="single" w:color="auto" w:sz="4" w:space="0"/>
              <w:right w:val="single" w:color="auto" w:sz="4" w:space="0"/>
            </w:tcBorders>
            <w:noWrap w:val="0"/>
            <w:vAlign w:val="center"/>
          </w:tcPr>
          <w:p w14:paraId="739BFFA5">
            <w:pPr>
              <w:adjustRightInd w:val="0"/>
              <w:snapToGrid w:val="0"/>
              <w:jc w:val="center"/>
              <w:rPr>
                <w:rFonts w:ascii="宋体" w:hAnsi="宋体" w:cs="宋体"/>
                <w:sz w:val="24"/>
              </w:rPr>
            </w:pPr>
            <w:r>
              <w:rPr>
                <w:rFonts w:hint="eastAsia" w:ascii="宋体" w:hAnsi="宋体" w:cs="宋体"/>
                <w:sz w:val="24"/>
              </w:rPr>
              <w:t>是</w:t>
            </w:r>
          </w:p>
        </w:tc>
        <w:tc>
          <w:tcPr>
            <w:tcW w:w="1986" w:type="dxa"/>
            <w:tcBorders>
              <w:top w:val="single" w:color="auto" w:sz="4" w:space="0"/>
              <w:left w:val="single" w:color="auto" w:sz="4" w:space="0"/>
              <w:right w:val="single" w:color="auto" w:sz="4" w:space="0"/>
            </w:tcBorders>
            <w:noWrap w:val="0"/>
            <w:vAlign w:val="center"/>
          </w:tcPr>
          <w:p w14:paraId="29C60CD9">
            <w:pPr>
              <w:adjustRightInd w:val="0"/>
              <w:snapToGrid w:val="0"/>
              <w:jc w:val="center"/>
              <w:rPr>
                <w:rFonts w:ascii="宋体" w:hAnsi="宋体" w:cs="宋体"/>
                <w:sz w:val="24"/>
              </w:rPr>
            </w:pPr>
            <w:r>
              <w:rPr>
                <w:rFonts w:hint="eastAsia" w:ascii="宋体" w:hAnsi="宋体" w:cs="宋体"/>
                <w:sz w:val="24"/>
              </w:rPr>
              <w:t>否</w:t>
            </w:r>
          </w:p>
        </w:tc>
      </w:tr>
    </w:tbl>
    <w:p w14:paraId="65F00B9F">
      <w:pPr>
        <w:spacing w:line="360" w:lineRule="auto"/>
        <w:contextualSpacing/>
        <w:rPr>
          <w:bCs/>
          <w:sz w:val="24"/>
        </w:rPr>
      </w:pPr>
      <w:r>
        <w:rPr>
          <w:bCs/>
          <w:sz w:val="24"/>
        </w:rPr>
        <w:t>2. 项目背景</w:t>
      </w:r>
    </w:p>
    <w:p w14:paraId="02744D69">
      <w:pPr>
        <w:pStyle w:val="7"/>
        <w:snapToGrid w:val="0"/>
        <w:spacing w:line="480" w:lineRule="exact"/>
        <w:ind w:firstLine="480" w:firstLineChars="200"/>
        <w:jc w:val="both"/>
        <w:rPr>
          <w:rFonts w:ascii="宋体" w:hAnsi="宋体"/>
          <w:bCs/>
          <w:color w:val="auto"/>
          <w:kern w:val="2"/>
        </w:rPr>
      </w:pPr>
      <w:r>
        <w:rPr>
          <w:rFonts w:hint="eastAsia" w:ascii="宋体" w:hAnsi="宋体"/>
          <w:bCs/>
          <w:color w:val="auto"/>
          <w:kern w:val="2"/>
        </w:rPr>
        <w:t>北京服装学院积极服务北京“四个中心”功能建设和行业产业发展。发挥北服时尚领域影响力，助力北京国际消费中心</w:t>
      </w:r>
      <w:bookmarkStart w:id="2" w:name="_GoBack"/>
      <w:bookmarkEnd w:id="2"/>
      <w:r>
        <w:rPr>
          <w:rFonts w:hint="eastAsia" w:ascii="宋体" w:hAnsi="宋体"/>
          <w:bCs/>
          <w:color w:val="auto"/>
          <w:kern w:val="2"/>
        </w:rPr>
        <w:t>城市建设，与通州区加大合作，建立北服通州校区，助力北京服装学院建设中国特色、世界一流时尚高校。北京服装学院通州校区落地副中心后将坚持“多元共赢、一体建设”原则，进一步深化校地、校企合作。围绕“产城学”融合发展，积极践行以产定学、学以致产，以北服设计力、科技力、组织力、传播力优势，打造具有副中心特色的时尚产业生态和时尚品牌，全面助推北京城市副中心打造艺术高地、时尚高地、设计高地、人才高地。</w:t>
      </w:r>
    </w:p>
    <w:p w14:paraId="52E27AFA">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14F0517">
      <w:pPr>
        <w:spacing w:line="360" w:lineRule="auto"/>
        <w:contextualSpacing/>
        <w:rPr>
          <w:b/>
          <w:bCs/>
          <w:i/>
          <w:sz w:val="24"/>
        </w:rPr>
      </w:pPr>
      <w:r>
        <w:rPr>
          <w:b/>
          <w:bCs/>
          <w:sz w:val="24"/>
        </w:rPr>
        <w:t>1. 交付（实施）的时间（期限）和地点（范围）</w:t>
      </w:r>
    </w:p>
    <w:p w14:paraId="2322D9B3">
      <w:pPr>
        <w:spacing w:line="360" w:lineRule="auto"/>
        <w:contextualSpacing/>
        <w:rPr>
          <w:sz w:val="24"/>
        </w:rPr>
      </w:pPr>
      <w:r>
        <w:rPr>
          <w:sz w:val="24"/>
        </w:rPr>
        <w:t>交付（实施）的时间（期限）</w:t>
      </w:r>
      <w:r>
        <w:rPr>
          <w:rFonts w:hint="eastAsia"/>
          <w:sz w:val="24"/>
        </w:rPr>
        <w:t>：</w:t>
      </w:r>
      <w:r>
        <w:rPr>
          <w:rFonts w:hint="eastAsia" w:ascii="宋体" w:hAnsi="宋体"/>
          <w:sz w:val="24"/>
        </w:rPr>
        <w:t>2</w:t>
      </w:r>
      <w:r>
        <w:rPr>
          <w:rFonts w:ascii="宋体" w:hAnsi="宋体"/>
          <w:sz w:val="24"/>
        </w:rPr>
        <w:t>025年</w:t>
      </w:r>
      <w:r>
        <w:rPr>
          <w:rFonts w:hint="eastAsia" w:ascii="宋体" w:hAnsi="宋体"/>
          <w:sz w:val="24"/>
        </w:rPr>
        <w:t>8月2</w:t>
      </w:r>
      <w:r>
        <w:rPr>
          <w:rFonts w:ascii="宋体" w:hAnsi="宋体"/>
          <w:sz w:val="24"/>
        </w:rPr>
        <w:t>5日前</w:t>
      </w:r>
      <w:r>
        <w:rPr>
          <w:rFonts w:hint="eastAsia" w:ascii="宋体" w:hAnsi="宋体"/>
          <w:sz w:val="24"/>
        </w:rPr>
        <w:t>完成所有项目建设。</w:t>
      </w:r>
    </w:p>
    <w:p w14:paraId="6AEB3080">
      <w:pPr>
        <w:spacing w:line="360" w:lineRule="auto"/>
        <w:contextualSpacing/>
        <w:rPr>
          <w:sz w:val="24"/>
        </w:rPr>
      </w:pPr>
      <w:r>
        <w:rPr>
          <w:sz w:val="24"/>
        </w:rPr>
        <w:t>地点（范围）</w:t>
      </w:r>
      <w:r>
        <w:rPr>
          <w:rFonts w:hint="eastAsia"/>
          <w:sz w:val="24"/>
        </w:rPr>
        <w:t>：北京服装学院通州校区</w:t>
      </w:r>
    </w:p>
    <w:p w14:paraId="295C49CF">
      <w:pPr>
        <w:spacing w:line="360" w:lineRule="auto"/>
        <w:contextualSpacing/>
        <w:rPr>
          <w:b/>
          <w:bCs/>
          <w:sz w:val="24"/>
        </w:rPr>
      </w:pPr>
      <w:r>
        <w:rPr>
          <w:b/>
          <w:bCs/>
          <w:sz w:val="24"/>
        </w:rPr>
        <w:t>2. 付款条件（进度和方式）</w:t>
      </w:r>
    </w:p>
    <w:p w14:paraId="3A498A9A">
      <w:pPr>
        <w:spacing w:line="360" w:lineRule="auto"/>
        <w:contextualSpacing/>
        <w:rPr>
          <w:bCs/>
          <w:sz w:val="24"/>
        </w:rPr>
      </w:pPr>
      <w:r>
        <w:rPr>
          <w:rFonts w:hint="eastAsia"/>
          <w:bCs/>
          <w:sz w:val="24"/>
        </w:rPr>
        <w:t>①合同签订后7个工作日内</w:t>
      </w:r>
      <w:r>
        <w:rPr>
          <w:rFonts w:hint="eastAsia"/>
          <w:sz w:val="24"/>
        </w:rPr>
        <w:t>采购人</w:t>
      </w:r>
      <w:r>
        <w:rPr>
          <w:rFonts w:hint="eastAsia"/>
          <w:bCs/>
          <w:sz w:val="24"/>
        </w:rPr>
        <w:t>向</w:t>
      </w:r>
      <w:r>
        <w:rPr>
          <w:rFonts w:hint="eastAsia"/>
          <w:sz w:val="24"/>
        </w:rPr>
        <w:t>中标人</w:t>
      </w:r>
      <w:r>
        <w:rPr>
          <w:rFonts w:hint="eastAsia"/>
          <w:bCs/>
          <w:sz w:val="24"/>
        </w:rPr>
        <w:t>支付合同总价款的 70%，即人民币</w:t>
      </w:r>
      <w:r>
        <w:rPr>
          <w:rFonts w:hint="eastAsia"/>
          <w:bCs/>
          <w:sz w:val="24"/>
          <w:u w:val="single"/>
        </w:rPr>
        <w:t xml:space="preserve">        </w:t>
      </w:r>
      <w:r>
        <w:rPr>
          <w:rFonts w:hint="eastAsia"/>
          <w:bCs/>
          <w:sz w:val="24"/>
        </w:rPr>
        <w:t>元。</w:t>
      </w:r>
    </w:p>
    <w:p w14:paraId="3A02B872">
      <w:pPr>
        <w:spacing w:line="360" w:lineRule="auto"/>
        <w:contextualSpacing/>
        <w:rPr>
          <w:bCs/>
          <w:sz w:val="24"/>
        </w:rPr>
      </w:pPr>
      <w:r>
        <w:rPr>
          <w:rFonts w:hint="eastAsia"/>
          <w:bCs/>
          <w:sz w:val="24"/>
        </w:rPr>
        <w:t>②</w:t>
      </w:r>
      <w:r>
        <w:rPr>
          <w:rFonts w:hint="eastAsia"/>
          <w:sz w:val="24"/>
        </w:rPr>
        <w:t>中标人</w:t>
      </w:r>
      <w:r>
        <w:rPr>
          <w:rFonts w:hint="eastAsia"/>
          <w:bCs/>
          <w:sz w:val="24"/>
        </w:rPr>
        <w:t>应在合同签订后的 10 日内，按</w:t>
      </w:r>
      <w:r>
        <w:rPr>
          <w:rStyle w:val="5"/>
          <w:rFonts w:hint="eastAsia"/>
          <w:sz w:val="24"/>
          <w:szCs w:val="24"/>
        </w:rPr>
        <w:t>汇款</w:t>
      </w:r>
      <w:r>
        <w:rPr>
          <w:rFonts w:hint="eastAsia"/>
          <w:bCs/>
          <w:sz w:val="24"/>
        </w:rPr>
        <w:t>方式向</w:t>
      </w:r>
      <w:r>
        <w:rPr>
          <w:rFonts w:hint="eastAsia"/>
          <w:sz w:val="24"/>
        </w:rPr>
        <w:t>采购人</w:t>
      </w:r>
      <w:r>
        <w:rPr>
          <w:rFonts w:hint="eastAsia"/>
          <w:bCs/>
          <w:sz w:val="24"/>
        </w:rPr>
        <w:t>缴纳合同总价5%的履约保证金</w:t>
      </w:r>
      <w:r>
        <w:rPr>
          <w:rFonts w:hint="eastAsia"/>
          <w:bCs/>
          <w:sz w:val="24"/>
          <w:u w:val="single"/>
        </w:rPr>
        <w:t xml:space="preserve">        </w:t>
      </w:r>
      <w:r>
        <w:rPr>
          <w:rFonts w:hint="eastAsia"/>
          <w:bCs/>
          <w:sz w:val="24"/>
        </w:rPr>
        <w:t>元。项目验收通过 12个月后，若</w:t>
      </w:r>
      <w:r>
        <w:rPr>
          <w:rFonts w:hint="eastAsia"/>
          <w:sz w:val="24"/>
        </w:rPr>
        <w:t>中标人</w:t>
      </w:r>
      <w:r>
        <w:rPr>
          <w:rFonts w:hint="eastAsia"/>
          <w:bCs/>
          <w:sz w:val="24"/>
        </w:rPr>
        <w:t>履行了合同所规定的各项责任，质量保证条款得以实现，则</w:t>
      </w:r>
      <w:r>
        <w:rPr>
          <w:rFonts w:hint="eastAsia"/>
          <w:sz w:val="24"/>
        </w:rPr>
        <w:t>采购人</w:t>
      </w:r>
      <w:r>
        <w:rPr>
          <w:rFonts w:hint="eastAsia"/>
          <w:bCs/>
          <w:sz w:val="24"/>
        </w:rPr>
        <w:t>无息全额退还</w:t>
      </w:r>
      <w:r>
        <w:rPr>
          <w:rFonts w:hint="eastAsia"/>
          <w:sz w:val="24"/>
        </w:rPr>
        <w:t>中标人</w:t>
      </w:r>
      <w:r>
        <w:rPr>
          <w:rFonts w:hint="eastAsia"/>
          <w:bCs/>
          <w:sz w:val="24"/>
        </w:rPr>
        <w:t>履约保证金。如果</w:t>
      </w:r>
      <w:r>
        <w:rPr>
          <w:rFonts w:hint="eastAsia"/>
          <w:sz w:val="24"/>
        </w:rPr>
        <w:t>中标人</w:t>
      </w:r>
      <w:r>
        <w:rPr>
          <w:rFonts w:hint="eastAsia"/>
          <w:bCs/>
          <w:sz w:val="24"/>
        </w:rPr>
        <w:t>未能按合同规定履行其责任和义务，</w:t>
      </w:r>
      <w:r>
        <w:rPr>
          <w:rFonts w:hint="eastAsia"/>
          <w:sz w:val="24"/>
        </w:rPr>
        <w:t>采购人</w:t>
      </w:r>
      <w:r>
        <w:rPr>
          <w:rFonts w:hint="eastAsia"/>
          <w:bCs/>
          <w:sz w:val="24"/>
        </w:rPr>
        <w:t xml:space="preserve">有权从履约保证金中取得相应补偿。  </w:t>
      </w:r>
    </w:p>
    <w:p w14:paraId="64210DC4">
      <w:pPr>
        <w:spacing w:line="360" w:lineRule="auto"/>
        <w:contextualSpacing/>
        <w:rPr>
          <w:bCs/>
          <w:sz w:val="24"/>
        </w:rPr>
      </w:pPr>
      <w:r>
        <w:rPr>
          <w:rFonts w:hint="eastAsia"/>
          <w:bCs/>
          <w:sz w:val="24"/>
        </w:rPr>
        <w:t>③在本合同规定的货物及相关服务交付并验收合格后，</w:t>
      </w:r>
      <w:r>
        <w:rPr>
          <w:rFonts w:hint="eastAsia"/>
          <w:sz w:val="24"/>
        </w:rPr>
        <w:t>采购人</w:t>
      </w:r>
      <w:r>
        <w:rPr>
          <w:rFonts w:hint="eastAsia"/>
          <w:bCs/>
          <w:sz w:val="24"/>
        </w:rPr>
        <w:t>向</w:t>
      </w:r>
      <w:r>
        <w:rPr>
          <w:rFonts w:hint="eastAsia"/>
          <w:sz w:val="24"/>
        </w:rPr>
        <w:t>中标人</w:t>
      </w:r>
      <w:r>
        <w:rPr>
          <w:rFonts w:hint="eastAsia"/>
          <w:bCs/>
          <w:sz w:val="24"/>
        </w:rPr>
        <w:t>支付本合同总价款的 30%，即人民币</w:t>
      </w:r>
      <w:r>
        <w:rPr>
          <w:rFonts w:hint="eastAsia"/>
          <w:bCs/>
          <w:sz w:val="24"/>
          <w:u w:val="single"/>
        </w:rPr>
        <w:t xml:space="preserve">        </w:t>
      </w:r>
      <w:r>
        <w:rPr>
          <w:rFonts w:hint="eastAsia"/>
          <w:bCs/>
          <w:sz w:val="24"/>
        </w:rPr>
        <w:t>元。</w:t>
      </w:r>
    </w:p>
    <w:p w14:paraId="141C193A">
      <w:pPr>
        <w:spacing w:line="360" w:lineRule="auto"/>
        <w:contextualSpacing/>
        <w:rPr>
          <w:sz w:val="24"/>
        </w:rPr>
      </w:pPr>
      <w:r>
        <w:rPr>
          <w:b/>
          <w:bCs/>
          <w:sz w:val="24"/>
        </w:rPr>
        <w:t>3. 包装和运输</w:t>
      </w:r>
    </w:p>
    <w:p w14:paraId="23293EB1">
      <w:pPr>
        <w:autoSpaceDE/>
        <w:autoSpaceDN/>
        <w:adjustRightInd/>
        <w:snapToGrid/>
        <w:spacing w:line="360" w:lineRule="auto"/>
        <w:ind w:left="0" w:right="0" w:firstLine="0" w:firstLineChars="0"/>
        <w:contextualSpacing/>
        <w:jc w:val="left"/>
        <w:rPr>
          <w:rFonts w:ascii="宋体" w:hAnsi="宋体"/>
          <w:bCs/>
          <w:sz w:val="24"/>
        </w:rPr>
      </w:pPr>
      <w:r>
        <w:rPr>
          <w:rFonts w:hint="eastAsia"/>
          <w:sz w:val="24"/>
        </w:rPr>
        <w:t>投标人</w:t>
      </w:r>
      <w:r>
        <w:rPr>
          <w:rFonts w:hint="eastAsia" w:ascii="宋体" w:hAnsi="宋体"/>
          <w:sz w:val="24"/>
        </w:rPr>
        <w:t>提供的全部货物涉及商品包装、快递包装的，除</w:t>
      </w:r>
      <w:r>
        <w:rPr>
          <w:rFonts w:hint="eastAsia" w:ascii="宋体" w:hAnsi="宋体"/>
          <w:bCs/>
          <w:sz w:val="24"/>
        </w:rPr>
        <w:t>【政府采购合同专用条款】另有约定外，</w:t>
      </w:r>
      <w:r>
        <w:rPr>
          <w:sz w:val="24"/>
        </w:rPr>
        <w:t>包装和运输（须满足《关于印发〈商品包装政府采购需求标准（试行）〉、〈快递包装政府采购需求标准（试行）〉的通知》（财办库﹝2020﹞123号））</w:t>
      </w:r>
      <w:r>
        <w:rPr>
          <w:rFonts w:hint="eastAsia"/>
          <w:sz w:val="24"/>
        </w:rPr>
        <w:t>的要求</w:t>
      </w:r>
      <w:r>
        <w:rPr>
          <w:rFonts w:hint="eastAsia" w:ascii="宋体" w:hAnsi="宋体"/>
          <w:bCs/>
          <w:sz w:val="24"/>
        </w:rPr>
        <w:t>。</w:t>
      </w:r>
    </w:p>
    <w:p w14:paraId="7A3AD9CC">
      <w:pPr>
        <w:adjustRightInd w:val="0"/>
        <w:snapToGrid w:val="0"/>
        <w:spacing w:line="360" w:lineRule="auto"/>
        <w:ind w:left="-120" w:right="-120" w:firstLine="480" w:firstLineChars="200"/>
        <w:jc w:val="left"/>
        <w:rPr>
          <w:rFonts w:ascii="宋体" w:hAnsi="宋体"/>
          <w:sz w:val="24"/>
        </w:rPr>
      </w:pPr>
      <w:r>
        <w:rPr>
          <w:rFonts w:hint="eastAsia" w:ascii="宋体" w:hAnsi="宋体"/>
          <w:bCs/>
          <w:sz w:val="24"/>
        </w:rPr>
        <w:t>除【政府采购合同专用条款】另有约定外，</w:t>
      </w:r>
      <w:r>
        <w:rPr>
          <w:rFonts w:hint="eastAsia"/>
          <w:sz w:val="24"/>
        </w:rPr>
        <w:t>投标人</w:t>
      </w:r>
      <w:r>
        <w:rPr>
          <w:rFonts w:hint="eastAsia" w:ascii="宋体" w:hAnsi="宋体"/>
          <w:bCs/>
          <w:sz w:val="24"/>
        </w:rPr>
        <w:t>负责办</w:t>
      </w:r>
      <w:r>
        <w:rPr>
          <w:rFonts w:hint="eastAsia" w:ascii="宋体" w:hAnsi="宋体"/>
          <w:sz w:val="24"/>
        </w:rPr>
        <w:t>理将货物运抵本合同规定的交货地点，并装卸、交付至</w:t>
      </w:r>
      <w:r>
        <w:rPr>
          <w:rFonts w:hint="eastAsia"/>
          <w:sz w:val="24"/>
        </w:rPr>
        <w:t>采购人</w:t>
      </w:r>
      <w:r>
        <w:rPr>
          <w:rFonts w:hint="eastAsia" w:ascii="宋体" w:hAnsi="宋体"/>
          <w:sz w:val="24"/>
        </w:rPr>
        <w:t>的一切运输事项，相关费用应包含在合同价款中。</w:t>
      </w:r>
    </w:p>
    <w:p w14:paraId="2D51CC7F">
      <w:pPr>
        <w:numPr>
          <w:ilvl w:val="0"/>
          <w:numId w:val="3"/>
        </w:numPr>
        <w:spacing w:line="360" w:lineRule="auto"/>
        <w:contextualSpacing/>
        <w:rPr>
          <w:b/>
          <w:bCs/>
          <w:sz w:val="24"/>
        </w:rPr>
      </w:pPr>
      <w:r>
        <w:rPr>
          <w:b/>
          <w:bCs/>
          <w:sz w:val="24"/>
        </w:rPr>
        <w:t>售后服务（质保期）</w:t>
      </w:r>
    </w:p>
    <w:p w14:paraId="0A3F2332">
      <w:pPr>
        <w:spacing w:line="360" w:lineRule="auto"/>
        <w:ind w:firstLine="480" w:firstLineChars="200"/>
        <w:contextualSpacing/>
        <w:rPr>
          <w:rFonts w:ascii="宋体" w:hAnsi="宋体"/>
          <w:sz w:val="24"/>
        </w:rPr>
      </w:pPr>
      <w:bookmarkStart w:id="0" w:name="OLE_LINK135"/>
      <w:bookmarkStart w:id="1" w:name="OLE_LINK134"/>
      <w:r>
        <w:rPr>
          <w:rFonts w:hint="eastAsia"/>
          <w:sz w:val="24"/>
        </w:rPr>
        <w:t>投标人</w:t>
      </w:r>
      <w:r>
        <w:rPr>
          <w:rFonts w:hint="eastAsia" w:ascii="宋体" w:hAnsi="宋体"/>
          <w:sz w:val="24"/>
        </w:rPr>
        <w:t>提供本项目验收后所有设备的3年（原厂）质保，软件3年原厂质保和升级服务，并提供售后服务承诺函（加盖公章）；投标人还应提供本项目所有设备出保后相关备品备件采购单价或同类替代产品折扣比例（适用于所投产品停产情况的替代备件）的承诺函。</w:t>
      </w:r>
      <w:bookmarkEnd w:id="0"/>
      <w:bookmarkEnd w:id="1"/>
    </w:p>
    <w:p w14:paraId="3E9C96B7">
      <w:pPr>
        <w:spacing w:line="360" w:lineRule="auto"/>
        <w:contextualSpacing/>
        <w:rPr>
          <w:b/>
          <w:bCs/>
          <w:sz w:val="24"/>
        </w:rPr>
      </w:pPr>
      <w:r>
        <w:rPr>
          <w:rFonts w:hint="eastAsia" w:ascii="宋体" w:hAnsi="宋体"/>
          <w:b/>
          <w:sz w:val="24"/>
        </w:rPr>
        <w:t>5.</w:t>
      </w:r>
      <w:r>
        <w:rPr>
          <w:b/>
          <w:bCs/>
          <w:sz w:val="24"/>
        </w:rPr>
        <w:t>保险</w:t>
      </w:r>
    </w:p>
    <w:p w14:paraId="4562467A">
      <w:pPr>
        <w:spacing w:line="360" w:lineRule="auto"/>
        <w:ind w:firstLine="480" w:firstLineChars="200"/>
        <w:contextualSpacing/>
        <w:rPr>
          <w:sz w:val="24"/>
        </w:rPr>
      </w:pPr>
      <w:r>
        <w:rPr>
          <w:rFonts w:hint="eastAsia" w:ascii="宋体" w:hAnsi="宋体"/>
          <w:sz w:val="24"/>
        </w:rPr>
        <w:t>货物保险要求按</w:t>
      </w:r>
      <w:r>
        <w:rPr>
          <w:rFonts w:hint="eastAsia" w:ascii="宋体" w:hAnsi="宋体"/>
          <w:bCs/>
          <w:sz w:val="24"/>
        </w:rPr>
        <w:t>【政府采购合同专用条款】规定执行</w:t>
      </w:r>
      <w:r>
        <w:rPr>
          <w:rFonts w:hint="eastAsia" w:ascii="宋体" w:hAnsi="宋体"/>
          <w:sz w:val="24"/>
        </w:rPr>
        <w:t>。</w:t>
      </w:r>
    </w:p>
    <w:p w14:paraId="5E42D3D4">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1217874B">
      <w:pPr>
        <w:spacing w:line="360" w:lineRule="auto"/>
        <w:contextualSpacing/>
        <w:rPr>
          <w:b/>
          <w:bCs/>
          <w:sz w:val="24"/>
        </w:rPr>
      </w:pPr>
      <w:r>
        <w:rPr>
          <w:b/>
          <w:bCs/>
          <w:sz w:val="24"/>
        </w:rPr>
        <w:t>1. 基本要求</w:t>
      </w:r>
    </w:p>
    <w:p w14:paraId="44EBAE6D">
      <w:pPr>
        <w:spacing w:line="360" w:lineRule="auto"/>
        <w:ind w:firstLine="482" w:firstLineChars="200"/>
        <w:contextualSpacing/>
        <w:rPr>
          <w:b/>
          <w:bCs/>
          <w:sz w:val="24"/>
        </w:rPr>
      </w:pPr>
      <w:r>
        <w:rPr>
          <w:b/>
          <w:bCs/>
          <w:sz w:val="24"/>
        </w:rPr>
        <w:t>1.1 采购标的需实现的功能或者目标</w:t>
      </w:r>
    </w:p>
    <w:p w14:paraId="19E821FE">
      <w:pPr>
        <w:spacing w:line="360" w:lineRule="auto"/>
        <w:ind w:firstLine="480" w:firstLineChars="200"/>
        <w:rPr>
          <w:rFonts w:ascii="宋体" w:hAnsi="宋体"/>
          <w:sz w:val="24"/>
        </w:rPr>
      </w:pPr>
      <w:r>
        <w:rPr>
          <w:rFonts w:hint="eastAsia" w:ascii="宋体" w:hAnsi="宋体"/>
          <w:sz w:val="24"/>
        </w:rPr>
        <w:t>本项目为满足基本教学，需要在47间教室部署教学触控一体机，完成教室基础建设，计划地为</w:t>
      </w:r>
      <w:r>
        <w:rPr>
          <w:rFonts w:hint="eastAsia"/>
          <w:sz w:val="24"/>
        </w:rPr>
        <w:t>北京服装学院通州校区</w:t>
      </w:r>
      <w:r>
        <w:rPr>
          <w:rFonts w:hint="eastAsia" w:ascii="宋体" w:hAnsi="宋体"/>
          <w:sz w:val="24"/>
        </w:rPr>
        <w:t>。</w:t>
      </w:r>
    </w:p>
    <w:p w14:paraId="76BDF664">
      <w:pPr>
        <w:spacing w:line="360" w:lineRule="auto"/>
        <w:ind w:firstLine="482" w:firstLineChars="200"/>
        <w:contextualSpacing/>
        <w:rPr>
          <w:b/>
          <w:bCs/>
          <w:sz w:val="24"/>
        </w:rPr>
      </w:pPr>
      <w:r>
        <w:rPr>
          <w:b/>
          <w:bCs/>
          <w:sz w:val="24"/>
        </w:rPr>
        <w:t>1.2 需执行的国家相关标准、行业标准、地方标准或者其他标准、规范</w:t>
      </w:r>
    </w:p>
    <w:p w14:paraId="5896C758">
      <w:pPr>
        <w:spacing w:line="360" w:lineRule="auto"/>
        <w:ind w:firstLine="480" w:firstLineChars="200"/>
        <w:contextualSpacing/>
        <w:rPr>
          <w:rFonts w:ascii="宋体" w:hAnsi="宋体"/>
          <w:sz w:val="24"/>
          <w:highlight w:val="none"/>
        </w:rPr>
      </w:pPr>
      <w:r>
        <w:rPr>
          <w:rFonts w:hint="eastAsia" w:ascii="宋体" w:hAnsi="宋体"/>
          <w:sz w:val="24"/>
          <w:highlight w:val="none"/>
        </w:rPr>
        <w:t>《绿色设计产品评价技术规范 交互式触控一体机》（T/CESA 1125-2020）、《液晶触摸一体机通用规范》（T/BDSA 007-2024）</w:t>
      </w:r>
    </w:p>
    <w:p w14:paraId="7824E9DC">
      <w:pPr>
        <w:spacing w:line="360" w:lineRule="auto"/>
        <w:contextualSpacing/>
        <w:rPr>
          <w:b/>
          <w:bCs/>
          <w:sz w:val="24"/>
          <w:highlight w:val="none"/>
        </w:rPr>
      </w:pPr>
      <w:r>
        <w:rPr>
          <w:b/>
          <w:bCs/>
          <w:sz w:val="24"/>
          <w:highlight w:val="none"/>
        </w:rPr>
        <w:t>2. 服务内容及要求/货物技术要求</w:t>
      </w:r>
    </w:p>
    <w:p w14:paraId="0FAED042">
      <w:pPr>
        <w:widowControl/>
        <w:spacing w:line="360" w:lineRule="auto"/>
        <w:ind w:firstLine="482" w:firstLineChars="200"/>
        <w:contextualSpacing/>
        <w:rPr>
          <w:b/>
          <w:bCs/>
          <w:sz w:val="24"/>
        </w:rPr>
      </w:pPr>
      <w:r>
        <w:rPr>
          <w:b/>
          <w:bCs/>
          <w:sz w:val="24"/>
        </w:rPr>
        <w:t>2.1采购标的需满足的性能、材料、结构、外观、质量、安全、技术规格、物理特性等要求</w:t>
      </w:r>
    </w:p>
    <w:tbl>
      <w:tblPr>
        <w:tblStyle w:val="3"/>
        <w:tblW w:w="0" w:type="auto"/>
        <w:tblInd w:w="0" w:type="dxa"/>
        <w:tblLayout w:type="fixed"/>
        <w:tblCellMar>
          <w:top w:w="0" w:type="dxa"/>
          <w:left w:w="108" w:type="dxa"/>
          <w:bottom w:w="0" w:type="dxa"/>
          <w:right w:w="108" w:type="dxa"/>
        </w:tblCellMar>
      </w:tblPr>
      <w:tblGrid>
        <w:gridCol w:w="490"/>
        <w:gridCol w:w="965"/>
        <w:gridCol w:w="5896"/>
        <w:gridCol w:w="468"/>
        <w:gridCol w:w="700"/>
      </w:tblGrid>
      <w:tr w14:paraId="08A03AB1">
        <w:tblPrEx>
          <w:tblCellMar>
            <w:top w:w="0" w:type="dxa"/>
            <w:left w:w="108" w:type="dxa"/>
            <w:bottom w:w="0" w:type="dxa"/>
            <w:right w:w="108" w:type="dxa"/>
          </w:tblCellMar>
        </w:tblPrEx>
        <w:trPr>
          <w:trHeight w:val="270"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14:paraId="31A42E91">
            <w:pPr>
              <w:widowControl/>
              <w:spacing w:line="360" w:lineRule="auto"/>
              <w:jc w:val="center"/>
              <w:rPr>
                <w:rFonts w:ascii="宋体" w:hAnsi="宋体" w:cs="Microsoft YaHei UI"/>
                <w:w w:val="105"/>
                <w:sz w:val="24"/>
              </w:rPr>
            </w:pPr>
            <w:r>
              <w:rPr>
                <w:rFonts w:hint="eastAsia" w:ascii="宋体" w:hAnsi="宋体" w:cs="Microsoft YaHei UI"/>
                <w:w w:val="105"/>
                <w:sz w:val="24"/>
              </w:rPr>
              <w:t>序号</w:t>
            </w:r>
          </w:p>
        </w:tc>
        <w:tc>
          <w:tcPr>
            <w:tcW w:w="965" w:type="dxa"/>
            <w:tcBorders>
              <w:top w:val="single" w:color="auto" w:sz="4" w:space="0"/>
              <w:left w:val="nil"/>
              <w:bottom w:val="single" w:color="auto" w:sz="4" w:space="0"/>
              <w:right w:val="single" w:color="auto" w:sz="4" w:space="0"/>
            </w:tcBorders>
            <w:noWrap w:val="0"/>
            <w:vAlign w:val="center"/>
          </w:tcPr>
          <w:p w14:paraId="770D2697">
            <w:pPr>
              <w:widowControl/>
              <w:spacing w:line="360" w:lineRule="auto"/>
              <w:jc w:val="center"/>
              <w:rPr>
                <w:rFonts w:ascii="宋体" w:hAnsi="宋体" w:cs="Microsoft YaHei UI"/>
                <w:w w:val="105"/>
                <w:sz w:val="24"/>
              </w:rPr>
            </w:pPr>
            <w:r>
              <w:rPr>
                <w:rFonts w:hint="eastAsia" w:ascii="宋体" w:hAnsi="宋体" w:cs="Microsoft YaHei UI"/>
                <w:w w:val="105"/>
                <w:sz w:val="24"/>
              </w:rPr>
              <w:t>货物</w:t>
            </w:r>
          </w:p>
          <w:p w14:paraId="4FA0AF46">
            <w:pPr>
              <w:widowControl/>
              <w:spacing w:line="360" w:lineRule="auto"/>
              <w:jc w:val="center"/>
              <w:rPr>
                <w:rFonts w:ascii="宋体" w:hAnsi="宋体" w:cs="Microsoft YaHei UI"/>
                <w:w w:val="105"/>
                <w:sz w:val="24"/>
              </w:rPr>
            </w:pPr>
            <w:r>
              <w:rPr>
                <w:rFonts w:hint="eastAsia" w:ascii="宋体" w:hAnsi="宋体" w:cs="Microsoft YaHei UI"/>
                <w:w w:val="105"/>
                <w:sz w:val="24"/>
              </w:rPr>
              <w:t>名称</w:t>
            </w:r>
          </w:p>
        </w:tc>
        <w:tc>
          <w:tcPr>
            <w:tcW w:w="5896" w:type="dxa"/>
            <w:tcBorders>
              <w:top w:val="single" w:color="auto" w:sz="4" w:space="0"/>
              <w:left w:val="nil"/>
              <w:bottom w:val="single" w:color="auto" w:sz="4" w:space="0"/>
              <w:right w:val="single" w:color="auto" w:sz="4" w:space="0"/>
            </w:tcBorders>
            <w:noWrap w:val="0"/>
            <w:vAlign w:val="center"/>
          </w:tcPr>
          <w:p w14:paraId="353892A8">
            <w:pPr>
              <w:widowControl/>
              <w:spacing w:line="360" w:lineRule="auto"/>
              <w:jc w:val="center"/>
              <w:rPr>
                <w:rFonts w:ascii="宋体" w:hAnsi="宋体" w:cs="Microsoft YaHei UI"/>
                <w:w w:val="105"/>
                <w:sz w:val="24"/>
              </w:rPr>
            </w:pPr>
            <w:r>
              <w:rPr>
                <w:rFonts w:hint="eastAsia" w:ascii="宋体" w:hAnsi="宋体" w:cs="Microsoft YaHei UI"/>
                <w:w w:val="105"/>
                <w:sz w:val="24"/>
              </w:rPr>
              <w:t>技术指标要求</w:t>
            </w:r>
          </w:p>
        </w:tc>
        <w:tc>
          <w:tcPr>
            <w:tcW w:w="468" w:type="dxa"/>
            <w:tcBorders>
              <w:top w:val="single" w:color="auto" w:sz="4" w:space="0"/>
              <w:left w:val="nil"/>
              <w:bottom w:val="single" w:color="auto" w:sz="4" w:space="0"/>
              <w:right w:val="single" w:color="auto" w:sz="4" w:space="0"/>
            </w:tcBorders>
            <w:noWrap w:val="0"/>
            <w:vAlign w:val="center"/>
          </w:tcPr>
          <w:p w14:paraId="40821035">
            <w:pPr>
              <w:widowControl/>
              <w:spacing w:line="360" w:lineRule="auto"/>
              <w:jc w:val="center"/>
              <w:rPr>
                <w:rFonts w:ascii="宋体" w:hAnsi="宋体" w:cs="Microsoft YaHei UI"/>
                <w:w w:val="105"/>
                <w:sz w:val="24"/>
              </w:rPr>
            </w:pPr>
            <w:r>
              <w:rPr>
                <w:rFonts w:hint="eastAsia" w:ascii="宋体" w:hAnsi="宋体" w:cs="Microsoft YaHei UI"/>
                <w:w w:val="105"/>
                <w:sz w:val="24"/>
              </w:rPr>
              <w:t>单位</w:t>
            </w:r>
          </w:p>
        </w:tc>
        <w:tc>
          <w:tcPr>
            <w:tcW w:w="700" w:type="dxa"/>
            <w:tcBorders>
              <w:top w:val="single" w:color="auto" w:sz="4" w:space="0"/>
              <w:left w:val="nil"/>
              <w:bottom w:val="single" w:color="auto" w:sz="4" w:space="0"/>
              <w:right w:val="single" w:color="auto" w:sz="4" w:space="0"/>
            </w:tcBorders>
            <w:noWrap w:val="0"/>
            <w:vAlign w:val="center"/>
          </w:tcPr>
          <w:p w14:paraId="0590263F">
            <w:pPr>
              <w:widowControl/>
              <w:spacing w:line="360" w:lineRule="auto"/>
              <w:jc w:val="center"/>
              <w:rPr>
                <w:rFonts w:ascii="宋体" w:hAnsi="宋体" w:cs="Microsoft YaHei UI"/>
                <w:w w:val="105"/>
                <w:sz w:val="24"/>
              </w:rPr>
            </w:pPr>
            <w:r>
              <w:rPr>
                <w:rFonts w:hint="eastAsia" w:ascii="宋体" w:hAnsi="宋体" w:cs="Microsoft YaHei UI"/>
                <w:w w:val="105"/>
                <w:sz w:val="24"/>
              </w:rPr>
              <w:t>数量</w:t>
            </w:r>
          </w:p>
        </w:tc>
      </w:tr>
      <w:tr w14:paraId="7AABA4A7">
        <w:tblPrEx>
          <w:tblCellMar>
            <w:top w:w="0" w:type="dxa"/>
            <w:left w:w="108" w:type="dxa"/>
            <w:bottom w:w="0" w:type="dxa"/>
            <w:right w:w="108" w:type="dxa"/>
          </w:tblCellMar>
        </w:tblPrEx>
        <w:trPr>
          <w:trHeight w:val="270"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14:paraId="70EF4060">
            <w:pPr>
              <w:widowControl/>
              <w:spacing w:line="360" w:lineRule="auto"/>
              <w:jc w:val="center"/>
              <w:rPr>
                <w:rFonts w:ascii="宋体" w:hAnsi="宋体" w:cs="Microsoft YaHei UI"/>
                <w:w w:val="105"/>
                <w:sz w:val="24"/>
              </w:rPr>
            </w:pPr>
            <w:r>
              <w:rPr>
                <w:rFonts w:hint="eastAsia" w:ascii="宋体" w:hAnsi="宋体" w:cs="Microsoft YaHei UI"/>
                <w:w w:val="105"/>
                <w:sz w:val="24"/>
              </w:rPr>
              <w:t>1</w:t>
            </w:r>
          </w:p>
        </w:tc>
        <w:tc>
          <w:tcPr>
            <w:tcW w:w="965" w:type="dxa"/>
            <w:tcBorders>
              <w:top w:val="single" w:color="auto" w:sz="4" w:space="0"/>
              <w:left w:val="nil"/>
              <w:bottom w:val="single" w:color="auto" w:sz="4" w:space="0"/>
              <w:right w:val="single" w:color="auto" w:sz="4" w:space="0"/>
            </w:tcBorders>
            <w:noWrap w:val="0"/>
            <w:vAlign w:val="center"/>
          </w:tcPr>
          <w:p w14:paraId="0A6F6487">
            <w:pPr>
              <w:widowControl/>
              <w:spacing w:line="360" w:lineRule="auto"/>
              <w:jc w:val="center"/>
              <w:rPr>
                <w:rFonts w:ascii="宋体" w:hAnsi="宋体" w:cs="Microsoft YaHei UI"/>
                <w:w w:val="105"/>
                <w:sz w:val="24"/>
              </w:rPr>
            </w:pPr>
            <w:r>
              <w:rPr>
                <w:rFonts w:hint="eastAsia" w:ascii="宋体" w:hAnsi="宋体" w:cs="宋体"/>
                <w:kern w:val="0"/>
                <w:sz w:val="24"/>
              </w:rPr>
              <w:t>教学触控一体机</w:t>
            </w:r>
          </w:p>
        </w:tc>
        <w:tc>
          <w:tcPr>
            <w:tcW w:w="5896" w:type="dxa"/>
            <w:tcBorders>
              <w:top w:val="single" w:color="auto" w:sz="4" w:space="0"/>
              <w:left w:val="nil"/>
              <w:bottom w:val="single" w:color="auto" w:sz="4" w:space="0"/>
              <w:right w:val="single" w:color="auto" w:sz="4" w:space="0"/>
            </w:tcBorders>
            <w:noWrap w:val="0"/>
            <w:vAlign w:val="center"/>
          </w:tcPr>
          <w:p w14:paraId="14373C55">
            <w:pPr>
              <w:widowControl/>
              <w:spacing w:line="360" w:lineRule="auto"/>
              <w:jc w:val="left"/>
              <w:rPr>
                <w:rFonts w:hint="eastAsia" w:ascii="宋体" w:hAnsi="宋体" w:cs="Microsoft YaHei UI"/>
                <w:w w:val="105"/>
                <w:sz w:val="24"/>
              </w:rPr>
            </w:pPr>
            <w:r>
              <w:rPr>
                <w:rFonts w:hint="eastAsia" w:ascii="宋体" w:hAnsi="宋体" w:cs="Microsoft YaHei UI"/>
                <w:w w:val="105"/>
                <w:sz w:val="24"/>
              </w:rPr>
              <w:t>1.显示性能：≥86英寸 LED液晶屏，图像分辨率不低于 3840×2160。</w:t>
            </w:r>
            <w:r>
              <w:rPr>
                <w:rFonts w:hint="eastAsia" w:ascii="宋体" w:hAnsi="宋体" w:cs="Microsoft YaHei UI"/>
                <w:w w:val="105"/>
                <w:sz w:val="24"/>
              </w:rPr>
              <w:br w:type="textWrapping"/>
            </w:r>
            <w:r>
              <w:rPr>
                <w:rFonts w:hint="eastAsia" w:ascii="宋体" w:hAnsi="宋体" w:cs="Microsoft YaHei UI"/>
                <w:w w:val="105"/>
                <w:sz w:val="24"/>
              </w:rPr>
              <w:t>2. 采用红外触控技术，支持在Windows与安卓系统中进行≥3</w:t>
            </w:r>
            <w:r>
              <w:rPr>
                <w:rFonts w:ascii="宋体" w:hAnsi="宋体" w:cs="Microsoft YaHei UI"/>
                <w:w w:val="105"/>
                <w:sz w:val="24"/>
              </w:rPr>
              <w:t>0</w:t>
            </w:r>
            <w:r>
              <w:rPr>
                <w:rFonts w:hint="eastAsia" w:ascii="宋体" w:hAnsi="宋体" w:cs="Microsoft YaHei UI"/>
                <w:w w:val="105"/>
                <w:sz w:val="24"/>
              </w:rPr>
              <w:t>点触控与书写。</w:t>
            </w:r>
            <w:r>
              <w:rPr>
                <w:rFonts w:hint="eastAsia" w:ascii="宋体" w:hAnsi="宋体" w:cs="Microsoft YaHei UI"/>
                <w:w w:val="105"/>
                <w:sz w:val="24"/>
              </w:rPr>
              <w:br w:type="textWrapping"/>
            </w:r>
            <w:r>
              <w:rPr>
                <w:rFonts w:hint="eastAsia" w:ascii="宋体" w:hAnsi="宋体" w:cs="Microsoft YaHei UI"/>
                <w:w w:val="105"/>
                <w:sz w:val="24"/>
              </w:rPr>
              <w:t>3. 整机具备抗强光干扰性能，在400K LUX照度的光照下保证书写功能正常。</w:t>
            </w:r>
            <w:r>
              <w:rPr>
                <w:rFonts w:hint="eastAsia" w:ascii="宋体" w:hAnsi="宋体" w:cs="Microsoft YaHei UI"/>
                <w:w w:val="105"/>
                <w:sz w:val="24"/>
              </w:rPr>
              <w:br w:type="textWrapping"/>
            </w:r>
            <w:r>
              <w:rPr>
                <w:rFonts w:hint="eastAsia" w:ascii="宋体" w:hAnsi="宋体" w:cs="Microsoft YaHei UI"/>
                <w:w w:val="105"/>
                <w:sz w:val="24"/>
              </w:rPr>
              <w:t>4. ＃温室屏技术：屏体配备特殊面板散热涂层，有效降低屏幕工作温度，确保使用安全可靠。（需提供国家认证（认可）的检测机构出具的检验报告，且报告中需体现该功能）。</w:t>
            </w:r>
            <w:r>
              <w:rPr>
                <w:rFonts w:hint="eastAsia" w:ascii="宋体" w:hAnsi="宋体" w:cs="Microsoft YaHei UI"/>
                <w:w w:val="105"/>
                <w:sz w:val="24"/>
              </w:rPr>
              <w:br w:type="textWrapping"/>
            </w:r>
            <w:r>
              <w:rPr>
                <w:rFonts w:hint="eastAsia" w:ascii="宋体" w:hAnsi="宋体" w:cs="Microsoft YaHei UI"/>
                <w:w w:val="105"/>
                <w:sz w:val="24"/>
              </w:rPr>
              <w:t>5. ＃设备前置接口：双通道 USB 接口≥2 路（包含 1 路 USB3.0），≥1路HDMI接口(非转接)，同时支持 Windows及安卓双通道识；≥1路全通道接口，一根数据线同时实现音视频与触控传输。</w:t>
            </w:r>
            <w:r>
              <w:rPr>
                <w:rFonts w:hint="eastAsia" w:ascii="宋体" w:hAnsi="宋体" w:cs="Microsoft YaHei UI"/>
                <w:w w:val="105"/>
                <w:sz w:val="24"/>
              </w:rPr>
              <w:br w:type="textWrapping"/>
            </w:r>
            <w:r>
              <w:rPr>
                <w:rFonts w:hint="eastAsia" w:ascii="宋体" w:hAnsi="宋体" w:cs="Microsoft YaHei UI"/>
                <w:w w:val="105"/>
                <w:sz w:val="24"/>
              </w:rPr>
              <w:t>6. 整机后置接口RJ45≥1路，音频输入≥1路，RS232≥1路，≥2路HDMI2.0 IN，HDMI OUT *1。</w:t>
            </w:r>
            <w:r>
              <w:rPr>
                <w:rFonts w:hint="eastAsia" w:ascii="宋体" w:hAnsi="宋体" w:cs="Microsoft YaHei UI"/>
                <w:w w:val="105"/>
                <w:sz w:val="24"/>
              </w:rPr>
              <w:br w:type="textWrapping"/>
            </w:r>
            <w:r>
              <w:rPr>
                <w:rFonts w:hint="eastAsia" w:ascii="宋体" w:hAnsi="宋体" w:cs="Microsoft YaHei UI"/>
                <w:w w:val="105"/>
                <w:sz w:val="24"/>
              </w:rPr>
              <w:t>7. ＃采用不低于12核国产化驱动芯片，内存≥4GB，存储≥32GB。（需提供国家认证（认可）的检测机构出具的检验报告，且报告中需体现该功能）。</w:t>
            </w:r>
            <w:r>
              <w:rPr>
                <w:rFonts w:hint="eastAsia" w:ascii="宋体" w:hAnsi="宋体" w:cs="Microsoft YaHei UI"/>
                <w:w w:val="105"/>
                <w:sz w:val="24"/>
              </w:rPr>
              <w:br w:type="textWrapping"/>
            </w:r>
            <w:r>
              <w:rPr>
                <w:rFonts w:hint="eastAsia" w:ascii="宋体" w:hAnsi="宋体" w:cs="Microsoft YaHei UI"/>
                <w:w w:val="105"/>
                <w:sz w:val="24"/>
              </w:rPr>
              <w:t>8. ＃内置一体化超高清5K摄像头，单颗摄像头有效像素≥1900W，可输出最大分辨5104*3864的图片与视频，支持搭配AI软件实现自动点名点数功能。（需提供国家认证（认可）的检测机构出具的检验报告，且报告中需体现该功能）。</w:t>
            </w:r>
            <w:r>
              <w:rPr>
                <w:rFonts w:hint="eastAsia" w:ascii="宋体" w:hAnsi="宋体" w:cs="Microsoft YaHei UI"/>
                <w:w w:val="105"/>
                <w:sz w:val="24"/>
              </w:rPr>
              <w:br w:type="textWrapping"/>
            </w:r>
            <w:r>
              <w:rPr>
                <w:rFonts w:hint="eastAsia" w:ascii="宋体" w:hAnsi="宋体" w:cs="Microsoft YaHei UI"/>
                <w:w w:val="105"/>
                <w:sz w:val="24"/>
              </w:rPr>
              <w:t>9. ＃整机具备前置电脑系统还原物理按键。</w:t>
            </w:r>
            <w:r>
              <w:rPr>
                <w:rFonts w:hint="eastAsia" w:ascii="宋体" w:hAnsi="宋体" w:cs="Microsoft YaHei UI"/>
                <w:w w:val="105"/>
                <w:sz w:val="24"/>
              </w:rPr>
              <w:br w:type="textWrapping"/>
            </w:r>
            <w:r>
              <w:rPr>
                <w:rFonts w:hint="eastAsia" w:ascii="宋体" w:hAnsi="宋体" w:cs="Microsoft YaHei UI"/>
                <w:w w:val="105"/>
                <w:sz w:val="24"/>
              </w:rPr>
              <w:t>10. ＃前置U盘接口采用隐藏式设计，具有翻转式防护防撞盖板,开合角度≥100°。（需提供国家认证（认可）的检测机构出具的检验报告，且报告中需体现该功能）。</w:t>
            </w:r>
            <w:r>
              <w:rPr>
                <w:rFonts w:hint="eastAsia" w:ascii="宋体" w:hAnsi="宋体" w:cs="Microsoft YaHei UI"/>
                <w:w w:val="105"/>
                <w:sz w:val="24"/>
              </w:rPr>
              <w:br w:type="textWrapping"/>
            </w:r>
            <w:r>
              <w:rPr>
                <w:rFonts w:hint="eastAsia" w:ascii="宋体" w:hAnsi="宋体" w:cs="Microsoft YaHei UI"/>
                <w:w w:val="105"/>
                <w:sz w:val="24"/>
              </w:rPr>
              <w:t>11. 采用针孔阵列发声设计，下边框具有6个发声单元，总功率≥40W,峰值功率≥80W。</w:t>
            </w:r>
            <w:r>
              <w:rPr>
                <w:rFonts w:hint="eastAsia" w:ascii="宋体" w:hAnsi="宋体" w:cs="Microsoft YaHei UI"/>
                <w:w w:val="105"/>
                <w:sz w:val="24"/>
              </w:rPr>
              <w:br w:type="textWrapping"/>
            </w:r>
            <w:r>
              <w:rPr>
                <w:rFonts w:hint="eastAsia" w:ascii="宋体" w:hAnsi="宋体" w:cs="Microsoft YaHei UI"/>
                <w:w w:val="105"/>
                <w:sz w:val="24"/>
              </w:rPr>
              <w:t>12. ＃采用模块化电脑方案，插拔内置式，OPS标准接口80pin。内存≥8G，存储≥256G SSD 固态硬盘。</w:t>
            </w:r>
            <w:r>
              <w:rPr>
                <w:rFonts w:hint="eastAsia" w:ascii="宋体" w:hAnsi="宋体" w:cs="Microsoft YaHei UI"/>
                <w:w w:val="105"/>
                <w:sz w:val="24"/>
              </w:rPr>
              <w:br w:type="textWrapping"/>
            </w:r>
            <w:r>
              <w:rPr>
                <w:rFonts w:hint="eastAsia" w:ascii="宋体" w:hAnsi="宋体" w:cs="Microsoft YaHei UI"/>
                <w:w w:val="105"/>
                <w:sz w:val="24"/>
              </w:rPr>
              <w:t>13. ＃具有通屏笔槽结构，可放置书写笔、粉笔、水性笔等，笔槽具有漏灰孔设计。（需提供国家认证（认可）的检测机构出具的检验报告，且报告中需体现该功能）。</w:t>
            </w:r>
            <w:r>
              <w:rPr>
                <w:rFonts w:hint="eastAsia" w:ascii="宋体" w:hAnsi="宋体" w:cs="Microsoft YaHei UI"/>
                <w:w w:val="105"/>
                <w:sz w:val="24"/>
              </w:rPr>
              <w:br w:type="textWrapping"/>
            </w:r>
            <w:r>
              <w:rPr>
                <w:rFonts w:hint="eastAsia" w:ascii="宋体" w:hAnsi="宋体" w:cs="Microsoft YaHei UI"/>
                <w:w w:val="105"/>
                <w:sz w:val="24"/>
              </w:rPr>
              <w:t>14. ＃触摸支持动态压力模拟，支持无任何电子功能的普通书写笔，在书写或点压时，整机能感应压力变化，书写或点压过程笔迹呈现不同粗细。（需提供国家认证（认可）的检测机构出具的检验报告，且报告中需体现该功能）。</w:t>
            </w:r>
            <w:r>
              <w:rPr>
                <w:rFonts w:hint="eastAsia" w:ascii="宋体" w:hAnsi="宋体" w:cs="Microsoft YaHei UI"/>
                <w:w w:val="105"/>
                <w:sz w:val="24"/>
              </w:rPr>
              <w:br w:type="textWrapping"/>
            </w:r>
            <w:r>
              <w:rPr>
                <w:rFonts w:hint="eastAsia" w:ascii="宋体" w:hAnsi="宋体" w:cs="Microsoft YaHei UI"/>
                <w:w w:val="105"/>
                <w:sz w:val="24"/>
              </w:rPr>
              <w:t>15. ＃具备无线(包括Wi-Fi6无线网卡和Bluetooth5.4蓝牙)独立模块，支持单独拆卸。</w:t>
            </w:r>
            <w:r>
              <w:rPr>
                <w:rFonts w:hint="eastAsia" w:ascii="宋体" w:hAnsi="宋体" w:cs="Microsoft YaHei UI"/>
                <w:w w:val="105"/>
                <w:sz w:val="24"/>
              </w:rPr>
              <w:br w:type="textWrapping"/>
            </w:r>
            <w:r>
              <w:rPr>
                <w:rFonts w:hint="eastAsia" w:ascii="宋体" w:hAnsi="宋体" w:cs="Microsoft YaHei UI"/>
                <w:w w:val="105"/>
                <w:sz w:val="24"/>
              </w:rPr>
              <w:t>16. 采用钢琴式按键设计，向上倾斜，与平板正面形成夹角，提升直立可视角度，符合人体工学。</w:t>
            </w:r>
            <w:r>
              <w:rPr>
                <w:rFonts w:hint="eastAsia" w:ascii="宋体" w:hAnsi="宋体" w:cs="Microsoft YaHei UI"/>
                <w:w w:val="105"/>
                <w:sz w:val="24"/>
              </w:rPr>
              <w:br w:type="textWrapping"/>
            </w:r>
            <w:r>
              <w:rPr>
                <w:rFonts w:hint="eastAsia" w:ascii="宋体" w:hAnsi="宋体" w:cs="Microsoft YaHei UI"/>
                <w:w w:val="105"/>
                <w:sz w:val="24"/>
              </w:rPr>
              <w:t>1</w:t>
            </w:r>
            <w:r>
              <w:rPr>
                <w:rFonts w:ascii="宋体" w:hAnsi="宋体" w:cs="Microsoft YaHei UI"/>
                <w:w w:val="105"/>
                <w:sz w:val="24"/>
              </w:rPr>
              <w:t>7</w:t>
            </w:r>
            <w:r>
              <w:rPr>
                <w:rFonts w:hint="eastAsia" w:ascii="宋体" w:hAnsi="宋体" w:cs="Microsoft YaHei UI"/>
                <w:w w:val="105"/>
                <w:sz w:val="24"/>
              </w:rPr>
              <w:t>. 具有独立扩声系统与无线MIC接口，支持不开机扩音功能，可在通电不开机状态下进行扩音。</w:t>
            </w:r>
            <w:r>
              <w:rPr>
                <w:rFonts w:hint="eastAsia" w:ascii="宋体" w:hAnsi="宋体" w:cs="Microsoft YaHei UI"/>
                <w:w w:val="105"/>
                <w:sz w:val="24"/>
              </w:rPr>
              <w:br w:type="textWrapping"/>
            </w:r>
            <w:r>
              <w:rPr>
                <w:rFonts w:hint="eastAsia" w:ascii="宋体" w:hAnsi="宋体" w:cs="Microsoft YaHei UI"/>
                <w:w w:val="105"/>
                <w:sz w:val="24"/>
              </w:rPr>
              <w:t>1</w:t>
            </w:r>
            <w:r>
              <w:rPr>
                <w:rFonts w:ascii="宋体" w:hAnsi="宋体" w:cs="Microsoft YaHei UI"/>
                <w:w w:val="105"/>
                <w:sz w:val="24"/>
              </w:rPr>
              <w:t>8</w:t>
            </w:r>
            <w:r>
              <w:rPr>
                <w:rFonts w:hint="eastAsia" w:ascii="宋体" w:hAnsi="宋体" w:cs="Microsoft YaHei UI"/>
                <w:w w:val="105"/>
                <w:sz w:val="24"/>
              </w:rPr>
              <w:t>. ＃可通过四指向下滑动/点击两侧快捷键等不少于3种方式实现整个屏幕下移，仍可触控及书写:并支持不支持两种方法返回全屏模式。（需提供国家认证（认可）的检测机构出具的检验报告，且报告中需体现该功能）。</w:t>
            </w:r>
            <w:r>
              <w:rPr>
                <w:rFonts w:hint="eastAsia" w:ascii="宋体" w:hAnsi="宋体" w:cs="Microsoft YaHei UI"/>
                <w:w w:val="105"/>
                <w:sz w:val="24"/>
              </w:rPr>
              <w:br w:type="textWrapping"/>
            </w:r>
            <w:r>
              <w:rPr>
                <w:rFonts w:ascii="宋体" w:hAnsi="宋体" w:cs="Microsoft YaHei UI"/>
                <w:w w:val="105"/>
                <w:sz w:val="24"/>
              </w:rPr>
              <w:t>19</w:t>
            </w:r>
            <w:r>
              <w:rPr>
                <w:rFonts w:hint="eastAsia" w:ascii="宋体" w:hAnsi="宋体" w:cs="Microsoft YaHei UI"/>
                <w:w w:val="105"/>
                <w:sz w:val="24"/>
              </w:rPr>
              <w:t>. 可一键进行硬件系统检测(支持无PC状况下使用):对系统内存、存储、截屏文件夹、屏温、触控系统、光感系统、内置电脑、屏体信息、主板型号、CPU 型号、CPU 使用率、设备名称状态、故障提示。</w:t>
            </w:r>
            <w:r>
              <w:rPr>
                <w:rFonts w:hint="eastAsia" w:ascii="宋体" w:hAnsi="宋体" w:cs="Microsoft YaHei UI"/>
                <w:w w:val="105"/>
                <w:sz w:val="24"/>
              </w:rPr>
              <w:br w:type="textWrapping"/>
            </w:r>
            <w:r>
              <w:rPr>
                <w:rFonts w:hint="eastAsia" w:ascii="宋体" w:hAnsi="宋体" w:cs="Microsoft YaHei UI"/>
                <w:w w:val="105"/>
                <w:sz w:val="24"/>
              </w:rPr>
              <w:t>2</w:t>
            </w:r>
            <w:r>
              <w:rPr>
                <w:rFonts w:ascii="宋体" w:hAnsi="宋体" w:cs="Microsoft YaHei UI"/>
                <w:w w:val="105"/>
                <w:sz w:val="24"/>
              </w:rPr>
              <w:t>0</w:t>
            </w:r>
            <w:r>
              <w:rPr>
                <w:rFonts w:hint="eastAsia" w:ascii="宋体" w:hAnsi="宋体" w:cs="Microsoft YaHei UI"/>
                <w:w w:val="105"/>
                <w:sz w:val="24"/>
              </w:rPr>
              <w:t>. 远程在线系统升级:升级过程中，如遇电源中断，待恢复后，可实现断点续传，有效规避升级失败。</w:t>
            </w:r>
            <w:r>
              <w:rPr>
                <w:rFonts w:hint="eastAsia" w:ascii="宋体" w:hAnsi="宋体" w:cs="Microsoft YaHei UI"/>
                <w:w w:val="105"/>
                <w:sz w:val="24"/>
              </w:rPr>
              <w:br w:type="textWrapping"/>
            </w:r>
            <w:r>
              <w:rPr>
                <w:rFonts w:hint="eastAsia" w:ascii="宋体" w:hAnsi="宋体" w:cs="Microsoft YaHei UI"/>
                <w:w w:val="105"/>
                <w:sz w:val="24"/>
              </w:rPr>
              <w:t>2</w:t>
            </w:r>
            <w:r>
              <w:rPr>
                <w:rFonts w:ascii="宋体" w:hAnsi="宋体" w:cs="Microsoft YaHei UI"/>
                <w:w w:val="105"/>
                <w:sz w:val="24"/>
              </w:rPr>
              <w:t>1</w:t>
            </w:r>
            <w:r>
              <w:rPr>
                <w:rFonts w:hint="eastAsia" w:ascii="宋体" w:hAnsi="宋体" w:cs="Microsoft YaHei UI"/>
                <w:w w:val="105"/>
                <w:sz w:val="24"/>
              </w:rPr>
              <w:t>. 具备屏体温度实时监控、高温预警及断电保护等功能。</w:t>
            </w:r>
            <w:r>
              <w:rPr>
                <w:rFonts w:hint="eastAsia" w:ascii="宋体" w:hAnsi="宋体" w:cs="Microsoft YaHei UI"/>
                <w:w w:val="105"/>
                <w:sz w:val="24"/>
              </w:rPr>
              <w:br w:type="textWrapping"/>
            </w:r>
            <w:r>
              <w:rPr>
                <w:rFonts w:hint="eastAsia" w:ascii="宋体" w:hAnsi="宋体" w:cs="Microsoft YaHei UI"/>
                <w:w w:val="105"/>
                <w:sz w:val="24"/>
              </w:rPr>
              <w:t>随机安装教学软件：</w:t>
            </w:r>
            <w:r>
              <w:rPr>
                <w:rFonts w:hint="eastAsia" w:ascii="宋体" w:hAnsi="宋体" w:cs="Microsoft YaHei UI"/>
                <w:w w:val="105"/>
                <w:sz w:val="24"/>
              </w:rPr>
              <w:br w:type="textWrapping"/>
            </w:r>
            <w:r>
              <w:rPr>
                <w:rFonts w:hint="eastAsia" w:ascii="宋体" w:hAnsi="宋体" w:cs="Microsoft YaHei UI"/>
                <w:w w:val="105"/>
                <w:sz w:val="24"/>
              </w:rPr>
              <w:t>1. ＃配套教学软件基于Windows系统开发，采用C/S架构，无需平台支撑在局域网环境下即可开展探究式、PBL课堂教学模式，互动过程数据自动保存到课程文件夹中；（需提供国家认证（认可）的检测机构出具的检验报告，且报告中需体现该功能）。</w:t>
            </w:r>
            <w:r>
              <w:rPr>
                <w:rFonts w:hint="eastAsia" w:ascii="宋体" w:hAnsi="宋体" w:cs="Microsoft YaHei UI"/>
                <w:w w:val="105"/>
                <w:sz w:val="24"/>
              </w:rPr>
              <w:br w:type="textWrapping"/>
            </w:r>
            <w:r>
              <w:rPr>
                <w:rFonts w:hint="eastAsia" w:ascii="宋体" w:hAnsi="宋体" w:cs="Microsoft YaHei UI"/>
                <w:w w:val="105"/>
                <w:sz w:val="24"/>
              </w:rPr>
              <w:t>2. 考勤签到：教师上课后，学生通过移动端搜索课程无感签到，无需采用二维码或课堂暗号等繁琐操作。同时具备2次签到功能，不耽误教师的上课时间，签到界面在关闭的情况下学生仍然可以签到，系统自动记录学生签到时间；</w:t>
            </w:r>
            <w:r>
              <w:rPr>
                <w:rFonts w:hint="eastAsia" w:ascii="宋体" w:hAnsi="宋体" w:cs="Microsoft YaHei UI"/>
                <w:w w:val="105"/>
                <w:sz w:val="24"/>
              </w:rPr>
              <w:br w:type="textWrapping"/>
            </w:r>
            <w:r>
              <w:rPr>
                <w:rFonts w:hint="eastAsia" w:ascii="宋体" w:hAnsi="宋体" w:cs="Microsoft YaHei UI"/>
                <w:w w:val="105"/>
                <w:sz w:val="24"/>
              </w:rPr>
              <w:t>3. 学生加入课堂方式：具有教师批量导入和学生自行加入两种方式；教师具有学生自行加入课堂的控制权限；</w:t>
            </w:r>
            <w:r>
              <w:rPr>
                <w:rFonts w:hint="eastAsia" w:ascii="宋体" w:hAnsi="宋体" w:cs="Microsoft YaHei UI"/>
                <w:w w:val="105"/>
                <w:sz w:val="24"/>
              </w:rPr>
              <w:br w:type="textWrapping"/>
            </w:r>
            <w:r>
              <w:rPr>
                <w:rFonts w:hint="eastAsia" w:ascii="宋体" w:hAnsi="宋体" w:cs="Microsoft YaHei UI"/>
                <w:w w:val="105"/>
                <w:sz w:val="24"/>
              </w:rPr>
              <w:t>4. ＃课程文件夹：文件夹中至少包括以下2方面课堂教学数据，1）课程总结：课程名称，教师姓名，学生姓名、学号，学生参与课时数、互动数，互动得分，课堂表现得分等内容；2）课时小结：每堂课开始时间，学生签到时间，如果教师发起了二次签到，还需记录二次签到时间；每个互动详情，试题小结、学生提交情况等；（提供该功能截图并加盖投标人公章）；</w:t>
            </w:r>
            <w:r>
              <w:rPr>
                <w:rFonts w:hint="eastAsia" w:ascii="宋体" w:hAnsi="宋体" w:cs="Microsoft YaHei UI"/>
                <w:w w:val="105"/>
                <w:sz w:val="24"/>
              </w:rPr>
              <w:br w:type="textWrapping"/>
            </w:r>
            <w:r>
              <w:rPr>
                <w:rFonts w:hint="eastAsia" w:ascii="宋体" w:hAnsi="宋体" w:cs="Microsoft YaHei UI"/>
                <w:w w:val="105"/>
                <w:sz w:val="24"/>
              </w:rPr>
              <w:t>5. ＃批注书写：为了方便教师的操作，屏幕批注和黑板书写须在同一菜单栏操作，拒绝采用2个软件调用的方式实现。批注、手写的内容可分享给学生。黑板具有手势漫游和放大功能，板擦具有板擦、圈擦和清屏的选择；（提供该功能截图并加盖投标人公章）；</w:t>
            </w:r>
            <w:r>
              <w:rPr>
                <w:rFonts w:hint="eastAsia" w:ascii="宋体" w:hAnsi="宋体" w:cs="Microsoft YaHei UI"/>
                <w:w w:val="105"/>
                <w:sz w:val="24"/>
              </w:rPr>
              <w:br w:type="textWrapping"/>
            </w:r>
            <w:r>
              <w:rPr>
                <w:rFonts w:hint="eastAsia" w:ascii="宋体" w:hAnsi="宋体" w:cs="Microsoft YaHei UI"/>
                <w:w w:val="105"/>
                <w:sz w:val="24"/>
              </w:rPr>
              <w:t xml:space="preserve">6. 课件下发：可将文本、图片、PPT、Word、EXCELL等格式的课件下发给学生；课堂、课后均可查看。资料按课程课时排列保存； </w:t>
            </w:r>
            <w:r>
              <w:rPr>
                <w:rFonts w:hint="eastAsia" w:ascii="宋体" w:hAnsi="宋体" w:cs="Microsoft YaHei UI"/>
                <w:w w:val="105"/>
                <w:sz w:val="24"/>
              </w:rPr>
              <w:br w:type="textWrapping"/>
            </w:r>
            <w:r>
              <w:rPr>
                <w:rFonts w:hint="eastAsia" w:ascii="宋体" w:hAnsi="宋体" w:cs="Microsoft YaHei UI"/>
                <w:w w:val="105"/>
                <w:sz w:val="24"/>
              </w:rPr>
              <w:t>7. 随堂测试支持单选、多选、问卷等题型；结束答题后，对于由于网络拥挤造成的未提交学生，教师可以开启延时提交；</w:t>
            </w:r>
            <w:r>
              <w:rPr>
                <w:rFonts w:hint="eastAsia" w:ascii="宋体" w:hAnsi="宋体" w:cs="Microsoft YaHei UI"/>
                <w:w w:val="105"/>
                <w:sz w:val="24"/>
              </w:rPr>
              <w:br w:type="textWrapping"/>
            </w:r>
            <w:r>
              <w:rPr>
                <w:rFonts w:hint="eastAsia" w:ascii="宋体" w:hAnsi="宋体" w:cs="Microsoft YaHei UI"/>
                <w:w w:val="105"/>
                <w:sz w:val="24"/>
              </w:rPr>
              <w:t>8. ＃随堂测试支持主观题：学生具有图片、文字等回答方式。图片回答具有拍照、相册，原图编辑、空白编辑等不低于4种的选择。可以开启课中学生互评功能。（提供功能截图，并加盖投标人公章 ）；</w:t>
            </w:r>
            <w:r>
              <w:rPr>
                <w:rFonts w:hint="eastAsia" w:ascii="宋体" w:hAnsi="宋体" w:cs="Microsoft YaHei UI"/>
                <w:w w:val="105"/>
                <w:sz w:val="24"/>
              </w:rPr>
              <w:br w:type="textWrapping"/>
            </w:r>
            <w:r>
              <w:rPr>
                <w:rFonts w:hint="eastAsia" w:ascii="宋体" w:hAnsi="宋体" w:cs="Microsoft YaHei UI"/>
                <w:w w:val="105"/>
                <w:sz w:val="24"/>
              </w:rPr>
              <w:t>9. 课堂笔记：学生端可以自由截取教师屏幕，截取内容包括课件，黑板等内容。课堂笔记保存在课时小结中，方便学生个性化学习和掌握。教师具有课堂笔记开关权限；</w:t>
            </w:r>
            <w:r>
              <w:rPr>
                <w:rFonts w:hint="eastAsia" w:ascii="宋体" w:hAnsi="宋体" w:cs="Microsoft YaHei UI"/>
                <w:w w:val="105"/>
                <w:sz w:val="24"/>
              </w:rPr>
              <w:br w:type="textWrapping"/>
            </w:r>
            <w:r>
              <w:rPr>
                <w:rFonts w:hint="eastAsia" w:ascii="宋体" w:hAnsi="宋体" w:cs="Microsoft YaHei UI"/>
                <w:w w:val="105"/>
                <w:sz w:val="24"/>
              </w:rPr>
              <w:t>10. 分组教学：系统支持随机分组，自选分组等多种分组模式，分组模式下能实现分组竞赛，分组答题等功能；</w:t>
            </w:r>
            <w:r>
              <w:rPr>
                <w:rFonts w:hint="eastAsia" w:ascii="宋体" w:hAnsi="宋体" w:cs="Microsoft YaHei UI"/>
                <w:w w:val="105"/>
                <w:sz w:val="24"/>
              </w:rPr>
              <w:br w:type="textWrapping"/>
            </w:r>
            <w:r>
              <w:rPr>
                <w:rFonts w:hint="eastAsia" w:ascii="宋体" w:hAnsi="宋体" w:cs="Microsoft YaHei UI"/>
                <w:w w:val="105"/>
                <w:sz w:val="24"/>
              </w:rPr>
              <w:t>11. 能同时进行6路手机投屏，开展探究式对比教学。投屏内容包括手机屏幕界面，手机中的图片、文件或手机摄像头拍摄内容；</w:t>
            </w:r>
            <w:r>
              <w:rPr>
                <w:rFonts w:hint="eastAsia" w:ascii="宋体" w:hAnsi="宋体" w:cs="Microsoft YaHei UI"/>
                <w:w w:val="105"/>
                <w:sz w:val="24"/>
              </w:rPr>
              <w:br w:type="textWrapping"/>
            </w:r>
            <w:r>
              <w:rPr>
                <w:rFonts w:hint="eastAsia" w:ascii="宋体" w:hAnsi="宋体" w:cs="Microsoft YaHei UI"/>
                <w:w w:val="105"/>
                <w:sz w:val="24"/>
              </w:rPr>
              <w:t>12. 课堂广</w:t>
            </w:r>
            <w:r>
              <w:rPr>
                <w:rFonts w:hint="eastAsia" w:ascii="宋体" w:hAnsi="宋体" w:cs="Microsoft YaHei UI"/>
                <w:w w:val="105"/>
                <w:sz w:val="24"/>
                <w:highlight w:val="none"/>
              </w:rPr>
              <w:t>播：教师打开课堂广播功能后，学生即可在移动端观看教师的电脑画面，解决教室远端的学生看不清教室屏幕的问题；</w:t>
            </w:r>
            <w:r>
              <w:rPr>
                <w:rFonts w:hint="eastAsia" w:ascii="宋体" w:hAnsi="宋体" w:cs="Microsoft YaHei UI"/>
                <w:w w:val="105"/>
                <w:sz w:val="24"/>
                <w:highlight w:val="none"/>
              </w:rPr>
              <w:br w:type="textWrapping"/>
            </w:r>
            <w:r>
              <w:rPr>
                <w:rFonts w:hint="eastAsia" w:ascii="宋体" w:hAnsi="宋体" w:cs="Microsoft YaHei UI"/>
                <w:w w:val="105"/>
                <w:sz w:val="24"/>
                <w:highlight w:val="none"/>
              </w:rPr>
              <w:t>13. 学生移动端支持对教师进行点赞，举手，发起弹幕等活动，激活课堂、促进交流；</w:t>
            </w:r>
            <w:r>
              <w:rPr>
                <w:rFonts w:hint="eastAsia" w:ascii="宋体" w:hAnsi="宋体" w:cs="Microsoft YaHei UI"/>
                <w:w w:val="105"/>
                <w:sz w:val="24"/>
                <w:highlight w:val="none"/>
              </w:rPr>
              <w:br w:type="textWrapping"/>
            </w:r>
            <w:r>
              <w:rPr>
                <w:rFonts w:hint="eastAsia" w:ascii="宋体" w:hAnsi="宋体" w:cs="Microsoft YaHei UI"/>
                <w:w w:val="105"/>
                <w:sz w:val="24"/>
                <w:highlight w:val="none"/>
              </w:rPr>
              <w:t xml:space="preserve">14. 为保证系统稳定型，配套教学软件需与触控一体机互相兼容；                                          </w:t>
            </w:r>
            <w:r>
              <w:rPr>
                <w:rFonts w:hint="eastAsia" w:ascii="宋体" w:hAnsi="宋体" w:cs="Microsoft YaHei UI"/>
                <w:w w:val="105"/>
                <w:sz w:val="24"/>
                <w:highlight w:val="none"/>
              </w:rPr>
              <w:br w:type="textWrapping"/>
            </w:r>
            <w:r>
              <w:rPr>
                <w:rFonts w:hint="eastAsia" w:ascii="宋体" w:hAnsi="宋体" w:cs="Microsoft YaHei UI"/>
                <w:w w:val="105"/>
                <w:sz w:val="24"/>
                <w:highlight w:val="none"/>
              </w:rPr>
              <w:t>15. ＃为保证产品质量、供货进度</w:t>
            </w:r>
            <w:r>
              <w:rPr>
                <w:rFonts w:hint="eastAsia" w:ascii="宋体" w:hAnsi="宋体" w:cs="Microsoft YaHei UI"/>
                <w:w w:val="105"/>
                <w:sz w:val="24"/>
              </w:rPr>
              <w:t>及后续便利维护，最大限度保护用户根本利益，本次投标人所投产品需为原厂产品。</w:t>
            </w:r>
          </w:p>
        </w:tc>
        <w:tc>
          <w:tcPr>
            <w:tcW w:w="468" w:type="dxa"/>
            <w:tcBorders>
              <w:top w:val="single" w:color="auto" w:sz="4" w:space="0"/>
              <w:left w:val="nil"/>
              <w:bottom w:val="single" w:color="auto" w:sz="4" w:space="0"/>
              <w:right w:val="single" w:color="auto" w:sz="4" w:space="0"/>
            </w:tcBorders>
            <w:noWrap w:val="0"/>
            <w:vAlign w:val="center"/>
          </w:tcPr>
          <w:p w14:paraId="4AE282BA">
            <w:pPr>
              <w:widowControl/>
              <w:spacing w:line="360" w:lineRule="auto"/>
              <w:jc w:val="center"/>
              <w:rPr>
                <w:rFonts w:ascii="宋体" w:hAnsi="宋体" w:cs="Microsoft YaHei UI"/>
                <w:w w:val="105"/>
                <w:sz w:val="24"/>
              </w:rPr>
            </w:pPr>
            <w:r>
              <w:rPr>
                <w:rFonts w:hint="eastAsia" w:ascii="宋体" w:hAnsi="宋体" w:cs="Microsoft YaHei UI"/>
                <w:w w:val="105"/>
                <w:sz w:val="24"/>
              </w:rPr>
              <w:t>台</w:t>
            </w:r>
          </w:p>
        </w:tc>
        <w:tc>
          <w:tcPr>
            <w:tcW w:w="700" w:type="dxa"/>
            <w:tcBorders>
              <w:top w:val="single" w:color="auto" w:sz="4" w:space="0"/>
              <w:left w:val="nil"/>
              <w:bottom w:val="single" w:color="auto" w:sz="4" w:space="0"/>
              <w:right w:val="single" w:color="auto" w:sz="4" w:space="0"/>
            </w:tcBorders>
            <w:noWrap w:val="0"/>
            <w:vAlign w:val="center"/>
          </w:tcPr>
          <w:p w14:paraId="33D5AC72">
            <w:pPr>
              <w:widowControl/>
              <w:spacing w:line="360" w:lineRule="auto"/>
              <w:jc w:val="center"/>
              <w:rPr>
                <w:rFonts w:hint="eastAsia" w:ascii="宋体" w:hAnsi="宋体" w:cs="Microsoft YaHei UI"/>
                <w:w w:val="105"/>
                <w:sz w:val="24"/>
              </w:rPr>
            </w:pPr>
            <w:r>
              <w:rPr>
                <w:rFonts w:hint="eastAsia" w:ascii="宋体" w:hAnsi="宋体" w:cs="Microsoft YaHei UI"/>
                <w:w w:val="105"/>
                <w:sz w:val="24"/>
              </w:rPr>
              <w:t>47</w:t>
            </w:r>
          </w:p>
        </w:tc>
      </w:tr>
    </w:tbl>
    <w:p w14:paraId="0699BFB8">
      <w:pPr>
        <w:pStyle w:val="2"/>
      </w:pPr>
    </w:p>
    <w:p w14:paraId="658FB436">
      <w:pPr>
        <w:widowControl/>
        <w:spacing w:line="360" w:lineRule="auto"/>
        <w:ind w:firstLine="482" w:firstLineChars="200"/>
        <w:contextualSpacing/>
        <w:rPr>
          <w:rFonts w:ascii="宋体" w:hAnsi="宋体"/>
          <w:sz w:val="24"/>
        </w:rPr>
      </w:pPr>
      <w:r>
        <w:rPr>
          <w:b/>
          <w:bCs/>
          <w:sz w:val="24"/>
        </w:rPr>
        <w:t>2.2采购标的需满足的服务标准、期限、效率等要求</w:t>
      </w:r>
    </w:p>
    <w:p w14:paraId="0C3061AB">
      <w:pPr>
        <w:pStyle w:val="7"/>
        <w:snapToGrid w:val="0"/>
        <w:spacing w:line="360" w:lineRule="auto"/>
        <w:ind w:firstLine="480" w:firstLineChars="200"/>
        <w:jc w:val="both"/>
        <w:rPr>
          <w:rFonts w:ascii="宋体" w:hAnsi="宋体"/>
          <w:color w:val="auto"/>
          <w:kern w:val="2"/>
        </w:rPr>
      </w:pPr>
      <w:r>
        <w:rPr>
          <w:rFonts w:hint="eastAsia" w:ascii="宋体" w:hAnsi="宋体"/>
          <w:color w:val="auto"/>
          <w:kern w:val="2"/>
        </w:rPr>
        <w:t>1、技术培训标准和条件：</w:t>
      </w:r>
      <w:r>
        <w:rPr>
          <w:color w:val="auto"/>
        </w:rPr>
        <w:t>投标人</w:t>
      </w:r>
      <w:r>
        <w:rPr>
          <w:rFonts w:hint="eastAsia" w:ascii="宋体" w:hAnsi="宋体"/>
          <w:color w:val="auto"/>
          <w:kern w:val="2"/>
        </w:rPr>
        <w:t>提供不少于2天不少于2人的安装、配置和使用等实操培训课程，场地、交通等与培训相关的费用均由</w:t>
      </w:r>
      <w:r>
        <w:rPr>
          <w:color w:val="auto"/>
        </w:rPr>
        <w:t>投标人</w:t>
      </w:r>
      <w:r>
        <w:rPr>
          <w:rFonts w:hint="eastAsia" w:ascii="宋体" w:hAnsi="宋体"/>
          <w:color w:val="auto"/>
          <w:kern w:val="2"/>
        </w:rPr>
        <w:t>承担。</w:t>
      </w:r>
    </w:p>
    <w:p w14:paraId="6CB46BC9">
      <w:pPr>
        <w:widowControl/>
        <w:spacing w:line="360" w:lineRule="auto"/>
        <w:ind w:firstLine="482" w:firstLineChars="200"/>
        <w:contextualSpacing/>
        <w:rPr>
          <w:b/>
          <w:bCs/>
          <w:sz w:val="24"/>
          <w:highlight w:val="none"/>
        </w:rPr>
      </w:pPr>
      <w:r>
        <w:rPr>
          <w:b/>
          <w:bCs/>
          <w:sz w:val="24"/>
        </w:rPr>
        <w:t>2.3</w:t>
      </w:r>
      <w:r>
        <w:rPr>
          <w:b/>
          <w:bCs/>
          <w:sz w:val="24"/>
          <w:highlight w:val="none"/>
        </w:rPr>
        <w:t>采购标的的其他技术、服务等要求</w:t>
      </w:r>
    </w:p>
    <w:p w14:paraId="2B46B6E0">
      <w:pPr>
        <w:pStyle w:val="7"/>
        <w:snapToGrid w:val="0"/>
        <w:spacing w:line="480" w:lineRule="exact"/>
        <w:ind w:firstLine="480" w:firstLineChars="200"/>
        <w:jc w:val="both"/>
        <w:rPr>
          <w:rFonts w:ascii="宋体" w:hAnsi="宋体"/>
          <w:color w:val="auto"/>
          <w:kern w:val="2"/>
          <w:highlight w:val="none"/>
        </w:rPr>
      </w:pPr>
      <w:r>
        <w:rPr>
          <w:rFonts w:hint="eastAsia" w:ascii="宋体" w:hAnsi="宋体"/>
          <w:color w:val="auto"/>
          <w:kern w:val="2"/>
          <w:highlight w:val="none"/>
        </w:rPr>
        <w:t>（1）</w:t>
      </w:r>
      <w:r>
        <w:rPr>
          <w:rFonts w:hint="eastAsia" w:ascii="宋体" w:hAnsi="宋体" w:cs="宋体"/>
          <w:color w:val="auto"/>
          <w:szCs w:val="21"/>
          <w:highlight w:val="none"/>
        </w:rPr>
        <w:t>软件要求:为保证软件应用稳定性与适配性，</w:t>
      </w:r>
      <w:r>
        <w:rPr>
          <w:rFonts w:hint="eastAsia" w:ascii="宋体" w:hAnsi="宋体" w:cs="Microsoft YaHei UI"/>
          <w:w w:val="105"/>
          <w:highlight w:val="none"/>
        </w:rPr>
        <w:t>配套教学软件需与触控一体机互相兼容</w:t>
      </w:r>
      <w:r>
        <w:rPr>
          <w:rFonts w:hint="eastAsia" w:ascii="宋体" w:hAnsi="宋体" w:cs="宋体"/>
          <w:color w:val="auto"/>
          <w:szCs w:val="21"/>
          <w:highlight w:val="none"/>
        </w:rPr>
        <w:t>。</w:t>
      </w:r>
    </w:p>
    <w:p w14:paraId="1E2F0F5E">
      <w:pPr>
        <w:pStyle w:val="7"/>
        <w:snapToGrid w:val="0"/>
        <w:spacing w:line="480" w:lineRule="exact"/>
        <w:ind w:firstLine="480" w:firstLineChars="200"/>
        <w:jc w:val="both"/>
        <w:rPr>
          <w:rFonts w:ascii="宋体" w:hAnsi="宋体"/>
          <w:color w:val="auto"/>
          <w:kern w:val="2"/>
        </w:rPr>
      </w:pPr>
      <w:r>
        <w:rPr>
          <w:rFonts w:hint="eastAsia" w:ascii="宋体" w:hAnsi="宋体"/>
          <w:color w:val="auto"/>
          <w:kern w:val="2"/>
          <w:highlight w:val="none"/>
        </w:rPr>
        <w:t>（2）本项目验收后，设备遇到故障需在24小时</w:t>
      </w:r>
      <w:r>
        <w:rPr>
          <w:rFonts w:hint="eastAsia" w:ascii="宋体" w:hAnsi="宋体"/>
          <w:color w:val="auto"/>
          <w:kern w:val="2"/>
        </w:rPr>
        <w:t>内解决，超出24小时需提供备机并更换与安装。</w:t>
      </w:r>
    </w:p>
    <w:p w14:paraId="5B88F53E">
      <w:pPr>
        <w:pStyle w:val="7"/>
        <w:snapToGrid w:val="0"/>
        <w:spacing w:line="480" w:lineRule="exact"/>
        <w:ind w:firstLine="480" w:firstLineChars="200"/>
        <w:jc w:val="both"/>
        <w:rPr>
          <w:rFonts w:ascii="宋体" w:hAnsi="宋体"/>
          <w:color w:val="auto"/>
          <w:kern w:val="2"/>
        </w:rPr>
      </w:pPr>
      <w:r>
        <w:rPr>
          <w:rFonts w:hint="eastAsia" w:ascii="宋体" w:hAnsi="宋体"/>
          <w:color w:val="auto"/>
          <w:kern w:val="2"/>
        </w:rPr>
        <w:t>（</w:t>
      </w:r>
      <w:r>
        <w:rPr>
          <w:rFonts w:ascii="宋体" w:hAnsi="宋体"/>
          <w:color w:val="auto"/>
          <w:kern w:val="2"/>
        </w:rPr>
        <w:t>3</w:t>
      </w:r>
      <w:r>
        <w:rPr>
          <w:rFonts w:hint="eastAsia" w:ascii="宋体" w:hAnsi="宋体"/>
          <w:color w:val="auto"/>
          <w:kern w:val="2"/>
        </w:rPr>
        <w:t>）</w:t>
      </w:r>
      <w:r>
        <w:rPr>
          <w:rFonts w:hint="eastAsia" w:ascii="宋体" w:hAnsi="宋体" w:cs="Microsoft YaHei UI"/>
          <w:w w:val="105"/>
        </w:rPr>
        <w:t>本次投标人所投产品需为原厂产品</w:t>
      </w:r>
      <w:r>
        <w:rPr>
          <w:rFonts w:hint="eastAsia" w:ascii="宋体" w:hAnsi="宋体"/>
          <w:color w:val="auto"/>
          <w:kern w:val="2"/>
        </w:rPr>
        <w:t>。</w:t>
      </w:r>
    </w:p>
    <w:p w14:paraId="63043525">
      <w:pPr>
        <w:pStyle w:val="7"/>
        <w:snapToGrid w:val="0"/>
        <w:spacing w:line="480" w:lineRule="exact"/>
        <w:ind w:firstLine="480" w:firstLineChars="200"/>
        <w:jc w:val="both"/>
        <w:rPr>
          <w:color w:val="auto"/>
        </w:rPr>
      </w:pPr>
      <w:r>
        <w:rPr>
          <w:rFonts w:hint="eastAsia" w:ascii="宋体" w:hAnsi="宋体"/>
          <w:color w:val="auto"/>
          <w:kern w:val="2"/>
        </w:rPr>
        <w:t>（</w:t>
      </w:r>
      <w:r>
        <w:rPr>
          <w:rFonts w:ascii="宋体" w:hAnsi="宋体"/>
          <w:color w:val="auto"/>
          <w:kern w:val="2"/>
        </w:rPr>
        <w:t>4</w:t>
      </w:r>
      <w:r>
        <w:rPr>
          <w:rFonts w:hint="eastAsia" w:ascii="宋体" w:hAnsi="宋体"/>
          <w:color w:val="auto"/>
          <w:kern w:val="2"/>
        </w:rPr>
        <w:t>）项目验收后，在质保期内，</w:t>
      </w:r>
      <w:r>
        <w:rPr>
          <w:color w:val="auto"/>
        </w:rPr>
        <w:t>投标人</w:t>
      </w:r>
      <w:r>
        <w:rPr>
          <w:rFonts w:hint="eastAsia" w:ascii="宋体" w:hAnsi="宋体"/>
          <w:color w:val="auto"/>
          <w:kern w:val="2"/>
        </w:rPr>
        <w:t>需提供不少于每周1次的设备巡检服务。</w:t>
      </w:r>
    </w:p>
    <w:p w14:paraId="3996ED41">
      <w:pPr>
        <w:spacing w:line="360" w:lineRule="auto"/>
        <w:contextualSpacing/>
        <w:rPr>
          <w:b/>
          <w:bCs/>
          <w:i/>
          <w:iCs/>
          <w:sz w:val="24"/>
        </w:rPr>
      </w:pPr>
      <w:r>
        <w:rPr>
          <w:b/>
          <w:bCs/>
          <w:sz w:val="24"/>
        </w:rPr>
        <w:t>3. 验收标准</w:t>
      </w:r>
    </w:p>
    <w:p w14:paraId="2BFC0817">
      <w:r>
        <w:rPr>
          <w:rFonts w:hint="eastAsia" w:ascii="宋体" w:hAnsi="宋体" w:cs="宋体"/>
          <w:bCs/>
          <w:sz w:val="24"/>
        </w:rPr>
        <w:t>①验收根据招标文件、投标文件、技术指标、采购合同进行，合同货物质量应符合GB4943和GB8898标准要求。②中标人应保证所提供的货物经正确安装、合理操作和维护保养在其使用寿命期内具有令</w:t>
      </w:r>
      <w:r>
        <w:rPr>
          <w:rFonts w:hint="eastAsia"/>
          <w:sz w:val="24"/>
        </w:rPr>
        <w:t>采购人</w:t>
      </w:r>
      <w:r>
        <w:rPr>
          <w:rFonts w:hint="eastAsia" w:ascii="宋体" w:hAnsi="宋体" w:cs="宋体"/>
          <w:bCs/>
          <w:sz w:val="24"/>
        </w:rPr>
        <w:t>满意的性能，并对由于合同货物的设计、工艺或材料的缺陷而发生的任何故障负责。③中标人保证向</w:t>
      </w:r>
      <w:r>
        <w:rPr>
          <w:rFonts w:hint="eastAsia"/>
          <w:sz w:val="24"/>
        </w:rPr>
        <w:t>采购人</w:t>
      </w:r>
      <w:r>
        <w:rPr>
          <w:rFonts w:hint="eastAsia" w:ascii="宋体" w:hAnsi="宋体" w:cs="宋体"/>
          <w:bCs/>
          <w:sz w:val="24"/>
        </w:rPr>
        <w:t>提供的技术资料是清晰的、正确的、完整的。</w:t>
      </w:r>
      <w:r>
        <w:rPr>
          <w:rFonts w:hint="eastAsia"/>
          <w:sz w:val="24"/>
        </w:rPr>
        <w:t>采购人</w:t>
      </w:r>
      <w:r>
        <w:rPr>
          <w:rFonts w:hint="eastAsia" w:ascii="宋体" w:hAnsi="宋体" w:cs="宋体"/>
          <w:bCs/>
          <w:sz w:val="24"/>
        </w:rPr>
        <w:t>在清点中标人提供的技术资料时如发现缺失，中标人应在接到采购人通知后七日内予以补足。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52984"/>
    <w:multiLevelType w:val="singleLevel"/>
    <w:tmpl w:val="8BE52984"/>
    <w:lvl w:ilvl="0" w:tentative="0">
      <w:start w:val="1"/>
      <w:numFmt w:val="decimal"/>
      <w:suff w:val="space"/>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FF5344"/>
    <w:multiLevelType w:val="singleLevel"/>
    <w:tmpl w:val="6DFF5344"/>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7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character" w:styleId="5">
    <w:name w:val="annotation reference"/>
    <w:qFormat/>
    <w:uiPriority w:val="99"/>
    <w:rPr>
      <w:sz w:val="21"/>
      <w:szCs w:val="21"/>
    </w:rPr>
  </w:style>
  <w:style w:type="paragraph" w:customStyle="1" w:styleId="6">
    <w:name w:val="List Paragraph"/>
    <w:basedOn w:val="1"/>
    <w:qFormat/>
    <w:uiPriority w:val="34"/>
    <w:pPr>
      <w:ind w:firstLine="420" w:firstLineChars="200"/>
    </w:pPr>
    <w:rPr>
      <w:rFonts w:ascii="Calibri" w:hAnsi="Calibri"/>
      <w:szCs w:val="22"/>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2025-07-21T00:42:26Z</dcterms:created>
  <dc:creator>zhhx</dc:creator>
  <cp:lastModifiedBy>高</cp:lastModifiedBy>
  <dcterms:modified xsi:type="dcterms:W3CDTF">2025-07-21T00:43:17Z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A46C26783BE147E98F4C7EE3E22C5EDB_12</vt:lpwstr>
  </property>
</Properties>
</file>