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8F89A">
      <w:pPr>
        <w:pageBreakBefore w:val="0"/>
        <w:wordWrap/>
        <w:topLinePunct w:val="0"/>
        <w:bidi w:val="0"/>
        <w:snapToGrid w:val="0"/>
        <w:spacing w:line="360" w:lineRule="auto"/>
        <w:jc w:val="center"/>
        <w:outlineLvl w:val="0"/>
        <w:rPr>
          <w:b/>
          <w:sz w:val="36"/>
          <w:szCs w:val="36"/>
          <w:highlight w:val="none"/>
        </w:rPr>
      </w:pPr>
      <w:bookmarkStart w:id="0" w:name="_Toc119569274"/>
      <w:r>
        <w:rPr>
          <w:rFonts w:hint="eastAsia"/>
          <w:b/>
          <w:sz w:val="36"/>
          <w:szCs w:val="36"/>
          <w:highlight w:val="none"/>
        </w:rPr>
        <w:t>第五章   采购需求</w:t>
      </w:r>
      <w:bookmarkEnd w:id="0"/>
    </w:p>
    <w:p w14:paraId="2B2F43EE">
      <w:pPr>
        <w:pageBreakBefore w:val="0"/>
        <w:wordWrap/>
        <w:topLinePunct w:val="0"/>
        <w:bidi w:val="0"/>
        <w:snapToGrid w:val="0"/>
        <w:spacing w:line="360" w:lineRule="auto"/>
        <w:rPr>
          <w:rFonts w:hint="eastAsia" w:ascii="黑体" w:hAnsi="黑体" w:eastAsia="黑体" w:cs="黑体"/>
          <w:sz w:val="36"/>
          <w:szCs w:val="36"/>
          <w:highlight w:val="none"/>
        </w:rPr>
      </w:pPr>
      <w:r>
        <w:rPr>
          <w:rFonts w:hint="eastAsia" w:ascii="黑体" w:hAnsi="黑体" w:eastAsia="黑体" w:cs="黑体"/>
          <w:sz w:val="36"/>
          <w:szCs w:val="36"/>
          <w:highlight w:val="none"/>
        </w:rPr>
        <w:t>说明：</w:t>
      </w:r>
    </w:p>
    <w:p w14:paraId="20980885">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1.当采购项目涉及政务信息系统时，采购需求应当符合《政务信息系统政府采购管理暂行办法》（财库〔2017〕210 号）的相关要求。</w:t>
      </w:r>
    </w:p>
    <w:p w14:paraId="7613B4AC">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2.采购人及采购代理机构应关注财政部门会同有关部门制定发布的需求标准，结合具体应用场景，根据对应《需求标准》确定采购需求。</w:t>
      </w:r>
    </w:p>
    <w:p w14:paraId="58A79497">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已发布的需求标准如下：</w:t>
      </w:r>
    </w:p>
    <w:p w14:paraId="2F5AFA01">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《关于印发〈商品包装政府采购需求标准（试行）〉、〈快递包装政府采购需求标准（试</w:t>
      </w:r>
    </w:p>
    <w:p w14:paraId="2DD9F5DF">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行）〉的通知》（财办库﹝2020﹞123 号））</w:t>
      </w:r>
    </w:p>
    <w:p w14:paraId="56575960">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《绿色数据中心政府采购需求标准（试行）》（财库〔2023〕7 号）</w:t>
      </w:r>
    </w:p>
    <w:p w14:paraId="4BD97389">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《台式计算机政府采购需求标准（2023 年版）》（财库〔2023〕29 号）</w:t>
      </w:r>
    </w:p>
    <w:p w14:paraId="07A7BB14">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《便携式计算机政府采购需求标准（2023 年版）》（财库〔2023〕30 号）</w:t>
      </w:r>
    </w:p>
    <w:p w14:paraId="7289739F">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《一体式计算机政府采购需求标准（2023 年版）》（财库〔2023〕31 号）</w:t>
      </w:r>
    </w:p>
    <w:p w14:paraId="59A1F127">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《工作站政府采购需求标准（2023 年版）》（财库〔2023〕32 号）</w:t>
      </w:r>
    </w:p>
    <w:p w14:paraId="14DE8014">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《通用服务器政府采购需求标准（2023 年版）》（财库〔2023〕33 号）</w:t>
      </w:r>
    </w:p>
    <w:p w14:paraId="027C01A9">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《操作系统政府采购需求标准（2023 年版）》（财库〔2023〕34 号）</w:t>
      </w:r>
    </w:p>
    <w:p w14:paraId="4F481D51">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《数据库政府采购需求标准（2023 年版）》（财库〔2023〕35 号）</w:t>
      </w:r>
    </w:p>
    <w:p w14:paraId="190B687E">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《物业管理服务政府采购需求标准（办公场所类）（试行）》（财办库〔2024〕113 号）</w:t>
      </w:r>
    </w:p>
    <w:p w14:paraId="07B5F8BB">
      <w:pPr>
        <w:pStyle w:val="4"/>
        <w:pageBreakBefore w:val="0"/>
        <w:wordWrap/>
        <w:topLinePunct w:val="0"/>
        <w:bidi w:val="0"/>
        <w:snapToGrid w:val="0"/>
        <w:spacing w:line="360" w:lineRule="auto"/>
        <w:ind w:firstLine="0" w:firstLineChars="0"/>
        <w:contextualSpacing/>
        <w:rPr>
          <w:rFonts w:hint="eastAsia" w:ascii="黑体" w:hAnsi="黑体" w:eastAsia="黑体" w:cs="黑体"/>
          <w:sz w:val="32"/>
          <w:szCs w:val="32"/>
          <w:highlight w:val="none"/>
        </w:rPr>
      </w:pPr>
      <w:r>
        <w:rPr>
          <w:rFonts w:hint="eastAsia" w:ascii="黑体" w:hAnsi="黑体" w:eastAsia="黑体" w:cs="黑体"/>
          <w:sz w:val="32"/>
          <w:szCs w:val="32"/>
          <w:highlight w:val="none"/>
        </w:rPr>
        <w:t>如有更新或增加，以财政部门发布为准。</w:t>
      </w:r>
    </w:p>
    <w:p w14:paraId="41321D5F">
      <w:pPr>
        <w:pStyle w:val="4"/>
        <w:pageBreakBefore w:val="0"/>
        <w:wordWrap/>
        <w:topLinePunct w:val="0"/>
        <w:bidi w:val="0"/>
        <w:snapToGrid w:val="0"/>
        <w:spacing w:line="360" w:lineRule="auto"/>
        <w:ind w:firstLine="0" w:firstLineChars="0"/>
        <w:contextualSpacing/>
        <w:rPr>
          <w:rFonts w:hint="eastAsia" w:ascii="仿宋" w:hAnsi="仿宋" w:eastAsia="仿宋" w:cs="仿宋"/>
          <w:b/>
          <w:sz w:val="24"/>
          <w:szCs w:val="24"/>
          <w:highlight w:val="none"/>
        </w:rPr>
      </w:pPr>
    </w:p>
    <w:p w14:paraId="29B31743">
      <w:pPr>
        <w:pageBreakBefore w:val="0"/>
        <w:wordWrap/>
        <w:topLinePunct w:val="0"/>
        <w:bidi w:val="0"/>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br w:type="page"/>
      </w:r>
    </w:p>
    <w:p w14:paraId="747EE8B0">
      <w:pPr>
        <w:pStyle w:val="4"/>
        <w:pageBreakBefore w:val="0"/>
        <w:wordWrap/>
        <w:topLinePunct w:val="0"/>
        <w:bidi w:val="0"/>
        <w:snapToGrid w:val="0"/>
        <w:spacing w:line="360" w:lineRule="auto"/>
        <w:ind w:firstLine="0" w:firstLineChars="0"/>
        <w:contextualSpacing/>
        <w:rPr>
          <w:rFonts w:hint="eastAsia" w:ascii="仿宋" w:hAnsi="仿宋" w:eastAsia="仿宋" w:cs="仿宋"/>
          <w:b/>
          <w:sz w:val="28"/>
          <w:szCs w:val="28"/>
        </w:rPr>
      </w:pPr>
      <w:r>
        <w:rPr>
          <w:rFonts w:hint="eastAsia" w:ascii="仿宋" w:hAnsi="仿宋" w:eastAsia="仿宋" w:cs="仿宋"/>
          <w:b/>
          <w:sz w:val="28"/>
          <w:szCs w:val="28"/>
        </w:rPr>
        <w:t>一、采购招标的需实现的功能或者目标，以及为落实政府采购政策需满足的要求：</w:t>
      </w:r>
    </w:p>
    <w:p w14:paraId="4B357BF3">
      <w:pPr>
        <w:pStyle w:val="4"/>
        <w:pageBreakBefore w:val="0"/>
        <w:wordWrap/>
        <w:topLinePunct w:val="0"/>
        <w:bidi w:val="0"/>
        <w:snapToGrid w:val="0"/>
        <w:spacing w:line="360" w:lineRule="auto"/>
        <w:ind w:firstLine="0" w:firstLineChars="0"/>
        <w:contextualSpacing/>
        <w:rPr>
          <w:rFonts w:hint="eastAsia" w:ascii="仿宋" w:hAnsi="仿宋" w:eastAsia="仿宋" w:cs="仿宋"/>
          <w:b/>
          <w:sz w:val="28"/>
          <w:szCs w:val="28"/>
        </w:rPr>
      </w:pPr>
      <w:r>
        <w:rPr>
          <w:rFonts w:hint="eastAsia" w:ascii="仿宋" w:hAnsi="仿宋" w:eastAsia="仿宋" w:cs="仿宋"/>
          <w:b/>
          <w:sz w:val="28"/>
          <w:szCs w:val="28"/>
        </w:rPr>
        <w:t>（一）采购招标的需实现的功能或者目标</w:t>
      </w:r>
    </w:p>
    <w:p w14:paraId="0547750C">
      <w:pPr>
        <w:pStyle w:val="4"/>
        <w:pageBreakBefore w:val="0"/>
        <w:wordWrap/>
        <w:topLinePunct w:val="0"/>
        <w:bidi w:val="0"/>
        <w:snapToGrid w:val="0"/>
        <w:spacing w:line="360" w:lineRule="auto"/>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本次招标采购是为</w:t>
      </w:r>
      <w:r>
        <w:rPr>
          <w:rFonts w:hint="eastAsia" w:ascii="仿宋" w:hAnsi="仿宋" w:eastAsia="仿宋" w:cs="仿宋"/>
          <w:b/>
          <w:sz w:val="28"/>
          <w:szCs w:val="28"/>
          <w:lang w:val="en-US" w:eastAsia="zh-CN"/>
        </w:rPr>
        <w:t>北京市公安局相关</w:t>
      </w:r>
      <w:r>
        <w:rPr>
          <w:rFonts w:hint="eastAsia" w:ascii="仿宋" w:hAnsi="仿宋" w:eastAsia="仿宋" w:cs="仿宋"/>
          <w:b/>
          <w:sz w:val="28"/>
          <w:szCs w:val="28"/>
        </w:rPr>
        <w:t>单位提供必要的</w:t>
      </w:r>
      <w:r>
        <w:rPr>
          <w:rFonts w:hint="eastAsia" w:ascii="仿宋" w:hAnsi="仿宋" w:eastAsia="仿宋" w:cs="仿宋"/>
          <w:b/>
          <w:sz w:val="28"/>
          <w:szCs w:val="28"/>
          <w:lang w:val="en-US" w:eastAsia="zh-CN"/>
        </w:rPr>
        <w:t>装备。</w:t>
      </w:r>
      <w:r>
        <w:rPr>
          <w:rFonts w:hint="eastAsia" w:ascii="仿宋" w:hAnsi="仿宋" w:eastAsia="仿宋" w:cs="仿宋"/>
          <w:b/>
          <w:sz w:val="28"/>
          <w:szCs w:val="28"/>
        </w:rPr>
        <w:t>投标人应根据招标文件所提出的设备技术规格和服务要求，综合考虑设备的适用性，选择需要最佳性能价格比的设备前来投标。投标人应以技术先进的设备、优良的服务和优惠的价格，充分显示自己的竞争实力。</w:t>
      </w:r>
    </w:p>
    <w:p w14:paraId="729AFDEF">
      <w:pPr>
        <w:pStyle w:val="4"/>
        <w:pageBreakBefore w:val="0"/>
        <w:wordWrap/>
        <w:topLinePunct w:val="0"/>
        <w:bidi w:val="0"/>
        <w:snapToGrid w:val="0"/>
        <w:spacing w:line="360" w:lineRule="auto"/>
        <w:ind w:firstLine="0" w:firstLineChars="0"/>
        <w:contextualSpacing/>
        <w:rPr>
          <w:rFonts w:hint="eastAsia" w:ascii="仿宋" w:hAnsi="仿宋" w:eastAsia="仿宋" w:cs="仿宋"/>
          <w:b/>
          <w:sz w:val="28"/>
          <w:szCs w:val="28"/>
        </w:rPr>
      </w:pPr>
      <w:r>
        <w:rPr>
          <w:rFonts w:hint="eastAsia" w:ascii="仿宋" w:hAnsi="仿宋" w:eastAsia="仿宋" w:cs="仿宋"/>
          <w:b/>
          <w:sz w:val="28"/>
          <w:szCs w:val="28"/>
        </w:rPr>
        <w:t>（二）为落实政府采购政策需满足的要求</w:t>
      </w:r>
    </w:p>
    <w:p w14:paraId="2384549F">
      <w:pPr>
        <w:pStyle w:val="4"/>
        <w:pageBreakBefore w:val="0"/>
        <w:wordWrap/>
        <w:topLinePunct w:val="0"/>
        <w:bidi w:val="0"/>
        <w:snapToGrid w:val="0"/>
        <w:spacing w:line="360" w:lineRule="auto"/>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1.促进中小企业发展政策：根据《政府采购促进中小企业发展管理办法》规定，本项目采购货物为中型、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7A0F2A83">
      <w:pPr>
        <w:pStyle w:val="4"/>
        <w:pageBreakBefore w:val="0"/>
        <w:wordWrap/>
        <w:topLinePunct w:val="0"/>
        <w:bidi w:val="0"/>
        <w:snapToGrid w:val="0"/>
        <w:spacing w:line="360" w:lineRule="auto"/>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2.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0DF1D749">
      <w:pPr>
        <w:pStyle w:val="4"/>
        <w:pageBreakBefore w:val="0"/>
        <w:wordWrap/>
        <w:topLinePunct w:val="0"/>
        <w:bidi w:val="0"/>
        <w:snapToGrid w:val="0"/>
        <w:spacing w:line="360" w:lineRule="auto"/>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3.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14:paraId="6EAAC458">
      <w:pPr>
        <w:pStyle w:val="4"/>
        <w:pageBreakBefore w:val="0"/>
        <w:wordWrap/>
        <w:topLinePunct w:val="0"/>
        <w:bidi w:val="0"/>
        <w:snapToGrid w:val="0"/>
        <w:spacing w:line="360" w:lineRule="auto"/>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4.鼓励节能政策：投标人的投标产品属于财政部、发展改革委公布的“节能产品政府采购品目清单”范围的，投标人需提供国家确定的认证机构出具的、处于有效期之内的节能产品认证证书。国家确定的认证机构和节能产品获证产品信息可从市场监管总局组建的节能产品、环境标志产品认证结果信息发布平台或中国政府采购网（www.ccgp.gov.cn）建立的认证结果信息发布平台链接中查询下载。</w:t>
      </w:r>
    </w:p>
    <w:p w14:paraId="78BE396D">
      <w:pPr>
        <w:pStyle w:val="4"/>
        <w:pageBreakBefore w:val="0"/>
        <w:wordWrap/>
        <w:topLinePunct w:val="0"/>
        <w:bidi w:val="0"/>
        <w:snapToGrid w:val="0"/>
        <w:spacing w:line="360" w:lineRule="auto"/>
        <w:ind w:firstLine="0" w:firstLineChars="0"/>
        <w:contextualSpacing/>
        <w:rPr>
          <w:rFonts w:hint="eastAsia" w:ascii="仿宋" w:hAnsi="仿宋" w:eastAsia="仿宋" w:cs="仿宋"/>
          <w:b/>
          <w:sz w:val="28"/>
          <w:szCs w:val="28"/>
        </w:rPr>
      </w:pPr>
      <w:r>
        <w:rPr>
          <w:rFonts w:hint="eastAsia" w:ascii="仿宋" w:hAnsi="仿宋" w:eastAsia="仿宋" w:cs="仿宋"/>
          <w:b/>
          <w:sz w:val="28"/>
          <w:szCs w:val="28"/>
        </w:rPr>
        <w:t>5.鼓励环保政策：投标人的投标产品属于财政部、生态环境部公布的“环境标志产品政府采购品目清单”范围的，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www.ccgp.gov.cn）建立的认证结果信息发布平台链接中查询下载。</w:t>
      </w:r>
    </w:p>
    <w:p w14:paraId="6CA50CD0">
      <w:pPr>
        <w:pStyle w:val="4"/>
        <w:pageBreakBefore w:val="0"/>
        <w:wordWrap/>
        <w:topLinePunct w:val="0"/>
        <w:bidi w:val="0"/>
        <w:snapToGrid w:val="0"/>
        <w:spacing w:line="360" w:lineRule="auto"/>
        <w:ind w:firstLine="0" w:firstLineChars="0"/>
        <w:contextualSpacing/>
        <w:rPr>
          <w:rFonts w:hint="eastAsia" w:ascii="仿宋" w:hAnsi="仿宋" w:eastAsia="仿宋" w:cs="仿宋"/>
          <w:b/>
          <w:sz w:val="28"/>
          <w:szCs w:val="28"/>
        </w:rPr>
      </w:pPr>
      <w:r>
        <w:rPr>
          <w:rFonts w:hint="eastAsia" w:ascii="仿宋" w:hAnsi="仿宋" w:eastAsia="仿宋" w:cs="仿宋"/>
          <w:b/>
          <w:sz w:val="28"/>
          <w:szCs w:val="28"/>
        </w:rPr>
        <w:t>二、采购招标的需执行的国家相关标准、行业标准、地方标准或者其他标准、规范：</w:t>
      </w:r>
    </w:p>
    <w:p w14:paraId="0719C89F">
      <w:pPr>
        <w:pStyle w:val="4"/>
        <w:pageBreakBefore w:val="0"/>
        <w:wordWrap/>
        <w:topLinePunct w:val="0"/>
        <w:bidi w:val="0"/>
        <w:snapToGrid w:val="0"/>
        <w:spacing w:line="360" w:lineRule="auto"/>
        <w:ind w:firstLine="562" w:firstLineChars="200"/>
        <w:contextualSpacing/>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根据现行最新的</w:t>
      </w:r>
      <w:r>
        <w:rPr>
          <w:rFonts w:hint="eastAsia" w:ascii="仿宋" w:hAnsi="仿宋" w:eastAsia="仿宋" w:cs="仿宋"/>
          <w:b/>
          <w:sz w:val="28"/>
          <w:szCs w:val="28"/>
        </w:rPr>
        <w:t>国家相关标准、行业标准、地方标准或者其他标准、规范</w:t>
      </w:r>
      <w:r>
        <w:rPr>
          <w:rFonts w:hint="eastAsia" w:ascii="仿宋" w:hAnsi="仿宋" w:eastAsia="仿宋" w:cs="仿宋"/>
          <w:b/>
          <w:sz w:val="28"/>
          <w:szCs w:val="28"/>
          <w:lang w:val="en-US" w:eastAsia="zh-CN"/>
        </w:rPr>
        <w:t>执行。</w:t>
      </w:r>
    </w:p>
    <w:p w14:paraId="7CC4E86C">
      <w:pPr>
        <w:pStyle w:val="4"/>
        <w:pageBreakBefore w:val="0"/>
        <w:wordWrap/>
        <w:topLinePunct w:val="0"/>
        <w:bidi w:val="0"/>
        <w:snapToGrid w:val="0"/>
        <w:spacing w:line="360" w:lineRule="auto"/>
        <w:ind w:firstLine="0" w:firstLineChars="0"/>
        <w:contextualSpacing/>
        <w:rPr>
          <w:rFonts w:hint="eastAsia" w:ascii="仿宋" w:hAnsi="仿宋" w:eastAsia="仿宋" w:cs="仿宋"/>
          <w:b/>
          <w:sz w:val="28"/>
          <w:szCs w:val="28"/>
          <w:lang w:val="en-US" w:eastAsia="zh-CN"/>
        </w:rPr>
      </w:pPr>
      <w:r>
        <w:rPr>
          <w:rFonts w:hint="eastAsia" w:ascii="仿宋" w:hAnsi="仿宋" w:eastAsia="仿宋" w:cs="仿宋"/>
          <w:b/>
          <w:bCs/>
          <w:color w:val="000000"/>
          <w:sz w:val="28"/>
          <w:szCs w:val="28"/>
          <w:highlight w:val="none"/>
          <w:lang w:val="en-US" w:eastAsia="zh-CN"/>
        </w:rPr>
        <w:t>三、</w:t>
      </w:r>
      <w:r>
        <w:rPr>
          <w:rFonts w:hint="eastAsia" w:ascii="仿宋" w:hAnsi="仿宋" w:eastAsia="仿宋" w:cs="仿宋"/>
          <w:b/>
          <w:bCs/>
          <w:color w:val="000000"/>
          <w:sz w:val="28"/>
          <w:szCs w:val="28"/>
          <w:highlight w:val="none"/>
        </w:rPr>
        <w:t>采购招标的数量、采购项目交付或者实施的时间和地点</w:t>
      </w:r>
      <w:r>
        <w:rPr>
          <w:rFonts w:hint="eastAsia" w:ascii="仿宋" w:hAnsi="仿宋" w:eastAsia="仿宋" w:cs="仿宋"/>
          <w:b/>
          <w:bCs/>
          <w:color w:val="000000"/>
          <w:sz w:val="28"/>
          <w:szCs w:val="28"/>
          <w:highlight w:val="none"/>
          <w:lang w:val="en-US" w:eastAsia="zh-CN"/>
        </w:rPr>
        <w:t>及其他商务要求</w:t>
      </w:r>
      <w:r>
        <w:rPr>
          <w:rFonts w:hint="eastAsia" w:ascii="仿宋" w:hAnsi="仿宋" w:eastAsia="仿宋" w:cs="仿宋"/>
          <w:b/>
          <w:bCs/>
          <w:color w:val="000000"/>
          <w:sz w:val="28"/>
          <w:szCs w:val="28"/>
          <w:highlight w:val="none"/>
        </w:rPr>
        <w:t>：</w:t>
      </w:r>
    </w:p>
    <w:p w14:paraId="0FA6F1BD">
      <w:pPr>
        <w:pStyle w:val="4"/>
        <w:pageBreakBefore w:val="0"/>
        <w:wordWrap/>
        <w:topLinePunct w:val="0"/>
        <w:bidi w:val="0"/>
        <w:snapToGrid w:val="0"/>
        <w:spacing w:line="360" w:lineRule="auto"/>
        <w:ind w:firstLine="0" w:firstLineChars="0"/>
        <w:contextualSpacing/>
        <w:rPr>
          <w:rFonts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一</w:t>
      </w:r>
      <w:r>
        <w:rPr>
          <w:rFonts w:hint="eastAsia" w:ascii="仿宋" w:hAnsi="仿宋" w:eastAsia="仿宋" w:cs="仿宋"/>
          <w:b/>
          <w:sz w:val="28"/>
          <w:szCs w:val="28"/>
          <w:lang w:eastAsia="zh-CN"/>
        </w:rPr>
        <w:t>）</w:t>
      </w:r>
      <w:r>
        <w:rPr>
          <w:rFonts w:hint="eastAsia" w:ascii="仿宋" w:hAnsi="仿宋" w:eastAsia="仿宋" w:cs="仿宋"/>
          <w:b/>
          <w:sz w:val="28"/>
          <w:szCs w:val="28"/>
        </w:rPr>
        <w:t>采购标的</w:t>
      </w:r>
    </w:p>
    <w:p w14:paraId="7885E638">
      <w:pPr>
        <w:pageBreakBefore w:val="0"/>
        <w:wordWrap/>
        <w:topLinePunct w:val="0"/>
        <w:bidi w:val="0"/>
        <w:snapToGrid w:val="0"/>
        <w:spacing w:line="360" w:lineRule="auto"/>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1. 采购标的（货物需求一览表或简要服务内容及数量）</w:t>
      </w:r>
    </w:p>
    <w:p w14:paraId="10ED8C4F">
      <w:pPr>
        <w:pageBreakBefore w:val="0"/>
        <w:wordWrap/>
        <w:topLinePunct w:val="0"/>
        <w:bidi w:val="0"/>
        <w:snapToGrid w:val="0"/>
        <w:spacing w:line="360" w:lineRule="auto"/>
        <w:contextualSpacing/>
        <w:rPr>
          <w:rFonts w:ascii="仿宋" w:hAnsi="仿宋" w:eastAsia="仿宋" w:cs="仿宋"/>
          <w:bCs/>
          <w:sz w:val="28"/>
          <w:szCs w:val="28"/>
        </w:rPr>
      </w:pPr>
      <w:r>
        <w:rPr>
          <w:rFonts w:hint="eastAsia" w:ascii="仿宋" w:hAnsi="仿宋" w:eastAsia="仿宋" w:cs="仿宋"/>
          <w:bCs/>
          <w:sz w:val="28"/>
          <w:szCs w:val="28"/>
        </w:rPr>
        <w:t>说明：如接受进口产品，需标明。</w:t>
      </w:r>
    </w:p>
    <w:tbl>
      <w:tblPr>
        <w:tblStyle w:val="2"/>
        <w:tblW w:w="86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932"/>
        <w:gridCol w:w="849"/>
        <w:gridCol w:w="4023"/>
        <w:gridCol w:w="638"/>
        <w:gridCol w:w="427"/>
        <w:gridCol w:w="1106"/>
      </w:tblGrid>
      <w:tr w14:paraId="1517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0447">
            <w:pPr>
              <w:keepNext w:val="0"/>
              <w:keepLines w:val="0"/>
              <w:pageBreakBefore w:val="0"/>
              <w:widowControl/>
              <w:suppressLineNumbers w:val="0"/>
              <w:wordWrap/>
              <w:topLinePunct w:val="0"/>
              <w:bidi w:val="0"/>
              <w:snapToGrid w:val="0"/>
              <w:spacing w:line="360" w:lineRule="auto"/>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包号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D6E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包名称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6FA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品目号</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973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标的名称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2E1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61E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73B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是否接受进口产品</w:t>
            </w:r>
          </w:p>
        </w:tc>
      </w:tr>
      <w:tr w14:paraId="4DD9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87B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923F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公安基础网络及信息系统支撑</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777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AC6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条码扫描仪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334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0F9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D5B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09C0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F62A">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2D516">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E3C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592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交换机</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C21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E53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6C6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59D03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8748">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79F4A">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138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905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卫星调制解调器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666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B56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C32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26FB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6515">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41BC0">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94F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196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卫星高清视频编解码器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D57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0B5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B96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0051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CC42">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FC93A">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D9E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79F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语音网关</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A74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209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2E9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2FE1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5508">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1CA7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60E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481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模块化频谱仪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211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9E3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468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4624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2B1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FB417">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C91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323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卫星功放</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205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007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6AD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3139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CDF9">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2AE8A">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212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878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网络传输设备</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C72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FFE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A24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09882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2747">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FDB65">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7B7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DEA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综合业务光传输设备（对）</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39B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2C8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2D9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4AED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7F33">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1BBE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F1A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846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控制终端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723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705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F97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1E9FA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C0B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DE396">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7DA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C3C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全自动卫星便携站（卫星便携站购置项目）</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6BC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9AC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B9E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38271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982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171BD">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E5D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68E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电池1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621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9DC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35A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65E4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A7E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7AF7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7F4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AE1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视频会议终端（指挥系统设备购置项目）</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C43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2FA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919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6E207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4653">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63587">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76E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C6F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矩阵（指挥系统设备购置项目）</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203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232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F60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264D9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173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FE38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4C7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B4E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混合发送器（指挥系统设备购置项目）</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DF4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218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F55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1A06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3FA8">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7F76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510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ECA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显示屏</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661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43C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563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1AF0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367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A660A">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539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1-17</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9AA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IP交换系统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BBA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34D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A84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351C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2C66">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11E0C">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C47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DB2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模拟中继网关</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851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116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92C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7FFB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672E">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80E1C">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23E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1B1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语音网关</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6FA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189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646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3CD7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480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BD95A">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CF8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47A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网络交换机1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79D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316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C38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5E4B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EAF3">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3DA58">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212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6DA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网络交换机2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8C3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A18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71A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4D2A9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8CC8">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AA5FD">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E37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5FC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网络交换机3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7F4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4D1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21C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5CBF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F2E8">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1D753">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330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004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网络交换机4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9AB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8A1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FF0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008F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B6A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5924E">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A2B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AA6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网络交换机5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3E6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FE3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761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41C56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E8A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306B9">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9D3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1-25</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084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防火墙1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D60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451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A71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530C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F6E4">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4FA87">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268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60F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防火墙2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D3B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9EF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5ED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4D20E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042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D875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9E5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3A0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路由器1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F3C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770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244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71C97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86B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42B72">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242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480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路由器2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178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3E1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04F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7FCE9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772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0E642">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F0C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8C0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（加密）传真机</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4A9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EA8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F42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335F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9E84">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45CAA">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901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324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机房程控交换设备1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108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07B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7A8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2456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7D47">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7C646">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8B0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1-31</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9BC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机房程控交换设备2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A4E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F52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064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3DC15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9C71">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1B412">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A70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23E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机房程控交换设备3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3CE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FB7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160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6E38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D906">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EDBA6">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14F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EE4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机房程控交换设备4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48E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531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DEE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0230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3C04">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D7595">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359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1-34</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384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机房程控交换设备5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594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DA3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E55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6B15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8F8D">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2FA49">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B8F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E09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机房程控交换设备6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D39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3AD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E71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5ACA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BB77">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9F0E0">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97C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B3A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电池2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BB9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117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8E0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bl>
    <w:p w14:paraId="54C8B763">
      <w:pPr>
        <w:pStyle w:val="4"/>
        <w:pageBreakBefore w:val="0"/>
        <w:numPr>
          <w:ilvl w:val="-1"/>
          <w:numId w:val="0"/>
        </w:numPr>
        <w:wordWrap/>
        <w:topLinePunct w:val="0"/>
        <w:bidi w:val="0"/>
        <w:snapToGrid w:val="0"/>
        <w:spacing w:line="360" w:lineRule="auto"/>
        <w:ind w:firstLine="0" w:firstLineChars="0"/>
        <w:contextualSpacing/>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（二）采购项目交付或者实施的时间和地点：</w:t>
      </w:r>
    </w:p>
    <w:p w14:paraId="76F1FEA4">
      <w:pPr>
        <w:pStyle w:val="4"/>
        <w:pageBreakBefore w:val="0"/>
        <w:numPr>
          <w:ilvl w:val="-1"/>
          <w:numId w:val="0"/>
        </w:numPr>
        <w:wordWrap/>
        <w:topLinePunct w:val="0"/>
        <w:bidi w:val="0"/>
        <w:snapToGrid w:val="0"/>
        <w:spacing w:line="360" w:lineRule="auto"/>
        <w:ind w:firstLine="562" w:firstLineChars="200"/>
        <w:contextualSpacing/>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1.采购项目交付或者实施的时间：</w:t>
      </w:r>
      <w:r>
        <w:rPr>
          <w:rFonts w:hint="eastAsia" w:ascii="仿宋" w:hAnsi="仿宋" w:eastAsia="仿宋" w:cs="仿宋"/>
          <w:b w:val="0"/>
          <w:bCs/>
          <w:sz w:val="28"/>
          <w:szCs w:val="28"/>
          <w:lang w:val="en-US" w:eastAsia="zh-CN"/>
        </w:rPr>
        <w:t>合同签订生效之日起30个日历日内，中标人将合同项下全部货物交付到采购人指定地点，并完成全部安装调试服务。</w:t>
      </w:r>
    </w:p>
    <w:p w14:paraId="71BA6B5F">
      <w:pPr>
        <w:pStyle w:val="4"/>
        <w:pageBreakBefore w:val="0"/>
        <w:numPr>
          <w:ilvl w:val="-1"/>
          <w:numId w:val="0"/>
        </w:numPr>
        <w:wordWrap/>
        <w:topLinePunct w:val="0"/>
        <w:bidi w:val="0"/>
        <w:snapToGrid w:val="0"/>
        <w:spacing w:line="360" w:lineRule="auto"/>
        <w:ind w:firstLine="562" w:firstLineChars="200"/>
        <w:contextualSpacing/>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2.采购项目交付或者实施的地点：</w:t>
      </w:r>
      <w:r>
        <w:rPr>
          <w:rFonts w:hint="eastAsia" w:ascii="仿宋" w:hAnsi="仿宋" w:eastAsia="仿宋" w:cs="仿宋"/>
          <w:sz w:val="28"/>
          <w:szCs w:val="28"/>
        </w:rPr>
        <w:t>采购人指定地点</w:t>
      </w:r>
    </w:p>
    <w:p w14:paraId="3815C0CA">
      <w:pPr>
        <w:pStyle w:val="4"/>
        <w:pageBreakBefore w:val="0"/>
        <w:wordWrap/>
        <w:topLinePunct w:val="0"/>
        <w:bidi w:val="0"/>
        <w:snapToGrid w:val="0"/>
        <w:spacing w:line="360" w:lineRule="auto"/>
        <w:ind w:firstLine="0" w:firstLineChars="0"/>
        <w:contextualSpacing/>
        <w:rPr>
          <w:rFonts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三</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其他</w:t>
      </w:r>
      <w:r>
        <w:rPr>
          <w:rFonts w:hint="eastAsia" w:ascii="仿宋" w:hAnsi="仿宋" w:eastAsia="仿宋" w:cs="仿宋"/>
          <w:b/>
          <w:sz w:val="28"/>
          <w:szCs w:val="28"/>
        </w:rPr>
        <w:t>商务要求</w:t>
      </w:r>
    </w:p>
    <w:p w14:paraId="7AA184E7">
      <w:pPr>
        <w:pStyle w:val="4"/>
        <w:pageBreakBefore w:val="0"/>
        <w:numPr>
          <w:ilvl w:val="-1"/>
          <w:numId w:val="0"/>
        </w:numPr>
        <w:wordWrap/>
        <w:topLinePunct w:val="0"/>
        <w:bidi w:val="0"/>
        <w:snapToGrid w:val="0"/>
        <w:spacing w:line="360" w:lineRule="auto"/>
        <w:ind w:firstLine="560" w:firstLineChars="200"/>
        <w:contextualSpacing/>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 合同签订生效且财政经费到位后7个工作日内，采购人向中标人支付合同总金额的50%预付款；设备到货安装调试完成，通过到货验收后财政经费到位7个工作日内，采购人向中标人支付合同总金额的40%；所有设备最终验收合格、财政经费到位且由中标人向采购人提交由其开户银行出具的合同总金额的5%的履约保函正本后7个工作日内，采购人向中标人支付合同总金额的10%。质保期满后，如无质量问题，采购人退还中标人履约保函。</w:t>
      </w:r>
    </w:p>
    <w:p w14:paraId="3DE58682">
      <w:pPr>
        <w:pStyle w:val="4"/>
        <w:pageBreakBefore w:val="0"/>
        <w:numPr>
          <w:ilvl w:val="-1"/>
          <w:numId w:val="0"/>
        </w:numPr>
        <w:wordWrap/>
        <w:topLinePunct w:val="0"/>
        <w:bidi w:val="0"/>
        <w:snapToGrid w:val="0"/>
        <w:spacing w:line="360" w:lineRule="auto"/>
        <w:ind w:firstLine="560" w:firstLineChars="200"/>
        <w:contextualSpacing/>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 采购人每次付款前，中标人需向采购人提供与采购人所付金额相等的正规发票。</w:t>
      </w:r>
    </w:p>
    <w:p w14:paraId="1CF859C4">
      <w:pPr>
        <w:pStyle w:val="4"/>
        <w:pageBreakBefore w:val="0"/>
        <w:numPr>
          <w:ilvl w:val="-1"/>
          <w:numId w:val="0"/>
        </w:numPr>
        <w:wordWrap/>
        <w:topLinePunct w:val="0"/>
        <w:bidi w:val="0"/>
        <w:snapToGrid w:val="0"/>
        <w:spacing w:line="360" w:lineRule="auto"/>
        <w:ind w:firstLine="560" w:firstLineChars="200"/>
        <w:contextualSpacing/>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 合同约定的付款期限及付款方式、付款额度等以采购人获得财政审批为准，因财政未及时审批及拨款的不视为采购人违约。</w:t>
      </w:r>
    </w:p>
    <w:p w14:paraId="233BCE34">
      <w:pPr>
        <w:pStyle w:val="4"/>
        <w:pageBreakBefore w:val="0"/>
        <w:numPr>
          <w:ilvl w:val="-1"/>
          <w:numId w:val="0"/>
        </w:numPr>
        <w:wordWrap/>
        <w:topLinePunct w:val="0"/>
        <w:bidi w:val="0"/>
        <w:snapToGrid w:val="0"/>
        <w:spacing w:line="360" w:lineRule="auto"/>
        <w:ind w:firstLine="560" w:firstLineChars="200"/>
        <w:contextualSpacing/>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 若出现货物本身质量问题或中标人未按合同约定要求供货，则采购人有权拒绝接收和付款，一切责任均由中标人自行承担。</w:t>
      </w:r>
    </w:p>
    <w:p w14:paraId="71C84BAD">
      <w:pPr>
        <w:pStyle w:val="4"/>
        <w:pageBreakBefore w:val="0"/>
        <w:numPr>
          <w:ilvl w:val="-1"/>
          <w:numId w:val="0"/>
        </w:numPr>
        <w:wordWrap/>
        <w:topLinePunct w:val="0"/>
        <w:bidi w:val="0"/>
        <w:snapToGrid w:val="0"/>
        <w:spacing w:line="360" w:lineRule="auto"/>
        <w:ind w:firstLine="560" w:firstLineChars="200"/>
        <w:contextualSpacing/>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 中标人需要在合同规定的到货期前10个日历日，向采购人提供详细的供货清单，由采购人确认。如果由于中标人没有及时通知采购人，由此造成的全部损失由中标人承担。</w:t>
      </w:r>
    </w:p>
    <w:p w14:paraId="2FC5B7B2">
      <w:pPr>
        <w:pStyle w:val="4"/>
        <w:pageBreakBefore w:val="0"/>
        <w:numPr>
          <w:ilvl w:val="-1"/>
          <w:numId w:val="0"/>
        </w:numPr>
        <w:wordWrap/>
        <w:topLinePunct w:val="0"/>
        <w:bidi w:val="0"/>
        <w:snapToGrid w:val="0"/>
        <w:spacing w:line="360" w:lineRule="auto"/>
        <w:ind w:firstLine="560" w:firstLineChars="200"/>
        <w:contextualSpacing/>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 中标人需安排运输保险并承担运费、保费。</w:t>
      </w:r>
    </w:p>
    <w:p w14:paraId="3D89449C">
      <w:pPr>
        <w:pStyle w:val="5"/>
        <w:pageBreakBefore w:val="0"/>
        <w:wordWrap/>
        <w:topLinePunct w:val="0"/>
        <w:bidi w:val="0"/>
        <w:snapToGrid w:val="0"/>
        <w:spacing w:before="0" w:line="360" w:lineRule="auto"/>
        <w:ind w:firstLine="0"/>
        <w:rPr>
          <w:rFonts w:ascii="仿宋" w:hAnsi="仿宋" w:eastAsia="仿宋"/>
          <w:b/>
          <w:sz w:val="28"/>
          <w:szCs w:val="28"/>
        </w:rPr>
      </w:pPr>
      <w:r>
        <w:rPr>
          <w:rFonts w:hint="eastAsia" w:ascii="仿宋" w:hAnsi="仿宋" w:eastAsia="仿宋"/>
          <w:b/>
          <w:sz w:val="28"/>
          <w:szCs w:val="28"/>
        </w:rPr>
        <w:t>四、采购标的需满足的服务标准、期限、效率等要求</w:t>
      </w:r>
    </w:p>
    <w:p w14:paraId="497318B0">
      <w:pPr>
        <w:pageBreakBefore w:val="0"/>
        <w:tabs>
          <w:tab w:val="left" w:pos="900"/>
        </w:tabs>
        <w:wordWrap/>
        <w:topLinePunct w:val="0"/>
        <w:bidi w:val="0"/>
        <w:snapToGrid w:val="0"/>
        <w:spacing w:line="360" w:lineRule="auto"/>
        <w:rPr>
          <w:rFonts w:ascii="仿宋" w:hAnsi="仿宋" w:eastAsia="仿宋"/>
          <w:b/>
          <w:sz w:val="28"/>
          <w:szCs w:val="28"/>
        </w:rPr>
      </w:pPr>
      <w:r>
        <w:rPr>
          <w:rFonts w:hint="eastAsia" w:ascii="仿宋" w:hAnsi="仿宋" w:eastAsia="仿宋"/>
          <w:b/>
          <w:sz w:val="28"/>
          <w:szCs w:val="28"/>
        </w:rPr>
        <w:t>（一）采购标的需满足的服务标准、效率要求（以各包技术规格中要求为准，如技术规格中无要求，则以本款要求为准。）</w:t>
      </w:r>
    </w:p>
    <w:p w14:paraId="17F458C2">
      <w:pPr>
        <w:pageBreakBefore w:val="0"/>
        <w:numPr>
          <w:ilvl w:val="0"/>
          <w:numId w:val="0"/>
        </w:numPr>
        <w:wordWrap/>
        <w:topLinePunct w:val="0"/>
        <w:bidi w:val="0"/>
        <w:snapToGrid w:val="0"/>
        <w:spacing w:line="360" w:lineRule="auto"/>
        <w:ind w:leftChars="0" w:firstLine="560" w:firstLineChars="200"/>
        <w:rPr>
          <w:rFonts w:hint="eastAsia" w:ascii="仿宋" w:hAnsi="仿宋" w:eastAsia="仿宋"/>
          <w:bCs/>
          <w:sz w:val="28"/>
          <w:szCs w:val="28"/>
        </w:rPr>
      </w:pPr>
      <w:r>
        <w:rPr>
          <w:rFonts w:hint="eastAsia" w:ascii="仿宋" w:hAnsi="仿宋" w:eastAsia="仿宋"/>
          <w:bCs/>
          <w:sz w:val="28"/>
          <w:szCs w:val="28"/>
          <w:lang w:val="en-US" w:eastAsia="zh-CN"/>
        </w:rPr>
        <w:t xml:space="preserve">1. </w:t>
      </w:r>
      <w:r>
        <w:rPr>
          <w:rFonts w:hint="eastAsia" w:ascii="仿宋" w:hAnsi="仿宋" w:eastAsia="仿宋"/>
          <w:bCs/>
          <w:sz w:val="28"/>
          <w:szCs w:val="28"/>
        </w:rPr>
        <w:t>投标人应有能力做好售后服务工作和提供技术保障。投标人或投标产品制造商应设有专业的售后服务维修机构，有充足的零件储备和能力相当的技术服务人员，</w:t>
      </w:r>
      <w:r>
        <w:rPr>
          <w:rFonts w:hint="eastAsia" w:ascii="仿宋" w:hAnsi="仿宋" w:eastAsia="仿宋"/>
          <w:sz w:val="28"/>
          <w:szCs w:val="28"/>
        </w:rPr>
        <w:t>并保证投标产品停产后5年的备件供应</w:t>
      </w:r>
      <w:r>
        <w:rPr>
          <w:rFonts w:hint="eastAsia" w:ascii="仿宋" w:hAnsi="仿宋" w:eastAsia="仿宋"/>
          <w:bCs/>
          <w:sz w:val="28"/>
          <w:szCs w:val="28"/>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14:paraId="0C770C05">
      <w:pPr>
        <w:pageBreakBefore w:val="0"/>
        <w:numPr>
          <w:ilvl w:val="0"/>
          <w:numId w:val="0"/>
        </w:numPr>
        <w:wordWrap/>
        <w:topLinePunct w:val="0"/>
        <w:bidi w:val="0"/>
        <w:snapToGrid w:val="0"/>
        <w:spacing w:line="360" w:lineRule="auto"/>
        <w:ind w:leftChars="0" w:firstLine="560" w:firstLineChars="200"/>
        <w:rPr>
          <w:rFonts w:hint="eastAsia" w:ascii="仿宋" w:hAnsi="仿宋" w:eastAsia="仿宋"/>
          <w:sz w:val="28"/>
          <w:szCs w:val="28"/>
        </w:rPr>
      </w:pPr>
      <w:r>
        <w:rPr>
          <w:rFonts w:hint="eastAsia" w:ascii="仿宋" w:hAnsi="仿宋" w:eastAsia="仿宋"/>
          <w:bCs/>
          <w:sz w:val="28"/>
          <w:szCs w:val="28"/>
          <w:lang w:val="en-US" w:eastAsia="zh-CN"/>
        </w:rPr>
        <w:t xml:space="preserve">2. </w:t>
      </w:r>
      <w:r>
        <w:rPr>
          <w:rFonts w:hint="eastAsia" w:ascii="仿宋" w:hAnsi="仿宋" w:eastAsia="仿宋"/>
          <w:sz w:val="28"/>
          <w:szCs w:val="28"/>
        </w:rPr>
        <w:t>投标人发运货物时，每台设备要提供一整套中文的技术资料，包括安装、操作手册、使用说明、维修保养手册、电路图、零配件清单等，这些资料费应包括在投标报价内。上述材料应随货物一同交付。</w:t>
      </w:r>
    </w:p>
    <w:p w14:paraId="5D677372">
      <w:pPr>
        <w:pageBreakBefore w:val="0"/>
        <w:numPr>
          <w:ilvl w:val="0"/>
          <w:numId w:val="0"/>
        </w:numPr>
        <w:wordWrap/>
        <w:topLinePunct w:val="0"/>
        <w:bidi w:val="0"/>
        <w:snapToGrid w:val="0"/>
        <w:spacing w:line="360" w:lineRule="auto"/>
        <w:ind w:leftChars="0" w:firstLine="560" w:firstLineChars="200"/>
        <w:rPr>
          <w:rFonts w:hint="eastAsia" w:ascii="仿宋" w:hAnsi="仿宋" w:eastAsia="仿宋"/>
          <w:sz w:val="28"/>
          <w:szCs w:val="28"/>
        </w:rPr>
      </w:pPr>
      <w:r>
        <w:rPr>
          <w:rFonts w:hint="eastAsia" w:ascii="仿宋" w:hAnsi="仿宋" w:eastAsia="仿宋"/>
          <w:sz w:val="28"/>
          <w:szCs w:val="28"/>
          <w:lang w:val="en-US" w:eastAsia="zh-CN"/>
        </w:rPr>
        <w:t xml:space="preserve">3. </w:t>
      </w:r>
      <w:r>
        <w:rPr>
          <w:rFonts w:hint="eastAsia" w:ascii="仿宋" w:hAnsi="仿宋" w:eastAsia="仿宋"/>
          <w:sz w:val="28"/>
          <w:szCs w:val="28"/>
        </w:rPr>
        <w:t>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14:paraId="7C13433C">
      <w:pPr>
        <w:pageBreakBefore w:val="0"/>
        <w:numPr>
          <w:ilvl w:val="0"/>
          <w:numId w:val="0"/>
        </w:numPr>
        <w:wordWrap/>
        <w:topLinePunct w:val="0"/>
        <w:bidi w:val="0"/>
        <w:snapToGrid w:val="0"/>
        <w:spacing w:line="360" w:lineRule="auto"/>
        <w:ind w:leftChars="0" w:firstLine="560" w:firstLineChars="200"/>
        <w:rPr>
          <w:rFonts w:ascii="仿宋" w:hAnsi="仿宋" w:eastAsia="仿宋"/>
          <w:sz w:val="28"/>
          <w:szCs w:val="28"/>
        </w:rPr>
      </w:pPr>
      <w:r>
        <w:rPr>
          <w:rFonts w:hint="eastAsia" w:ascii="仿宋" w:hAnsi="仿宋" w:eastAsia="仿宋"/>
          <w:sz w:val="28"/>
          <w:szCs w:val="28"/>
          <w:lang w:val="en-US" w:eastAsia="zh-CN"/>
        </w:rPr>
        <w:t xml:space="preserve">4. </w:t>
      </w:r>
      <w:r>
        <w:rPr>
          <w:rFonts w:ascii="仿宋" w:hAnsi="仿宋" w:eastAsia="仿宋"/>
          <w:sz w:val="28"/>
          <w:szCs w:val="28"/>
        </w:rPr>
        <w:t>投标人应负责投标货物质量保证期内的免费维修和配件供应，投标人售后服务维修机构应备有所购货物及时维修所需的关键零部件。</w:t>
      </w:r>
    </w:p>
    <w:p w14:paraId="0D6E1DCF">
      <w:pPr>
        <w:pageBreakBefore w:val="0"/>
        <w:numPr>
          <w:ilvl w:val="0"/>
          <w:numId w:val="0"/>
        </w:numPr>
        <w:wordWrap/>
        <w:topLinePunct w:val="0"/>
        <w:bidi w:val="0"/>
        <w:snapToGrid w:val="0"/>
        <w:spacing w:line="360" w:lineRule="auto"/>
        <w:ind w:leftChars="0" w:firstLine="560" w:firstLineChars="200"/>
        <w:rPr>
          <w:rFonts w:ascii="仿宋" w:hAnsi="仿宋" w:eastAsia="仿宋"/>
          <w:sz w:val="28"/>
          <w:szCs w:val="28"/>
        </w:rPr>
      </w:pPr>
      <w:r>
        <w:rPr>
          <w:rFonts w:hint="eastAsia" w:ascii="仿宋" w:hAnsi="仿宋" w:eastAsia="仿宋"/>
          <w:sz w:val="28"/>
          <w:szCs w:val="28"/>
          <w:lang w:val="en-US" w:eastAsia="zh-CN"/>
        </w:rPr>
        <w:t xml:space="preserve">5. </w:t>
      </w:r>
      <w:r>
        <w:rPr>
          <w:rFonts w:ascii="仿宋" w:hAnsi="仿宋" w:eastAsia="仿宋"/>
          <w:sz w:val="28"/>
          <w:szCs w:val="28"/>
        </w:rPr>
        <w:t>投标人应保证在质量保证期内提供投标货物专用的软件和相应数据库资料的免费升级服务。（如果有）</w:t>
      </w:r>
    </w:p>
    <w:p w14:paraId="777FE2CE">
      <w:pPr>
        <w:pageBreakBefore w:val="0"/>
        <w:numPr>
          <w:ilvl w:val="0"/>
          <w:numId w:val="0"/>
        </w:numPr>
        <w:wordWrap/>
        <w:topLinePunct w:val="0"/>
        <w:bidi w:val="0"/>
        <w:snapToGrid w:val="0"/>
        <w:spacing w:line="360" w:lineRule="auto"/>
        <w:ind w:leftChars="0" w:firstLine="560" w:firstLineChars="200"/>
        <w:rPr>
          <w:rFonts w:ascii="仿宋" w:hAnsi="仿宋" w:eastAsia="仿宋"/>
          <w:sz w:val="28"/>
          <w:szCs w:val="28"/>
        </w:rPr>
      </w:pPr>
      <w:r>
        <w:rPr>
          <w:rFonts w:hint="eastAsia" w:ascii="仿宋" w:hAnsi="仿宋" w:eastAsia="仿宋"/>
          <w:sz w:val="28"/>
          <w:szCs w:val="28"/>
          <w:lang w:val="en-US" w:eastAsia="zh-CN"/>
        </w:rPr>
        <w:t xml:space="preserve">6. </w:t>
      </w:r>
      <w:r>
        <w:rPr>
          <w:rFonts w:ascii="仿宋" w:hAnsi="仿宋" w:eastAsia="仿宋"/>
          <w:sz w:val="28"/>
          <w:szCs w:val="28"/>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14:paraId="752126EF">
      <w:pPr>
        <w:pageBreakBefore w:val="0"/>
        <w:tabs>
          <w:tab w:val="left" w:pos="900"/>
        </w:tabs>
        <w:wordWrap/>
        <w:topLinePunct w:val="0"/>
        <w:bidi w:val="0"/>
        <w:snapToGrid w:val="0"/>
        <w:spacing w:line="360" w:lineRule="auto"/>
        <w:rPr>
          <w:rFonts w:ascii="仿宋" w:hAnsi="仿宋" w:eastAsia="仿宋"/>
          <w:b/>
          <w:sz w:val="28"/>
          <w:szCs w:val="28"/>
        </w:rPr>
      </w:pPr>
      <w:r>
        <w:rPr>
          <w:rFonts w:hint="eastAsia" w:ascii="仿宋" w:hAnsi="仿宋" w:eastAsia="仿宋"/>
          <w:b/>
          <w:sz w:val="28"/>
          <w:szCs w:val="28"/>
        </w:rPr>
        <w:t>（二）采购标的需满足的服务期限要求</w:t>
      </w:r>
    </w:p>
    <w:p w14:paraId="04AE8105">
      <w:pPr>
        <w:pageBreakBefore w:val="0"/>
        <w:tabs>
          <w:tab w:val="left" w:pos="900"/>
        </w:tabs>
        <w:wordWrap/>
        <w:topLinePunct w:val="0"/>
        <w:bidi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质量保证期（保修期）及服务要求：项目终验后，</w:t>
      </w:r>
      <w:r>
        <w:rPr>
          <w:rFonts w:hint="eastAsia" w:ascii="仿宋" w:hAnsi="仿宋" w:eastAsia="仿宋"/>
          <w:sz w:val="28"/>
          <w:szCs w:val="28"/>
          <w:lang w:val="en-US" w:eastAsia="zh-CN"/>
        </w:rPr>
        <w:t>中标人</w:t>
      </w:r>
      <w:r>
        <w:rPr>
          <w:rFonts w:hint="eastAsia" w:ascii="仿宋" w:hAnsi="仿宋" w:eastAsia="仿宋"/>
          <w:sz w:val="28"/>
          <w:szCs w:val="28"/>
        </w:rPr>
        <w:t>针对合同项下全部货物提供不少于3年的免费质保期，如有特殊要求的按照参数指标要求的内容执行。</w:t>
      </w:r>
    </w:p>
    <w:p w14:paraId="2B8FFDE6">
      <w:pPr>
        <w:pStyle w:val="5"/>
        <w:pageBreakBefore w:val="0"/>
        <w:wordWrap/>
        <w:topLinePunct w:val="0"/>
        <w:bidi w:val="0"/>
        <w:snapToGrid w:val="0"/>
        <w:spacing w:before="0" w:line="360" w:lineRule="auto"/>
        <w:ind w:firstLine="0"/>
        <w:rPr>
          <w:rFonts w:ascii="仿宋" w:hAnsi="仿宋" w:eastAsia="仿宋"/>
          <w:b/>
          <w:sz w:val="28"/>
          <w:szCs w:val="28"/>
        </w:rPr>
      </w:pPr>
      <w:r>
        <w:rPr>
          <w:rFonts w:hint="eastAsia" w:ascii="仿宋" w:hAnsi="仿宋" w:eastAsia="仿宋"/>
          <w:b/>
          <w:sz w:val="28"/>
          <w:szCs w:val="28"/>
        </w:rPr>
        <w:t>五、采购标的物验收标准</w:t>
      </w:r>
    </w:p>
    <w:p w14:paraId="243BFD2A">
      <w:pPr>
        <w:pageBreakBefore w:val="0"/>
        <w:tabs>
          <w:tab w:val="left" w:pos="900"/>
        </w:tabs>
        <w:wordWrap/>
        <w:topLinePunct w:val="0"/>
        <w:bidi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 中标人应保证在发货前对货物的质量、规格、性能、数量和重量等进行准确而全面的检验，并出具一份证明货物符合合同规定的证明。该证明将作为提交付款单据的一部分，但有关质量、规格、性能、数量或重要的检验不应视为最终检验。中标人检验的结果和详细要求应在质量证明中加以说明。</w:t>
      </w:r>
    </w:p>
    <w:p w14:paraId="71F88743">
      <w:pPr>
        <w:pageBreakBefore w:val="0"/>
        <w:tabs>
          <w:tab w:val="left" w:pos="900"/>
        </w:tabs>
        <w:wordWrap/>
        <w:topLinePunct w:val="0"/>
        <w:bidi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 xml:space="preserve"> </w:t>
      </w:r>
      <w:r>
        <w:rPr>
          <w:rFonts w:hint="eastAsia" w:ascii="仿宋" w:hAnsi="仿宋" w:eastAsia="仿宋"/>
          <w:sz w:val="28"/>
          <w:szCs w:val="28"/>
        </w:rPr>
        <w:t>中标人应负责使所供计量仪器通过计量部门的验收，并承担相关费用（包括运费）。若需要，应在检测期间提供备用仪器，以便不影响采购人的使用。</w:t>
      </w:r>
    </w:p>
    <w:p w14:paraId="3267DEEE">
      <w:pPr>
        <w:pageBreakBefore w:val="0"/>
        <w:tabs>
          <w:tab w:val="left" w:pos="900"/>
        </w:tabs>
        <w:wordWrap/>
        <w:topLinePunct w:val="0"/>
        <w:bidi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 xml:space="preserve">3. </w:t>
      </w:r>
      <w:r>
        <w:rPr>
          <w:rFonts w:hint="eastAsia" w:ascii="仿宋" w:hAnsi="仿宋" w:eastAsia="仿宋"/>
          <w:sz w:val="28"/>
          <w:szCs w:val="28"/>
        </w:rPr>
        <w:t>项目建设完成（即项目实施完毕并稳定运行）后，采购人与中标人双方依据合同约定的系统功能和性能等要求，组织到货验收，中标人应提供由厂家出具的合同项下全部设备原厂售后服务承诺。验收合格后，双方签字认可，出具到货验收报告。</w:t>
      </w:r>
    </w:p>
    <w:p w14:paraId="624789B1">
      <w:pPr>
        <w:pageBreakBefore w:val="0"/>
        <w:tabs>
          <w:tab w:val="left" w:pos="900"/>
        </w:tabs>
        <w:wordWrap/>
        <w:topLinePunct w:val="0"/>
        <w:bidi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 xml:space="preserve">4. </w:t>
      </w:r>
      <w:r>
        <w:rPr>
          <w:rFonts w:hint="eastAsia" w:ascii="仿宋" w:hAnsi="仿宋" w:eastAsia="仿宋"/>
          <w:sz w:val="28"/>
          <w:szCs w:val="28"/>
        </w:rPr>
        <w:t>项目通过到货验收后进入至少为期30个日历日的试运行期，期间如发生问题，自发生问题之日起试运行期将予以延长 30个日历日。</w:t>
      </w:r>
    </w:p>
    <w:p w14:paraId="062F9AC4">
      <w:pPr>
        <w:pageBreakBefore w:val="0"/>
        <w:tabs>
          <w:tab w:val="left" w:pos="900"/>
        </w:tabs>
        <w:wordWrap/>
        <w:topLinePunct w:val="0"/>
        <w:bidi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 xml:space="preserve">5. </w:t>
      </w:r>
      <w:r>
        <w:rPr>
          <w:rFonts w:hint="eastAsia" w:ascii="仿宋" w:hAnsi="仿宋" w:eastAsia="仿宋"/>
          <w:sz w:val="28"/>
          <w:szCs w:val="28"/>
        </w:rPr>
        <w:t>延长期限内，再次发生问题的，采购人有权根据本合同第13条及第17条的规定，终止合同并追究中标人的违约及赔偿责任。</w:t>
      </w:r>
    </w:p>
    <w:p w14:paraId="09B8518F">
      <w:pPr>
        <w:pageBreakBefore w:val="0"/>
        <w:tabs>
          <w:tab w:val="left" w:pos="900"/>
        </w:tabs>
        <w:wordWrap/>
        <w:topLinePunct w:val="0"/>
        <w:bidi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 xml:space="preserve">6. </w:t>
      </w:r>
      <w:r>
        <w:rPr>
          <w:rFonts w:hint="eastAsia" w:ascii="仿宋" w:hAnsi="仿宋" w:eastAsia="仿宋"/>
          <w:sz w:val="28"/>
          <w:szCs w:val="28"/>
        </w:rPr>
        <w:t>试运行期满后，采购人与中标人双方共同组成验收小组，经采购人确认后按照技术合同约定的验收标准和采购人装备项目管理相关规定进行最终验收。通过后出具最终验收报告。</w:t>
      </w:r>
    </w:p>
    <w:p w14:paraId="3415D984">
      <w:pPr>
        <w:pageBreakBefore w:val="0"/>
        <w:tabs>
          <w:tab w:val="left" w:pos="900"/>
        </w:tabs>
        <w:wordWrap/>
        <w:topLinePunct w:val="0"/>
        <w:bidi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 xml:space="preserve">7. </w:t>
      </w:r>
      <w:r>
        <w:rPr>
          <w:rFonts w:hint="eastAsia" w:ascii="仿宋" w:hAnsi="仿宋" w:eastAsia="仿宋"/>
          <w:sz w:val="28"/>
          <w:szCs w:val="28"/>
        </w:rPr>
        <w:t>验收不合格的，采购人有权终止合同并追究中标人的违约及赔偿责任。</w:t>
      </w:r>
    </w:p>
    <w:p w14:paraId="3D2ECB68">
      <w:pPr>
        <w:pageBreakBefore w:val="0"/>
        <w:tabs>
          <w:tab w:val="left" w:pos="900"/>
        </w:tabs>
        <w:wordWrap/>
        <w:topLinePunct w:val="0"/>
        <w:bidi w:val="0"/>
        <w:snapToGrid w:val="0"/>
        <w:spacing w:line="360" w:lineRule="auto"/>
        <w:rPr>
          <w:rFonts w:ascii="仿宋" w:hAnsi="仿宋" w:eastAsia="仿宋"/>
          <w:b/>
          <w:sz w:val="28"/>
          <w:szCs w:val="28"/>
        </w:rPr>
      </w:pPr>
      <w:r>
        <w:rPr>
          <w:rFonts w:hint="eastAsia" w:ascii="仿宋" w:hAnsi="仿宋" w:eastAsia="仿宋"/>
          <w:b/>
          <w:sz w:val="28"/>
          <w:szCs w:val="28"/>
        </w:rPr>
        <w:t>六、采购标的的其他技术、服务等要求</w:t>
      </w:r>
    </w:p>
    <w:p w14:paraId="19752822">
      <w:pPr>
        <w:pageBreakBefore w:val="0"/>
        <w:numPr>
          <w:ilvl w:val="0"/>
          <w:numId w:val="0"/>
        </w:numPr>
        <w:wordWrap/>
        <w:topLinePunct w:val="0"/>
        <w:bidi w:val="0"/>
        <w:snapToGrid w:val="0"/>
        <w:spacing w:line="360" w:lineRule="auto"/>
        <w:ind w:leftChars="0" w:firstLine="562" w:firstLineChars="200"/>
        <w:rPr>
          <w:rFonts w:hint="eastAsia" w:ascii="仿宋" w:hAnsi="仿宋" w:eastAsia="仿宋"/>
          <w:b w:val="0"/>
          <w:bCs/>
          <w:sz w:val="28"/>
          <w:szCs w:val="28"/>
          <w:lang w:val="en-US" w:eastAsia="zh-CN"/>
        </w:rPr>
      </w:pPr>
      <w:r>
        <w:rPr>
          <w:rFonts w:hint="eastAsia" w:ascii="仿宋" w:hAnsi="仿宋" w:eastAsia="仿宋"/>
          <w:b/>
          <w:sz w:val="28"/>
          <w:szCs w:val="28"/>
          <w:lang w:val="en-US" w:eastAsia="zh-CN"/>
        </w:rPr>
        <w:t xml:space="preserve">1. </w:t>
      </w:r>
      <w:r>
        <w:rPr>
          <w:rFonts w:hint="eastAsia" w:ascii="仿宋" w:hAnsi="仿宋" w:eastAsia="仿宋"/>
          <w:b w:val="0"/>
          <w:bCs/>
          <w:sz w:val="28"/>
          <w:szCs w:val="28"/>
          <w:lang w:val="en-US" w:eastAsia="zh-CN"/>
        </w:rPr>
        <w:t>本采购需求书中，指标按重要性分为“★”、 “＃”、未标注。“★”代表最关键指标，不满足该指标项将导致投标被拒绝；“＃”代表重要指标，不满足该指标项将导致扣分；未标注则代表一般指标。</w:t>
      </w:r>
    </w:p>
    <w:p w14:paraId="4B6A945F">
      <w:pPr>
        <w:pageBreakBefore w:val="0"/>
        <w:numPr>
          <w:ilvl w:val="0"/>
          <w:numId w:val="0"/>
        </w:numPr>
        <w:wordWrap/>
        <w:topLinePunct w:val="0"/>
        <w:bidi w:val="0"/>
        <w:snapToGrid w:val="0"/>
        <w:spacing w:line="360" w:lineRule="auto"/>
        <w:ind w:leftChars="0" w:firstLine="562" w:firstLineChars="200"/>
        <w:rPr>
          <w:rFonts w:hint="eastAsia" w:ascii="仿宋" w:hAnsi="仿宋" w:eastAsia="仿宋"/>
          <w:b/>
          <w:sz w:val="28"/>
          <w:szCs w:val="28"/>
          <w:highlight w:val="none"/>
          <w:lang w:val="en-US" w:eastAsia="zh-CN"/>
        </w:rPr>
      </w:pPr>
      <w:r>
        <w:rPr>
          <w:rFonts w:hint="eastAsia" w:ascii="仿宋" w:hAnsi="仿宋" w:eastAsia="仿宋"/>
          <w:b/>
          <w:sz w:val="28"/>
          <w:szCs w:val="28"/>
          <w:highlight w:val="none"/>
          <w:lang w:val="en-US" w:eastAsia="zh-CN"/>
        </w:rPr>
        <w:t>“★”指标项如果明确要求供应商提供相关证明材料证明该指标响应情况的，则按照要求提供；未明确要求提供何种证明材料的则以承诺函的形式证明该指标响应情况，承诺函格式自拟。</w:t>
      </w:r>
    </w:p>
    <w:p w14:paraId="2320DB17">
      <w:pPr>
        <w:pageBreakBefore w:val="0"/>
        <w:numPr>
          <w:ilvl w:val="0"/>
          <w:numId w:val="0"/>
        </w:numPr>
        <w:wordWrap/>
        <w:topLinePunct w:val="0"/>
        <w:bidi w:val="0"/>
        <w:snapToGrid w:val="0"/>
        <w:spacing w:line="360" w:lineRule="auto"/>
        <w:ind w:leftChars="0" w:firstLine="562" w:firstLineChars="200"/>
        <w:rPr>
          <w:rFonts w:hint="eastAsia" w:ascii="仿宋" w:hAnsi="仿宋" w:eastAsia="仿宋"/>
          <w:b/>
          <w:sz w:val="28"/>
          <w:szCs w:val="28"/>
          <w:highlight w:val="none"/>
        </w:rPr>
      </w:pPr>
      <w:r>
        <w:rPr>
          <w:rFonts w:hint="eastAsia" w:ascii="仿宋" w:hAnsi="仿宋" w:eastAsia="仿宋"/>
          <w:b/>
          <w:sz w:val="28"/>
          <w:szCs w:val="28"/>
          <w:highlight w:val="none"/>
          <w:lang w:val="en-US" w:eastAsia="zh-CN"/>
        </w:rPr>
        <w:t>“＃”指标项如果明确要求供应商提供相关证明材料证明该指标响应情况的，则按照要求提供相关证明材料；未明确要求提供何种证明材料的则以《采购需求偏离表》中的响应情况来证明该指标响应情况。</w:t>
      </w:r>
    </w:p>
    <w:p w14:paraId="04B52574">
      <w:pPr>
        <w:pageBreakBefore w:val="0"/>
        <w:numPr>
          <w:ilvl w:val="0"/>
          <w:numId w:val="0"/>
        </w:numPr>
        <w:wordWrap/>
        <w:topLinePunct w:val="0"/>
        <w:bidi w:val="0"/>
        <w:snapToGrid w:val="0"/>
        <w:spacing w:line="360" w:lineRule="auto"/>
        <w:ind w:leftChars="0" w:firstLine="562" w:firstLineChars="200"/>
        <w:rPr>
          <w:rFonts w:hint="eastAsia" w:ascii="仿宋" w:hAnsi="仿宋" w:eastAsia="仿宋"/>
          <w:sz w:val="28"/>
          <w:szCs w:val="28"/>
        </w:rPr>
      </w:pPr>
      <w:r>
        <w:rPr>
          <w:rFonts w:hint="eastAsia" w:ascii="仿宋" w:hAnsi="仿宋" w:eastAsia="仿宋"/>
          <w:b/>
          <w:sz w:val="28"/>
          <w:szCs w:val="28"/>
          <w:lang w:val="en-US" w:eastAsia="zh-CN"/>
        </w:rPr>
        <w:t xml:space="preserve">2. </w:t>
      </w:r>
      <w:r>
        <w:rPr>
          <w:rFonts w:hint="eastAsia" w:ascii="仿宋" w:hAnsi="仿宋" w:eastAsia="仿宋"/>
          <w:sz w:val="28"/>
          <w:szCs w:val="28"/>
        </w:rPr>
        <w:t>投标人所提供的部件之间及设备之间的连线或接插件均视为设备内部部件，应包含在相应的配置中。</w:t>
      </w:r>
    </w:p>
    <w:p w14:paraId="715BA71D">
      <w:pPr>
        <w:pageBreakBefore w:val="0"/>
        <w:numPr>
          <w:ilvl w:val="0"/>
          <w:numId w:val="0"/>
        </w:numPr>
        <w:wordWrap/>
        <w:topLinePunct w:val="0"/>
        <w:bidi w:val="0"/>
        <w:snapToGrid w:val="0"/>
        <w:spacing w:line="360" w:lineRule="auto"/>
        <w:ind w:leftChars="0" w:firstLine="560" w:firstLineChars="200"/>
        <w:rPr>
          <w:rFonts w:ascii="仿宋" w:hAnsi="仿宋" w:eastAsia="仿宋"/>
          <w:sz w:val="28"/>
          <w:szCs w:val="28"/>
        </w:rPr>
      </w:pPr>
      <w:r>
        <w:rPr>
          <w:rFonts w:hint="eastAsia" w:ascii="仿宋" w:hAnsi="仿宋" w:eastAsia="仿宋"/>
          <w:sz w:val="28"/>
          <w:szCs w:val="28"/>
          <w:lang w:val="en-US" w:eastAsia="zh-CN"/>
        </w:rPr>
        <w:t xml:space="preserve">3. </w:t>
      </w:r>
      <w:r>
        <w:rPr>
          <w:rFonts w:hint="eastAsia" w:ascii="仿宋" w:hAnsi="仿宋" w:eastAsia="仿宋"/>
          <w:sz w:val="28"/>
          <w:szCs w:val="28"/>
        </w:rPr>
        <w:t>工作条件：</w:t>
      </w:r>
      <w:r>
        <w:rPr>
          <w:rFonts w:hint="eastAsia" w:ascii="仿宋" w:hAnsi="仿宋" w:eastAsia="仿宋"/>
          <w:bCs/>
          <w:kern w:val="0"/>
          <w:sz w:val="28"/>
          <w:szCs w:val="28"/>
        </w:rPr>
        <w:t>除了在技术规格中另有规定外，投标人提供的一切仪器、设备和系统，应符合下列条件：</w:t>
      </w:r>
    </w:p>
    <w:p w14:paraId="446A27EE">
      <w:pPr>
        <w:pageBreakBefore w:val="0"/>
        <w:numPr>
          <w:ilvl w:val="0"/>
          <w:numId w:val="0"/>
        </w:numPr>
        <w:tabs>
          <w:tab w:val="left" w:pos="735"/>
        </w:tabs>
        <w:wordWrap/>
        <w:topLinePunct w:val="0"/>
        <w:bidi w:val="0"/>
        <w:snapToGrid w:val="0"/>
        <w:spacing w:line="360" w:lineRule="auto"/>
        <w:ind w:firstLine="560" w:firstLineChars="200"/>
        <w:rPr>
          <w:rFonts w:ascii="仿宋" w:hAnsi="仿宋" w:eastAsia="仿宋"/>
          <w:bCs/>
          <w:kern w:val="0"/>
          <w:sz w:val="28"/>
          <w:szCs w:val="28"/>
        </w:rPr>
      </w:pPr>
      <w:r>
        <w:rPr>
          <w:rFonts w:hint="eastAsia" w:ascii="仿宋" w:hAnsi="仿宋" w:eastAsia="仿宋"/>
          <w:sz w:val="28"/>
          <w:szCs w:val="28"/>
          <w:lang w:val="en-US" w:eastAsia="zh-CN"/>
        </w:rPr>
        <w:t xml:space="preserve">3.1 </w:t>
      </w:r>
      <w:r>
        <w:rPr>
          <w:rFonts w:hint="eastAsia" w:ascii="仿宋" w:hAnsi="仿宋" w:eastAsia="仿宋"/>
          <w:sz w:val="28"/>
          <w:szCs w:val="28"/>
        </w:rPr>
        <w:t>仪器设备的插头要符合中国电工标准。如不符合，则应提供适合仪器插头的插座，必须要有接地。</w:t>
      </w:r>
    </w:p>
    <w:p w14:paraId="1F28F25B">
      <w:pPr>
        <w:pageBreakBefore w:val="0"/>
        <w:numPr>
          <w:ilvl w:val="0"/>
          <w:numId w:val="0"/>
        </w:numPr>
        <w:tabs>
          <w:tab w:val="left" w:pos="735"/>
        </w:tabs>
        <w:wordWrap/>
        <w:topLinePunct w:val="0"/>
        <w:bidi w:val="0"/>
        <w:snapToGrid w:val="0"/>
        <w:spacing w:line="360" w:lineRule="auto"/>
        <w:ind w:firstLine="560" w:firstLineChars="200"/>
        <w:rPr>
          <w:rFonts w:ascii="仿宋" w:hAnsi="仿宋" w:eastAsia="仿宋"/>
          <w:bCs/>
          <w:kern w:val="0"/>
          <w:sz w:val="28"/>
          <w:szCs w:val="28"/>
        </w:rPr>
      </w:pPr>
      <w:r>
        <w:rPr>
          <w:rFonts w:hint="eastAsia" w:ascii="仿宋" w:hAnsi="仿宋" w:eastAsia="仿宋"/>
          <w:kern w:val="0"/>
          <w:sz w:val="28"/>
          <w:szCs w:val="28"/>
          <w:lang w:val="en-US" w:eastAsia="zh-CN"/>
        </w:rPr>
        <w:t xml:space="preserve">3.2 </w:t>
      </w:r>
      <w:r>
        <w:rPr>
          <w:rFonts w:hint="eastAsia" w:ascii="仿宋" w:hAnsi="仿宋" w:eastAsia="仿宋"/>
          <w:kern w:val="0"/>
          <w:sz w:val="28"/>
          <w:szCs w:val="28"/>
        </w:rPr>
        <w:t>如果仪器设备需特殊的工作条件（如：水、电源、磁场强度、特殊温度、湿度、震动强度等），投标人应在有关投标文件中加以说明。</w:t>
      </w:r>
    </w:p>
    <w:p w14:paraId="353AD2CB">
      <w:pPr>
        <w:pageBreakBefore w:val="0"/>
        <w:numPr>
          <w:ilvl w:val="0"/>
          <w:numId w:val="0"/>
        </w:numPr>
        <w:tabs>
          <w:tab w:val="left" w:pos="900"/>
        </w:tabs>
        <w:wordWrap/>
        <w:topLinePunct w:val="0"/>
        <w:bidi w:val="0"/>
        <w:snapToGrid w:val="0"/>
        <w:spacing w:line="360" w:lineRule="auto"/>
        <w:ind w:leftChars="0" w:firstLine="560" w:firstLineChars="200"/>
        <w:rPr>
          <w:rFonts w:ascii="仿宋" w:hAnsi="仿宋" w:eastAsia="仿宋"/>
          <w:sz w:val="28"/>
          <w:szCs w:val="28"/>
        </w:rPr>
      </w:pPr>
      <w:r>
        <w:rPr>
          <w:rFonts w:hint="eastAsia" w:ascii="仿宋" w:hAnsi="仿宋" w:eastAsia="仿宋"/>
          <w:sz w:val="28"/>
          <w:szCs w:val="28"/>
          <w:lang w:val="en-US" w:eastAsia="zh-CN"/>
        </w:rPr>
        <w:t xml:space="preserve">4. </w:t>
      </w:r>
      <w:r>
        <w:rPr>
          <w:rFonts w:hint="eastAsia" w:ascii="仿宋" w:hAnsi="仿宋" w:eastAsia="仿宋"/>
          <w:sz w:val="28"/>
          <w:szCs w:val="28"/>
        </w:rPr>
        <w:t>培训要求：培训是指涉及产品基本原理、安装、调试、操作使用和保养维修等有关内容的学习。投标人应保证在采购人指定交货地点对每包（品目）最终用户设备操作人员提供不少于1天的免费培训，直至使用人员熟练掌握。投标人投标时应提供详细的培训方案。培训教员的差旅费、食宿费、培训教材等费用，应计入投标报价。（以各包技术规格中要求为准，如技术规格中无要求，则以本款要求为准。）</w:t>
      </w:r>
    </w:p>
    <w:p w14:paraId="685BBB3A">
      <w:pPr>
        <w:pageBreakBefore w:val="0"/>
        <w:tabs>
          <w:tab w:val="left" w:pos="900"/>
        </w:tabs>
        <w:wordWrap/>
        <w:topLinePunct w:val="0"/>
        <w:bidi w:val="0"/>
        <w:snapToGrid w:val="0"/>
        <w:spacing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rPr>
        <w:t>★5.</w:t>
      </w:r>
      <w:r>
        <w:rPr>
          <w:rFonts w:hint="eastAsia" w:ascii="仿宋" w:hAnsi="仿宋" w:eastAsia="仿宋"/>
          <w:b/>
          <w:sz w:val="28"/>
          <w:szCs w:val="28"/>
          <w:lang w:val="en-US" w:eastAsia="zh-CN"/>
        </w:rPr>
        <w:t xml:space="preserve"> </w:t>
      </w:r>
      <w:r>
        <w:rPr>
          <w:rFonts w:hint="eastAsia" w:ascii="仿宋" w:hAnsi="仿宋" w:eastAsia="仿宋"/>
          <w:b/>
          <w:sz w:val="28"/>
          <w:szCs w:val="28"/>
        </w:rPr>
        <w:t>本项目第1包投标人须承诺：中标</w:t>
      </w:r>
      <w:r>
        <w:rPr>
          <w:rFonts w:hint="eastAsia" w:ascii="仿宋" w:hAnsi="仿宋" w:eastAsia="仿宋"/>
          <w:b/>
          <w:sz w:val="28"/>
          <w:szCs w:val="28"/>
          <w:lang w:val="en-US" w:eastAsia="zh-CN"/>
        </w:rPr>
        <w:t>后免费</w:t>
      </w:r>
      <w:r>
        <w:rPr>
          <w:rFonts w:hint="eastAsia" w:ascii="仿宋" w:hAnsi="仿宋" w:eastAsia="仿宋"/>
          <w:b/>
          <w:sz w:val="28"/>
          <w:szCs w:val="28"/>
        </w:rPr>
        <w:t>负责旧设备拆除，</w:t>
      </w:r>
      <w:r>
        <w:rPr>
          <w:rFonts w:hint="eastAsia" w:ascii="仿宋" w:hAnsi="仿宋" w:eastAsia="仿宋"/>
          <w:b/>
          <w:sz w:val="28"/>
          <w:szCs w:val="28"/>
          <w:lang w:val="en-US" w:eastAsia="zh-CN"/>
        </w:rPr>
        <w:t>免费提供</w:t>
      </w:r>
      <w:r>
        <w:rPr>
          <w:rFonts w:hint="eastAsia" w:ascii="仿宋" w:hAnsi="仿宋" w:eastAsia="仿宋"/>
          <w:b/>
          <w:sz w:val="28"/>
          <w:szCs w:val="28"/>
        </w:rPr>
        <w:t>新设备安装调试及配套使用的线缆等辅材。</w:t>
      </w:r>
      <w:r>
        <w:rPr>
          <w:rFonts w:hint="eastAsia" w:ascii="仿宋" w:hAnsi="仿宋" w:eastAsia="仿宋"/>
          <w:b/>
          <w:sz w:val="28"/>
          <w:szCs w:val="28"/>
          <w:lang w:eastAsia="zh-CN"/>
        </w:rPr>
        <w:t>（</w:t>
      </w:r>
      <w:r>
        <w:rPr>
          <w:rFonts w:hint="eastAsia" w:ascii="仿宋" w:hAnsi="仿宋" w:eastAsia="仿宋"/>
          <w:b/>
          <w:sz w:val="28"/>
          <w:szCs w:val="28"/>
          <w:lang w:val="en-US" w:eastAsia="zh-CN"/>
        </w:rPr>
        <w:t>提供承诺函并加盖公章</w:t>
      </w:r>
      <w:r>
        <w:rPr>
          <w:rFonts w:hint="eastAsia" w:ascii="仿宋" w:hAnsi="仿宋" w:eastAsia="仿宋"/>
          <w:b/>
          <w:sz w:val="28"/>
          <w:szCs w:val="28"/>
          <w:lang w:eastAsia="zh-CN"/>
        </w:rPr>
        <w:t>）</w:t>
      </w:r>
    </w:p>
    <w:p w14:paraId="789C40A0">
      <w:pPr>
        <w:pageBreakBefore w:val="0"/>
        <w:numPr>
          <w:ilvl w:val="0"/>
          <w:numId w:val="0"/>
        </w:numPr>
        <w:tabs>
          <w:tab w:val="left" w:pos="900"/>
        </w:tabs>
        <w:wordWrap/>
        <w:topLinePunct w:val="0"/>
        <w:bidi w:val="0"/>
        <w:snapToGrid w:val="0"/>
        <w:spacing w:line="360" w:lineRule="auto"/>
        <w:ind w:firstLine="562" w:firstLineChars="200"/>
        <w:rPr>
          <w:rFonts w:hint="eastAsia" w:ascii="仿宋" w:hAnsi="仿宋" w:eastAsia="仿宋"/>
          <w:sz w:val="28"/>
          <w:szCs w:val="28"/>
          <w:lang w:val="en-US" w:eastAsia="zh-CN"/>
        </w:rPr>
      </w:pPr>
      <w:r>
        <w:rPr>
          <w:rFonts w:hint="eastAsia" w:ascii="仿宋" w:hAnsi="仿宋" w:eastAsia="仿宋"/>
          <w:b/>
          <w:sz w:val="28"/>
          <w:szCs w:val="28"/>
        </w:rPr>
        <w:t>★</w:t>
      </w:r>
      <w:r>
        <w:rPr>
          <w:rFonts w:hint="eastAsia" w:ascii="仿宋" w:hAnsi="仿宋" w:eastAsia="仿宋"/>
          <w:sz w:val="28"/>
          <w:szCs w:val="28"/>
          <w:lang w:val="en-US" w:eastAsia="zh-CN"/>
        </w:rPr>
        <w:t>6.配套使用要求</w:t>
      </w:r>
    </w:p>
    <w:p w14:paraId="3FCBDB7E">
      <w:pPr>
        <w:pageBreakBefore w:val="0"/>
        <w:numPr>
          <w:ilvl w:val="0"/>
          <w:numId w:val="0"/>
        </w:numPr>
        <w:tabs>
          <w:tab w:val="left" w:pos="900"/>
        </w:tabs>
        <w:wordWrap/>
        <w:topLinePunct w:val="0"/>
        <w:bidi w:val="0"/>
        <w:snapToGrid w:val="0"/>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投标人应承诺，针对本项目所投投标产品应能保证本项目“品目</w:t>
      </w:r>
      <w:r>
        <w:rPr>
          <w:rFonts w:hint="default" w:ascii="仿宋" w:hAnsi="仿宋" w:eastAsia="仿宋"/>
          <w:sz w:val="28"/>
          <w:szCs w:val="28"/>
          <w:lang w:val="en-US" w:eastAsia="zh-CN"/>
        </w:rPr>
        <w:t>1-3卫星调制解调器</w:t>
      </w:r>
      <w:r>
        <w:rPr>
          <w:rFonts w:hint="eastAsia" w:ascii="仿宋" w:hAnsi="仿宋" w:eastAsia="仿宋"/>
          <w:sz w:val="28"/>
          <w:szCs w:val="28"/>
          <w:lang w:val="en-US" w:eastAsia="zh-CN"/>
        </w:rPr>
        <w:t>、品目</w:t>
      </w:r>
      <w:r>
        <w:rPr>
          <w:rFonts w:hint="default" w:ascii="仿宋" w:hAnsi="仿宋" w:eastAsia="仿宋"/>
          <w:sz w:val="28"/>
          <w:szCs w:val="28"/>
          <w:lang w:val="en-US" w:eastAsia="zh-CN"/>
        </w:rPr>
        <w:t>1-4卫星高清视频编解码器</w:t>
      </w:r>
      <w:r>
        <w:rPr>
          <w:rFonts w:hint="eastAsia" w:ascii="仿宋" w:hAnsi="仿宋" w:eastAsia="仿宋"/>
          <w:sz w:val="28"/>
          <w:szCs w:val="28"/>
          <w:lang w:val="en-US" w:eastAsia="zh-CN"/>
        </w:rPr>
        <w:t>、品目</w:t>
      </w:r>
      <w:r>
        <w:rPr>
          <w:rFonts w:hint="default" w:ascii="仿宋" w:hAnsi="仿宋" w:eastAsia="仿宋"/>
          <w:sz w:val="28"/>
          <w:szCs w:val="28"/>
          <w:lang w:val="en-US" w:eastAsia="zh-CN"/>
        </w:rPr>
        <w:t>1-5语音网关</w:t>
      </w:r>
      <w:r>
        <w:rPr>
          <w:rFonts w:hint="eastAsia" w:ascii="仿宋" w:hAnsi="仿宋" w:eastAsia="仿宋"/>
          <w:sz w:val="28"/>
          <w:szCs w:val="28"/>
          <w:lang w:val="en-US" w:eastAsia="zh-CN"/>
        </w:rPr>
        <w:t>、品目</w:t>
      </w:r>
      <w:r>
        <w:rPr>
          <w:rFonts w:hint="default" w:ascii="仿宋" w:hAnsi="仿宋" w:eastAsia="仿宋"/>
          <w:sz w:val="28"/>
          <w:szCs w:val="28"/>
          <w:lang w:val="en-US" w:eastAsia="zh-CN"/>
        </w:rPr>
        <w:t>1-6模块化频谱仪</w:t>
      </w:r>
      <w:r>
        <w:rPr>
          <w:rFonts w:hint="eastAsia" w:ascii="仿宋" w:hAnsi="仿宋" w:eastAsia="仿宋"/>
          <w:sz w:val="28"/>
          <w:szCs w:val="28"/>
          <w:lang w:val="en-US" w:eastAsia="zh-CN"/>
        </w:rPr>
        <w:t>、品目</w:t>
      </w:r>
      <w:r>
        <w:rPr>
          <w:rFonts w:hint="default" w:ascii="仿宋" w:hAnsi="仿宋" w:eastAsia="仿宋"/>
          <w:sz w:val="28"/>
          <w:szCs w:val="28"/>
          <w:lang w:val="en-US" w:eastAsia="zh-CN"/>
        </w:rPr>
        <w:t>1-7卫星功放</w:t>
      </w:r>
      <w:r>
        <w:rPr>
          <w:rFonts w:hint="eastAsia" w:ascii="仿宋" w:hAnsi="仿宋" w:eastAsia="仿宋"/>
          <w:sz w:val="28"/>
          <w:szCs w:val="28"/>
          <w:lang w:val="en-US" w:eastAsia="zh-CN"/>
        </w:rPr>
        <w:t>、品目</w:t>
      </w:r>
      <w:r>
        <w:rPr>
          <w:rFonts w:hint="default" w:ascii="仿宋" w:hAnsi="仿宋" w:eastAsia="仿宋"/>
          <w:sz w:val="28"/>
          <w:szCs w:val="28"/>
          <w:lang w:val="en-US" w:eastAsia="zh-CN"/>
        </w:rPr>
        <w:t>1-8网络传输设备</w:t>
      </w:r>
      <w:r>
        <w:rPr>
          <w:rFonts w:hint="eastAsia" w:ascii="仿宋" w:hAnsi="仿宋" w:eastAsia="仿宋"/>
          <w:sz w:val="28"/>
          <w:szCs w:val="28"/>
          <w:lang w:val="en-US" w:eastAsia="zh-CN"/>
        </w:rPr>
        <w:t>、品目</w:t>
      </w:r>
      <w:r>
        <w:rPr>
          <w:rFonts w:hint="default" w:ascii="仿宋" w:hAnsi="仿宋" w:eastAsia="仿宋"/>
          <w:sz w:val="28"/>
          <w:szCs w:val="28"/>
          <w:lang w:val="en-US" w:eastAsia="zh-CN"/>
        </w:rPr>
        <w:t>1-9</w:t>
      </w:r>
      <w:r>
        <w:rPr>
          <w:rFonts w:hint="default" w:ascii="仿宋" w:hAnsi="仿宋" w:eastAsia="仿宋"/>
          <w:sz w:val="28"/>
          <w:szCs w:val="28"/>
          <w:lang w:val="en-US" w:eastAsia="zh-CN"/>
        </w:rPr>
        <w:tab/>
      </w:r>
      <w:r>
        <w:rPr>
          <w:rFonts w:hint="default" w:ascii="仿宋" w:hAnsi="仿宋" w:eastAsia="仿宋"/>
          <w:sz w:val="28"/>
          <w:szCs w:val="28"/>
          <w:lang w:val="en-US" w:eastAsia="zh-CN"/>
        </w:rPr>
        <w:t>综合业务光传输设备（对）</w:t>
      </w:r>
      <w:r>
        <w:rPr>
          <w:rFonts w:hint="eastAsia" w:ascii="仿宋" w:hAnsi="仿宋" w:eastAsia="仿宋"/>
          <w:sz w:val="28"/>
          <w:szCs w:val="28"/>
          <w:lang w:val="en-US" w:eastAsia="zh-CN"/>
        </w:rPr>
        <w:t>、品目</w:t>
      </w:r>
      <w:r>
        <w:rPr>
          <w:rFonts w:hint="default" w:ascii="仿宋" w:hAnsi="仿宋" w:eastAsia="仿宋"/>
          <w:sz w:val="28"/>
          <w:szCs w:val="28"/>
          <w:lang w:val="en-US" w:eastAsia="zh-CN"/>
        </w:rPr>
        <w:t>1-10控制终端</w:t>
      </w:r>
      <w:r>
        <w:rPr>
          <w:rFonts w:hint="eastAsia" w:ascii="仿宋" w:hAnsi="仿宋" w:eastAsia="仿宋"/>
          <w:sz w:val="28"/>
          <w:szCs w:val="28"/>
          <w:lang w:val="en-US" w:eastAsia="zh-CN"/>
        </w:rPr>
        <w:t>”</w:t>
      </w:r>
      <w:r>
        <w:rPr>
          <w:rFonts w:hint="default" w:ascii="仿宋" w:hAnsi="仿宋" w:eastAsia="仿宋"/>
          <w:sz w:val="28"/>
          <w:szCs w:val="28"/>
          <w:lang w:val="en-US" w:eastAsia="zh-CN"/>
        </w:rPr>
        <w:t>配套使用</w:t>
      </w:r>
      <w:r>
        <w:rPr>
          <w:rFonts w:hint="eastAsia" w:ascii="仿宋" w:hAnsi="仿宋" w:eastAsia="仿宋"/>
          <w:sz w:val="28"/>
          <w:szCs w:val="28"/>
          <w:lang w:val="en-US" w:eastAsia="zh-CN"/>
        </w:rPr>
        <w:t>；“品目</w:t>
      </w:r>
      <w:r>
        <w:rPr>
          <w:rFonts w:hint="default" w:ascii="仿宋" w:hAnsi="仿宋" w:eastAsia="仿宋"/>
          <w:sz w:val="28"/>
          <w:szCs w:val="28"/>
          <w:lang w:val="en-US" w:eastAsia="zh-CN"/>
        </w:rPr>
        <w:t>1-1</w:t>
      </w:r>
      <w:r>
        <w:rPr>
          <w:rFonts w:hint="eastAsia" w:ascii="仿宋" w:hAnsi="仿宋" w:eastAsia="仿宋"/>
          <w:sz w:val="28"/>
          <w:szCs w:val="28"/>
          <w:lang w:val="en-US" w:eastAsia="zh-CN"/>
        </w:rPr>
        <w:t>1</w:t>
      </w:r>
      <w:r>
        <w:rPr>
          <w:rFonts w:hint="default" w:ascii="仿宋" w:hAnsi="仿宋" w:eastAsia="仿宋"/>
          <w:sz w:val="28"/>
          <w:szCs w:val="28"/>
          <w:lang w:val="en-US" w:eastAsia="zh-CN"/>
        </w:rPr>
        <w:t>全自动卫星便携站（卫星便携站购置项目）</w:t>
      </w:r>
      <w:r>
        <w:rPr>
          <w:rFonts w:hint="eastAsia" w:ascii="仿宋" w:hAnsi="仿宋" w:eastAsia="仿宋"/>
          <w:sz w:val="28"/>
          <w:szCs w:val="28"/>
          <w:lang w:val="en-US" w:eastAsia="zh-CN"/>
        </w:rPr>
        <w:t>与品目1-12</w:t>
      </w:r>
      <w:r>
        <w:rPr>
          <w:rFonts w:hint="default" w:ascii="仿宋" w:hAnsi="仿宋" w:eastAsia="仿宋"/>
          <w:sz w:val="28"/>
          <w:szCs w:val="28"/>
          <w:lang w:val="en-US" w:eastAsia="zh-CN"/>
        </w:rPr>
        <w:t>电池</w:t>
      </w:r>
      <w:r>
        <w:rPr>
          <w:rFonts w:hint="eastAsia" w:ascii="仿宋" w:hAnsi="仿宋" w:eastAsia="仿宋"/>
          <w:sz w:val="28"/>
          <w:szCs w:val="28"/>
          <w:lang w:val="en-US" w:eastAsia="zh-CN"/>
        </w:rPr>
        <w:t>1”</w:t>
      </w:r>
      <w:r>
        <w:rPr>
          <w:rFonts w:hint="default" w:ascii="仿宋" w:hAnsi="仿宋" w:eastAsia="仿宋"/>
          <w:sz w:val="28"/>
          <w:szCs w:val="28"/>
          <w:lang w:val="en-US" w:eastAsia="zh-CN"/>
        </w:rPr>
        <w:t>配套使用</w:t>
      </w:r>
      <w:r>
        <w:rPr>
          <w:rFonts w:hint="eastAsia" w:ascii="仿宋" w:hAnsi="仿宋" w:eastAsia="仿宋"/>
          <w:sz w:val="28"/>
          <w:szCs w:val="28"/>
          <w:lang w:val="en-US" w:eastAsia="zh-CN"/>
        </w:rPr>
        <w:t>；“品目1-17 IP交换系统、品目1-18模拟中继网关、品目1-19语音网关”</w:t>
      </w:r>
      <w:r>
        <w:rPr>
          <w:rFonts w:hint="default" w:ascii="仿宋" w:hAnsi="仿宋" w:eastAsia="仿宋"/>
          <w:sz w:val="28"/>
          <w:szCs w:val="28"/>
          <w:lang w:val="en-US" w:eastAsia="zh-CN"/>
        </w:rPr>
        <w:t>配套使用</w:t>
      </w:r>
      <w:r>
        <w:rPr>
          <w:rFonts w:hint="eastAsia" w:ascii="仿宋" w:hAnsi="仿宋" w:eastAsia="仿宋"/>
          <w:sz w:val="28"/>
          <w:szCs w:val="28"/>
          <w:lang w:val="en-US" w:eastAsia="zh-CN"/>
        </w:rPr>
        <w:t>；“品目1-30机房程控交换设备1、品目1-31机房程控交换设备2、品目1-32机房程控交换设备3、品目1-33机房程控交换设备4、品目1-34机房程控交换设备5、1-35机房程控交换设备6”</w:t>
      </w:r>
      <w:r>
        <w:rPr>
          <w:rFonts w:hint="default" w:ascii="仿宋" w:hAnsi="仿宋" w:eastAsia="仿宋"/>
          <w:sz w:val="28"/>
          <w:szCs w:val="28"/>
          <w:lang w:val="en-US" w:eastAsia="zh-CN"/>
        </w:rPr>
        <w:t>配套使用</w:t>
      </w:r>
      <w:r>
        <w:rPr>
          <w:rFonts w:hint="eastAsia" w:ascii="仿宋" w:hAnsi="仿宋" w:eastAsia="仿宋"/>
          <w:sz w:val="28"/>
          <w:szCs w:val="28"/>
          <w:lang w:val="en-US" w:eastAsia="zh-CN"/>
        </w:rPr>
        <w:t>；</w:t>
      </w:r>
      <w:r>
        <w:rPr>
          <w:rFonts w:hint="eastAsia" w:ascii="仿宋" w:hAnsi="仿宋" w:eastAsia="仿宋"/>
          <w:b/>
          <w:bCs/>
          <w:sz w:val="28"/>
          <w:szCs w:val="28"/>
          <w:lang w:val="en-US" w:eastAsia="zh-CN"/>
        </w:rPr>
        <w:t>投标人提供承诺函，承诺函格式自拟并加盖投标人公章。</w:t>
      </w:r>
    </w:p>
    <w:p w14:paraId="4D0081DF">
      <w:pPr>
        <w:pageBreakBefore w:val="0"/>
        <w:numPr>
          <w:ilvl w:val="0"/>
          <w:numId w:val="0"/>
        </w:numPr>
        <w:tabs>
          <w:tab w:val="left" w:pos="900"/>
        </w:tabs>
        <w:wordWrap/>
        <w:topLinePunct w:val="0"/>
        <w:bidi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其他要求（如有）</w:t>
      </w:r>
      <w:r>
        <w:rPr>
          <w:rFonts w:hint="eastAsia" w:ascii="仿宋" w:hAnsi="仿宋" w:eastAsia="仿宋"/>
          <w:sz w:val="28"/>
          <w:szCs w:val="28"/>
          <w:lang w:eastAsia="zh-CN"/>
        </w:rPr>
        <w:t>：</w:t>
      </w:r>
      <w:r>
        <w:rPr>
          <w:rFonts w:hint="eastAsia" w:ascii="仿宋" w:hAnsi="仿宋" w:eastAsia="仿宋"/>
          <w:sz w:val="28"/>
          <w:szCs w:val="28"/>
        </w:rPr>
        <w:t>如果属于政务信息系统项目，其采购需求还应当符合《政务信息系统政府采购管理暂行办法》（财库〔2017〕210号）的相关要求。</w:t>
      </w:r>
    </w:p>
    <w:p w14:paraId="0003819B">
      <w:pPr>
        <w:pStyle w:val="4"/>
        <w:pageBreakBefore w:val="0"/>
        <w:numPr>
          <w:ilvl w:val="-1"/>
          <w:numId w:val="0"/>
        </w:numPr>
        <w:wordWrap/>
        <w:topLinePunct w:val="0"/>
        <w:bidi w:val="0"/>
        <w:snapToGrid w:val="0"/>
        <w:spacing w:line="360" w:lineRule="auto"/>
        <w:contextualSpacing/>
        <w:rPr>
          <w:rFonts w:hint="eastAsia" w:ascii="仿宋" w:hAnsi="仿宋" w:eastAsia="仿宋" w:cs="仿宋"/>
          <w:b w:val="0"/>
          <w:bCs/>
          <w:sz w:val="28"/>
          <w:szCs w:val="28"/>
          <w:lang w:val="en-US" w:eastAsia="zh-CN"/>
        </w:rPr>
      </w:pPr>
      <w:r>
        <w:rPr>
          <w:rFonts w:hint="eastAsia" w:ascii="仿宋" w:hAnsi="仿宋" w:eastAsia="仿宋"/>
          <w:b/>
          <w:sz w:val="28"/>
          <w:szCs w:val="28"/>
        </w:rPr>
        <w:t>七、采购标的需满足的质量、安全、技术规格、物理特性等要求：</w:t>
      </w:r>
    </w:p>
    <w:p w14:paraId="46E67C52">
      <w:pPr>
        <w:pStyle w:val="4"/>
        <w:pageBreakBefore w:val="0"/>
        <w:numPr>
          <w:ilvl w:val="-1"/>
          <w:numId w:val="0"/>
        </w:numPr>
        <w:wordWrap/>
        <w:topLinePunct w:val="0"/>
        <w:bidi w:val="0"/>
        <w:snapToGrid w:val="0"/>
        <w:spacing w:line="360" w:lineRule="auto"/>
        <w:ind w:firstLine="560" w:firstLineChars="200"/>
        <w:contextualSpacing/>
        <w:rPr>
          <w:rFonts w:hint="eastAsia" w:ascii="仿宋" w:hAnsi="仿宋" w:eastAsia="仿宋" w:cs="仿宋"/>
          <w:b w:val="0"/>
          <w:bCs/>
          <w:sz w:val="28"/>
          <w:szCs w:val="28"/>
          <w:lang w:val="en-US" w:eastAsia="zh-CN"/>
        </w:rPr>
      </w:pPr>
    </w:p>
    <w:p w14:paraId="4A9F2BFD">
      <w:pPr>
        <w:pageBreakBefore w:val="0"/>
        <w:wordWrap/>
        <w:topLinePunct w:val="0"/>
        <w:bidi w:val="0"/>
        <w:snapToGrid w:val="0"/>
        <w:spacing w:line="36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br w:type="page"/>
      </w:r>
    </w:p>
    <w:tbl>
      <w:tblPr>
        <w:tblStyle w:val="2"/>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6"/>
        <w:gridCol w:w="883"/>
        <w:gridCol w:w="645"/>
        <w:gridCol w:w="450"/>
        <w:gridCol w:w="5748"/>
      </w:tblGrid>
      <w:tr w14:paraId="7CA6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trPr>
        <w:tc>
          <w:tcPr>
            <w:tcW w:w="816" w:type="dxa"/>
            <w:shd w:val="clear" w:color="auto" w:fill="auto"/>
            <w:noWrap/>
            <w:vAlign w:val="center"/>
          </w:tcPr>
          <w:p w14:paraId="650E8AE0">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品目号</w:t>
            </w:r>
          </w:p>
        </w:tc>
        <w:tc>
          <w:tcPr>
            <w:tcW w:w="883" w:type="dxa"/>
            <w:shd w:val="clear" w:color="auto" w:fill="auto"/>
            <w:noWrap/>
            <w:vAlign w:val="center"/>
          </w:tcPr>
          <w:p w14:paraId="04EEC11D">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名称</w:t>
            </w:r>
          </w:p>
        </w:tc>
        <w:tc>
          <w:tcPr>
            <w:tcW w:w="645" w:type="dxa"/>
            <w:shd w:val="clear" w:color="auto" w:fill="auto"/>
            <w:noWrap/>
            <w:vAlign w:val="center"/>
          </w:tcPr>
          <w:p w14:paraId="05B45AF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数量</w:t>
            </w:r>
          </w:p>
        </w:tc>
        <w:tc>
          <w:tcPr>
            <w:tcW w:w="450" w:type="dxa"/>
            <w:shd w:val="clear" w:color="auto" w:fill="auto"/>
            <w:noWrap/>
            <w:vAlign w:val="center"/>
          </w:tcPr>
          <w:p w14:paraId="04F1AF0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5748" w:type="dxa"/>
            <w:shd w:val="clear" w:color="auto" w:fill="auto"/>
            <w:noWrap/>
            <w:vAlign w:val="center"/>
          </w:tcPr>
          <w:p w14:paraId="2DAA88CE">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参数</w:t>
            </w:r>
          </w:p>
        </w:tc>
      </w:tr>
      <w:tr w14:paraId="6484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12" w:hRule="atLeast"/>
        </w:trPr>
        <w:tc>
          <w:tcPr>
            <w:tcW w:w="816" w:type="dxa"/>
            <w:shd w:val="clear" w:color="auto" w:fill="auto"/>
            <w:vAlign w:val="center"/>
          </w:tcPr>
          <w:p w14:paraId="42CF7FA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883" w:type="dxa"/>
            <w:shd w:val="clear" w:color="auto" w:fill="auto"/>
            <w:vAlign w:val="center"/>
          </w:tcPr>
          <w:p w14:paraId="377E8E2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条码扫描仪</w:t>
            </w:r>
          </w:p>
        </w:tc>
        <w:tc>
          <w:tcPr>
            <w:tcW w:w="645" w:type="dxa"/>
            <w:shd w:val="clear" w:color="auto" w:fill="auto"/>
            <w:vAlign w:val="center"/>
          </w:tcPr>
          <w:p w14:paraId="3C9E6D3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450" w:type="dxa"/>
            <w:shd w:val="clear" w:color="auto" w:fill="auto"/>
            <w:vAlign w:val="center"/>
          </w:tcPr>
          <w:p w14:paraId="45FC869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219D6F12">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1.光学系统：COMS；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#2.分辨率：≥1280*720P；</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3.识读码制：</w:t>
            </w:r>
          </w:p>
          <w:p w14:paraId="681656A5">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3.1 一维：Codabar、Code11、Code128、ISBT128、Code32、Code39、TLC39等；</w:t>
            </w:r>
          </w:p>
          <w:p w14:paraId="3C484E8A">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3.2 二维：QR Code、PDF417、Dot Code等；</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4.传输方式：仅支持有线传输，支持盘点存储模式；</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5.存储容量：≥350KB（EAN13码可存储2万条以上）；</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6.识读景读：</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6.1 EAN13:90-150mm(3.34mil 13字节）</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6.2 EAN13:40-450mm(13mil 13字节）</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6.3 Code39:70-240mm（5mil 7字节）</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6.4 QR Code：75-140mm（5mil 30字节）</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6.5 QR Code：45-290mm（10mil 30字节）</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6.6 Data Marix:30-480mm(10mil 30字节）</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6.7 PDF 417:65-210mm（5mil 30字节）</w:t>
            </w:r>
          </w:p>
          <w:p w14:paraId="04CE20A9">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★7.应用对接：应与现用装备管理系统配合使用（提供承诺函，并加盖投标人公章）；</w:t>
            </w:r>
          </w:p>
        </w:tc>
      </w:tr>
      <w:tr w14:paraId="37E2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8" w:hRule="atLeast"/>
        </w:trPr>
        <w:tc>
          <w:tcPr>
            <w:tcW w:w="816" w:type="dxa"/>
            <w:shd w:val="clear" w:color="auto" w:fill="auto"/>
            <w:vAlign w:val="center"/>
          </w:tcPr>
          <w:p w14:paraId="3B46886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83" w:type="dxa"/>
            <w:shd w:val="clear" w:color="auto" w:fill="auto"/>
            <w:vAlign w:val="center"/>
          </w:tcPr>
          <w:p w14:paraId="78677BB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交换机</w:t>
            </w:r>
          </w:p>
        </w:tc>
        <w:tc>
          <w:tcPr>
            <w:tcW w:w="645" w:type="dxa"/>
            <w:shd w:val="clear" w:color="auto" w:fill="auto"/>
            <w:vAlign w:val="center"/>
          </w:tcPr>
          <w:p w14:paraId="12E89EC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50" w:type="dxa"/>
            <w:shd w:val="clear" w:color="auto" w:fill="auto"/>
            <w:vAlign w:val="center"/>
          </w:tcPr>
          <w:p w14:paraId="69EEB71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6BC8FEE0">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1.工作温度：0°C-40°C</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2.工作湿度：10%-90%(非冷凝)</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3.存储温度：5%-90%(非冷凝)</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4.存储湿度：-40°C-70°C</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5.安装方式：机架式</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6.供电方式：100～240 VAC，50/60 Hz</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7.具备散热功能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8.端口规格：≥24个千兆PoE电口，≥2个千兆光口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9.交换方式：存储转发</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10.PoE标准：IEEE 802.3af、IEEE 802.3at</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11.交换容量：≥52Gbps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12.包转发率：≥38.688 Mpps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13.MAC地址容量：≥8K</w:t>
            </w:r>
          </w:p>
        </w:tc>
      </w:tr>
      <w:tr w14:paraId="57F9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6" w:hRule="atLeast"/>
        </w:trPr>
        <w:tc>
          <w:tcPr>
            <w:tcW w:w="816" w:type="dxa"/>
            <w:shd w:val="clear" w:color="auto" w:fill="auto"/>
            <w:vAlign w:val="center"/>
          </w:tcPr>
          <w:p w14:paraId="504FF63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883" w:type="dxa"/>
            <w:shd w:val="clear" w:color="auto" w:fill="auto"/>
            <w:vAlign w:val="center"/>
          </w:tcPr>
          <w:p w14:paraId="4CE08CF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卫星调制解调器</w:t>
            </w:r>
          </w:p>
        </w:tc>
        <w:tc>
          <w:tcPr>
            <w:tcW w:w="645" w:type="dxa"/>
            <w:shd w:val="clear" w:color="auto" w:fill="auto"/>
            <w:vAlign w:val="center"/>
          </w:tcPr>
          <w:p w14:paraId="0AC602F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50" w:type="dxa"/>
            <w:shd w:val="clear" w:color="auto" w:fill="auto"/>
            <w:vAlign w:val="center"/>
          </w:tcPr>
          <w:p w14:paraId="42B658E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61EFCA2E">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★1.与现用卫星通信系统兼容，实现互联互通（现用设备：Comtech CMD-570L）；（提供承诺函，并加盖投标人公章）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2.调制方式：BPSK、QPSK、OQPSK；</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3.数据速率：4.8Kbps～5Mbps ；</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4.前向纠错：TPC；支持3/4、7/8编码速率；</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5.支持组合工作模式；</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6.室内工作温度：0℃～55℃；</w:t>
            </w:r>
          </w:p>
        </w:tc>
      </w:tr>
      <w:tr w14:paraId="5DEF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816" w:type="dxa"/>
            <w:shd w:val="clear" w:color="auto" w:fill="auto"/>
            <w:vAlign w:val="center"/>
          </w:tcPr>
          <w:p w14:paraId="07E623B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883" w:type="dxa"/>
            <w:shd w:val="clear" w:color="auto" w:fill="auto"/>
            <w:vAlign w:val="center"/>
          </w:tcPr>
          <w:p w14:paraId="78309B4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卫星高清视频编解码器</w:t>
            </w:r>
          </w:p>
        </w:tc>
        <w:tc>
          <w:tcPr>
            <w:tcW w:w="645" w:type="dxa"/>
            <w:shd w:val="clear" w:color="auto" w:fill="auto"/>
            <w:vAlign w:val="center"/>
          </w:tcPr>
          <w:p w14:paraId="2F571FB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50" w:type="dxa"/>
            <w:shd w:val="clear" w:color="auto" w:fill="auto"/>
            <w:vAlign w:val="center"/>
          </w:tcPr>
          <w:p w14:paraId="5E352A6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05CF24BF">
            <w:pPr>
              <w:keepNext w:val="0"/>
              <w:keepLines w:val="0"/>
              <w:widowControl/>
              <w:numPr>
                <w:ilvl w:val="0"/>
                <w:numId w:val="1"/>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视频编码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1.1 ≥1路视频编码；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 支持H.264/H.265编码格式实时切换；</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 视频编码标准：H.265、H.264；</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1.4 编码分辨率：1920×1080、1280×720、720×576；</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1.5 视频输入接口：≥1个CVBS输入接口，≥1个SDI输入接口，≥1个DVI输入接口。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2.音频编码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2.1 ≥1路音频编码；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2.2 支持G.711、G.729A等标准；</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2.3 音频编码输入接口：模拟非平衡有源，立体声。</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3.视频解码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3.1 ≥1路视频解码；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3.2 视频解码标准：H.265/H.264解码自适应；</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3.3 编码分辨率：≥1920×1080，向下兼容；</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3.4 视频输出接口：≥1个CVBS输出接口，≥1个HD-SDI接口，≥1个DVI输出接口。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4.音频解码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4.1 ≥1路音频解码；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4.2 支持G.711、G.729等标准；</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4.3 音频解码输出接口：模拟非平衡有源，立体声。</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5.码流传输</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5.1 TS over IP；</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5.2 网络接口10/100/1000BASE-T：≥1个；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5.3 同步V.35传输接口。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6.系统管理</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液晶/按键、Web等多种控制管理方式；</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控制接口：RS232接口；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支持字幕叠加功能；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#7.接地和连接保护措施：满足GB 4943.1-2011 《信息技术设备安全第1部分：通用要求》的要求；（需提供产品说明书或产品彩页或技术白皮书等证明材料复印件，加盖投标人公章）；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#8.低温：满足GB/T 2423.1-2008 《电工电子产品环境试验 第2部分：试验方法 试验A：低温》的要求，低温-55℃；（需提供产品说明书或产品彩页或技术白皮书等证明材料复印件，加盖投标人公章）；</w:t>
            </w:r>
          </w:p>
          <w:p w14:paraId="608CD9BB">
            <w:pPr>
              <w:keepNext w:val="0"/>
              <w:keepLines w:val="0"/>
              <w:widowControl/>
              <w:numPr>
                <w:ilvl w:val="-1"/>
                <w:numId w:val="0"/>
              </w:numPr>
              <w:suppressLineNumbers w:val="0"/>
              <w:jc w:val="left"/>
              <w:textAlignment w:val="center"/>
              <w:rPr>
                <w:rFonts w:hint="eastAsia" w:ascii="仿宋" w:hAnsi="仿宋" w:eastAsia="仿宋" w:cs="仿宋"/>
                <w:i w:val="0"/>
                <w:iCs w:val="0"/>
                <w:color w:val="000000"/>
                <w:sz w:val="28"/>
                <w:szCs w:val="28"/>
                <w:u w:val="none"/>
                <w:lang w:val="en-US"/>
              </w:rPr>
            </w:pPr>
            <w:r>
              <w:rPr>
                <w:rStyle w:val="6"/>
                <w:rFonts w:hint="eastAsia" w:ascii="仿宋" w:hAnsi="仿宋" w:eastAsia="仿宋" w:cs="仿宋"/>
                <w:sz w:val="28"/>
                <w:szCs w:val="28"/>
                <w:u w:val="none"/>
                <w:lang w:val="en-US" w:eastAsia="zh-CN" w:bidi="ar"/>
              </w:rPr>
              <w:t>#9.高温：满足GB/T 2423.2-2008 《电工电子产品环境试验 第2部分：试验方法 试验B：高温》的要求，高温75℃；（需提供产品说明书或产品彩页或技术白皮书等证明材料复印件，加盖投标人公章）；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#10.冲击：满足GB/T 2423.5-2019 《环境试验 第2部分：试验方法 试验Ea和导则：冲击》的要求；（需提供产品说明书或产品彩页或技术白皮书等证明材料复印件，加盖投标人公章）；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#11.振动：满足GB/T 2423.10-2019 《环境试验 第2部分：试验方法 试验Fc：振动（正弦）》的要求；（需提供产品说明书或产品彩页或技术白皮书等证明材料复印件，加盖投标人公章）；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★12.与现用卫星通信系统所用编解码器兼容，实现互联互通（现用设备：数码视讯 9550B）；提供承诺函，并加盖投标人公章。</w:t>
            </w:r>
          </w:p>
        </w:tc>
      </w:tr>
      <w:tr w14:paraId="15D7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6" w:type="dxa"/>
            <w:shd w:val="clear" w:color="auto" w:fill="auto"/>
            <w:vAlign w:val="center"/>
          </w:tcPr>
          <w:p w14:paraId="6D64E69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83" w:type="dxa"/>
            <w:shd w:val="clear" w:color="auto" w:fill="auto"/>
            <w:vAlign w:val="center"/>
          </w:tcPr>
          <w:p w14:paraId="1D4FC2D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语音网关</w:t>
            </w:r>
          </w:p>
        </w:tc>
        <w:tc>
          <w:tcPr>
            <w:tcW w:w="645" w:type="dxa"/>
            <w:shd w:val="clear" w:color="auto" w:fill="auto"/>
            <w:vAlign w:val="center"/>
          </w:tcPr>
          <w:p w14:paraId="2370B99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50" w:type="dxa"/>
            <w:shd w:val="clear" w:color="auto" w:fill="auto"/>
            <w:vAlign w:val="center"/>
          </w:tcPr>
          <w:p w14:paraId="7316F40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09305EC8">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#1.提供10/100M以太网上连接口≥1个，下连接口≥1个；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2.话音接口：2FXS/2FXO；</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3.支持SIP等IP协议。</w:t>
            </w:r>
          </w:p>
        </w:tc>
      </w:tr>
      <w:tr w14:paraId="6EED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46" w:hRule="atLeast"/>
        </w:trPr>
        <w:tc>
          <w:tcPr>
            <w:tcW w:w="816" w:type="dxa"/>
            <w:shd w:val="clear" w:color="auto" w:fill="auto"/>
            <w:vAlign w:val="center"/>
          </w:tcPr>
          <w:p w14:paraId="334D28E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883" w:type="dxa"/>
            <w:shd w:val="clear" w:color="auto" w:fill="auto"/>
            <w:vAlign w:val="center"/>
          </w:tcPr>
          <w:p w14:paraId="5BD8B86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模块化频谱仪</w:t>
            </w:r>
          </w:p>
        </w:tc>
        <w:tc>
          <w:tcPr>
            <w:tcW w:w="645" w:type="dxa"/>
            <w:shd w:val="clear" w:color="auto" w:fill="auto"/>
            <w:vAlign w:val="center"/>
          </w:tcPr>
          <w:p w14:paraId="65588DD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73145C5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3EC50B43">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1.频率范围：950MHz～1750MHz；</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2.扫频宽度：1MHz～50MHz ；</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 xml:space="preserve">3.调谐步长：50Hz～1MHz； </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4.输入信号范围：-80dBm～-25dBm；</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5.频率响应：±1.5dB；</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#6.噪声电平：≤-135dBm；</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7.输入端口驻波比：&lt;2.0：1；</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8.控制：采用中控系统控制PAD终端监看频谱状态；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9.输入接头：阻抗50Ω；</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10.支持手机和笔记本等无线终端控制能力。</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#11.具有模块化网络频谱管理系统自主知识产权（需提供国家专利或相关著作权证明复印件，并加盖投标人公章）；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#12.产品需通过高低温试验（高温75℃，低温-55℃）（需提供产品说明书或产品彩页或技术白皮书等证明材料复印件，加盖投标人公章）；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#13.产品需通过电磁兼容试验（需提供产品说明书或产品彩页或技术白皮书等证明材料复印件，加盖投标人公章）；</w:t>
            </w:r>
          </w:p>
        </w:tc>
      </w:tr>
      <w:tr w14:paraId="0F49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8" w:hRule="atLeast"/>
        </w:trPr>
        <w:tc>
          <w:tcPr>
            <w:tcW w:w="816" w:type="dxa"/>
            <w:shd w:val="clear" w:color="auto" w:fill="auto"/>
            <w:vAlign w:val="center"/>
          </w:tcPr>
          <w:p w14:paraId="73C2216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883" w:type="dxa"/>
            <w:shd w:val="clear" w:color="auto" w:fill="auto"/>
            <w:vAlign w:val="center"/>
          </w:tcPr>
          <w:p w14:paraId="1378DFE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卫星功放</w:t>
            </w:r>
          </w:p>
        </w:tc>
        <w:tc>
          <w:tcPr>
            <w:tcW w:w="645" w:type="dxa"/>
            <w:shd w:val="clear" w:color="auto" w:fill="auto"/>
            <w:vAlign w:val="center"/>
          </w:tcPr>
          <w:p w14:paraId="6384DD5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50" w:type="dxa"/>
            <w:shd w:val="clear" w:color="auto" w:fill="auto"/>
            <w:vAlign w:val="center"/>
          </w:tcPr>
          <w:p w14:paraId="5BE51A7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40C60ED8">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1.输出频率范围：14～14.5GHz</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2.输入频率范围：950～1450MHz</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3.输出功率（P1dB）：≥+46dBm</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4.增益：≥70dB</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5.增益平坦度：±1.5dB（500MHz）/±0.6dB（500MHz）</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6.增益稳定度：±1 dB</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7.增益调整范围：20dB（1dB步进）</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8.三阶交调：≤-25dBc@P1dB回退3dB</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9.工作温度：-40～60℃</w:t>
            </w:r>
          </w:p>
        </w:tc>
      </w:tr>
      <w:tr w14:paraId="3127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1" w:hRule="atLeast"/>
        </w:trPr>
        <w:tc>
          <w:tcPr>
            <w:tcW w:w="816" w:type="dxa"/>
            <w:shd w:val="clear" w:color="auto" w:fill="auto"/>
            <w:vAlign w:val="center"/>
          </w:tcPr>
          <w:p w14:paraId="5C77588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883" w:type="dxa"/>
            <w:shd w:val="clear" w:color="auto" w:fill="auto"/>
            <w:vAlign w:val="center"/>
          </w:tcPr>
          <w:p w14:paraId="2077467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网络传输设备</w:t>
            </w:r>
          </w:p>
        </w:tc>
        <w:tc>
          <w:tcPr>
            <w:tcW w:w="645" w:type="dxa"/>
            <w:shd w:val="clear" w:color="auto" w:fill="auto"/>
            <w:vAlign w:val="center"/>
          </w:tcPr>
          <w:p w14:paraId="5597E9A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50" w:type="dxa"/>
            <w:shd w:val="clear" w:color="auto" w:fill="auto"/>
            <w:vAlign w:val="center"/>
          </w:tcPr>
          <w:p w14:paraId="6E18A3B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3A88296C">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#1.≥24个10/100/1000Base-TX以太网端口，≥4个千兆SFP；</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2.IP路由：支持IPv4和IPv6的三层路由功能；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3.支持组播：支持IGMPSnoopingv1/v2/v3，MLDSnooping支持组播VLAN；</w:t>
            </w:r>
          </w:p>
        </w:tc>
      </w:tr>
      <w:tr w14:paraId="6BF5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16" w:type="dxa"/>
            <w:shd w:val="clear" w:color="auto" w:fill="auto"/>
            <w:vAlign w:val="center"/>
          </w:tcPr>
          <w:p w14:paraId="7105F23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883" w:type="dxa"/>
            <w:shd w:val="clear" w:color="auto" w:fill="auto"/>
            <w:vAlign w:val="center"/>
          </w:tcPr>
          <w:p w14:paraId="09A212E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综合业务光传输设备（对）</w:t>
            </w:r>
          </w:p>
        </w:tc>
        <w:tc>
          <w:tcPr>
            <w:tcW w:w="645" w:type="dxa"/>
            <w:shd w:val="clear" w:color="auto" w:fill="auto"/>
            <w:vAlign w:val="center"/>
          </w:tcPr>
          <w:p w14:paraId="4635E81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6160433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48" w:type="dxa"/>
            <w:shd w:val="clear" w:color="auto" w:fill="auto"/>
            <w:vAlign w:val="center"/>
          </w:tcPr>
          <w:p w14:paraId="7AAC0B6B">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1.单芯单模ST接口：</w:t>
            </w:r>
          </w:p>
          <w:p w14:paraId="07D59643">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1.1 传输距离≥80KM；</w:t>
            </w:r>
          </w:p>
          <w:p w14:paraId="14160C89">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1.2 波长：1550nm</w:t>
            </w:r>
          </w:p>
          <w:p w14:paraId="79E7B4E4">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#1.3 发送功率：≥－5dBm</w:t>
            </w:r>
          </w:p>
          <w:p w14:paraId="11E1A891">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1.4 接收灵敏度：≤-25dBm（误码率：≤10</w:t>
            </w:r>
            <w:r>
              <w:rPr>
                <w:rStyle w:val="6"/>
                <w:rFonts w:hint="eastAsia" w:ascii="仿宋" w:hAnsi="仿宋" w:eastAsia="仿宋" w:cs="仿宋"/>
                <w:sz w:val="28"/>
                <w:szCs w:val="28"/>
                <w:u w:val="none"/>
                <w:vertAlign w:val="superscript"/>
                <w:lang w:val="en-US" w:eastAsia="zh-CN" w:bidi="ar"/>
              </w:rPr>
              <w:t>-11</w:t>
            </w:r>
            <w:r>
              <w:rPr>
                <w:rStyle w:val="6"/>
                <w:rFonts w:hint="eastAsia" w:ascii="仿宋" w:hAnsi="仿宋" w:eastAsia="仿宋" w:cs="仿宋"/>
                <w:sz w:val="28"/>
                <w:szCs w:val="28"/>
                <w:u w:val="none"/>
                <w:lang w:val="en-US" w:eastAsia="zh-CN" w:bidi="ar"/>
              </w:rPr>
              <w:t>）</w:t>
            </w:r>
          </w:p>
          <w:p w14:paraId="066B67F1">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1.5 接口方式：FC\单纤；</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 ≥8路千兆网络：</w:t>
            </w:r>
          </w:p>
          <w:p w14:paraId="462E936B">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2.1 支持线速10Base-T/100Base-T/1000Base-T,</w:t>
            </w:r>
          </w:p>
          <w:p w14:paraId="6D6E6B65">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2.2 全双工/半双工，自适应，</w:t>
            </w:r>
          </w:p>
          <w:p w14:paraId="66693E9B">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2.3 符合IEEE802.3/IEEE802.3u标准，</w:t>
            </w:r>
          </w:p>
          <w:p w14:paraId="49D20B36">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2.4 使用标准RJ45插头；</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 ≥4路电话</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 ≥4路RS-232接口</w:t>
            </w:r>
          </w:p>
          <w:p w14:paraId="07B5D55F">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4.1 方向：双向、正向、反向；</w:t>
            </w:r>
          </w:p>
          <w:p w14:paraId="63D9A572">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4.2 带宽:≥180Kbps；</w:t>
            </w:r>
          </w:p>
          <w:p w14:paraId="38BC7127">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4.3 标准: RS-232/RS-422/RS-485；</w:t>
            </w:r>
          </w:p>
          <w:p w14:paraId="4946BF0D">
            <w:pPr>
              <w:keepNext w:val="0"/>
              <w:keepLines w:val="0"/>
              <w:widowControl/>
              <w:numPr>
                <w:ilvl w:val="-1"/>
                <w:numId w:val="0"/>
              </w:numPr>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4.4 误码率：≤10</w:t>
            </w:r>
            <w:r>
              <w:rPr>
                <w:rStyle w:val="6"/>
                <w:rFonts w:hint="eastAsia" w:ascii="仿宋" w:hAnsi="仿宋" w:eastAsia="仿宋" w:cs="仿宋"/>
                <w:sz w:val="28"/>
                <w:szCs w:val="28"/>
                <w:u w:val="none"/>
                <w:vertAlign w:val="superscript"/>
                <w:lang w:val="en-US" w:eastAsia="zh-CN" w:bidi="ar"/>
              </w:rPr>
              <w:t>-9</w:t>
            </w:r>
            <w:r>
              <w:rPr>
                <w:rStyle w:val="6"/>
                <w:rFonts w:hint="eastAsia" w:ascii="仿宋" w:hAnsi="仿宋" w:eastAsia="仿宋" w:cs="仿宋"/>
                <w:sz w:val="28"/>
                <w:szCs w:val="28"/>
                <w:u w:val="none"/>
                <w:lang w:val="en-US" w:eastAsia="zh-CN" w:bidi="ar"/>
              </w:rPr>
              <w:t>；</w:t>
            </w:r>
          </w:p>
        </w:tc>
      </w:tr>
      <w:tr w14:paraId="002B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8" w:hRule="atLeast"/>
        </w:trPr>
        <w:tc>
          <w:tcPr>
            <w:tcW w:w="816" w:type="dxa"/>
            <w:shd w:val="clear" w:color="auto" w:fill="auto"/>
            <w:vAlign w:val="center"/>
          </w:tcPr>
          <w:p w14:paraId="5FEAD6D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883" w:type="dxa"/>
            <w:shd w:val="clear" w:color="auto" w:fill="auto"/>
            <w:vAlign w:val="center"/>
          </w:tcPr>
          <w:p w14:paraId="70855D0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控制终端</w:t>
            </w:r>
          </w:p>
        </w:tc>
        <w:tc>
          <w:tcPr>
            <w:tcW w:w="645" w:type="dxa"/>
            <w:shd w:val="clear" w:color="auto" w:fill="auto"/>
            <w:vAlign w:val="center"/>
          </w:tcPr>
          <w:p w14:paraId="33AC96C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50" w:type="dxa"/>
            <w:shd w:val="clear" w:color="auto" w:fill="auto"/>
            <w:vAlign w:val="center"/>
          </w:tcPr>
          <w:p w14:paraId="66FCC3C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67A387CB">
            <w:pPr>
              <w:keepNext w:val="0"/>
              <w:keepLines w:val="0"/>
              <w:widowControl/>
              <w:numPr>
                <w:ilvl w:val="-1"/>
                <w:numId w:val="0"/>
              </w:numPr>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#1.定制控制终端，用于控制卫星调制解调器序号3、卫星高清视频编解码器序号4、模块化频谱仪序号6、卫星功放设备序号7。</w:t>
            </w:r>
          </w:p>
          <w:p w14:paraId="200393E8">
            <w:pPr>
              <w:keepNext w:val="0"/>
              <w:keepLines w:val="0"/>
              <w:widowControl/>
              <w:numPr>
                <w:ilvl w:val="-1"/>
                <w:numId w:val="0"/>
              </w:numPr>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2.对卫星发射频率、带宽、功率、极化、接收等参数，视频编解码格式、码流等参数，卫星频谱显示等参数进行设置调整，控制功放的发射关闭。</w:t>
            </w:r>
          </w:p>
        </w:tc>
      </w:tr>
      <w:tr w14:paraId="095E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816" w:type="dxa"/>
            <w:shd w:val="clear" w:color="auto" w:fill="auto"/>
            <w:vAlign w:val="center"/>
          </w:tcPr>
          <w:p w14:paraId="1515429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883" w:type="dxa"/>
            <w:shd w:val="clear" w:color="auto" w:fill="auto"/>
            <w:vAlign w:val="center"/>
          </w:tcPr>
          <w:p w14:paraId="654480E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全自动卫星便携站（卫星便携站购置项目）</w:t>
            </w:r>
          </w:p>
        </w:tc>
        <w:tc>
          <w:tcPr>
            <w:tcW w:w="645" w:type="dxa"/>
            <w:shd w:val="clear" w:color="auto" w:fill="auto"/>
            <w:vAlign w:val="center"/>
          </w:tcPr>
          <w:p w14:paraId="42E322D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659E58A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6E871CC7">
            <w:pPr>
              <w:keepNext w:val="0"/>
              <w:keepLines w:val="0"/>
              <w:widowControl/>
              <w:suppressLineNumbers w:val="0"/>
              <w:jc w:val="left"/>
              <w:textAlignment w:val="center"/>
              <w:rPr>
                <w:rFonts w:hint="eastAsia" w:ascii="仿宋" w:hAnsi="仿宋" w:eastAsia="仿宋" w:cs="仿宋"/>
                <w:sz w:val="28"/>
                <w:szCs w:val="28"/>
                <w:u w:val="none"/>
              </w:rPr>
            </w:pPr>
            <w:r>
              <w:rPr>
                <w:rStyle w:val="6"/>
                <w:rFonts w:hint="eastAsia" w:ascii="仿宋" w:hAnsi="仿宋" w:eastAsia="仿宋" w:cs="仿宋"/>
                <w:sz w:val="28"/>
                <w:szCs w:val="28"/>
                <w:u w:val="none"/>
                <w:lang w:val="en-US" w:eastAsia="zh-CN" w:bidi="ar"/>
              </w:rPr>
              <w:t>#1. 天线形态：平板天线。（需提供产品说明书或产品彩页或技术白皮书等证明材料复印件，加盖投标人公章）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#2.等效口径：≤0.6米。（需提供产品说明书或产品彩页或技术白皮书等证明材料复印件，加盖投标人公章）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#3.重量:≤12.0Kg。（需提供产品说明书或产品彩页或技术白皮书等证明材料复印件，加盖投标人公章）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4.一体化集成卫星天线、功放/LNB、Modem、WiFi等系统。</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#5.整站开通时间：≤3分钟，（需提供产品说明书或产品彩页或技术白皮书等证明材料复印件，加盖投标人公章）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6.工作频率：发射13.75GHz-14.5GHz, 接收10.7GHz-12.75GHz。</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#7.调整方式：自动对星（俯仰、方位、极化自动调整），支持手动调节方位、俯仰和极化。（需提供产品说明书或产品彩页或技术白皮书等证明材料复印件，加盖投标人公章）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对星方式：一键自动对星，内置信标机；内置简单频谱仪，可查看载波和信标状态；内置方位俯仰极化传感器，能实时显示卫星站理论角度和实际角度信息。（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9.通信能力：支持卫星通信、WiFi 通信。</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10.姿势保持：设备断电（设备含自动支架），天线面能够姿态保持。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11.定位：支持北斗定位</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#12.天线增益：发射增益≥35dBi, 接收增益≥34.5dB。（需提供产品说明书或产品彩页或技术白皮书等证明材料复印件，加盖投标人公章）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13.极化方式：线极化；</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#14.极化隔离度：≥30dB (在轴)。（需提供产品说明书或产品彩页或技术白皮书等证明材料复印件，加盖投标人公章）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#15.射频输出功率：≥42dBm。（需提供产品说明书或产品彩页或技术白皮书等证明材料复印件，加盖投标人公章）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16.调制解调方式：BPSK、QPSK、8PSK、16APSK。</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#17.数据速率：上行≥5MHz，下行≥10MHz。（需提供产品说明书或产品彩页或技术白皮书等证明材料复印件，加盖投标人公章）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18.工作温度：-40℃～+55℃</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19.防护等级：≥IP65</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20.尺寸：≤590mm×380mm×60mm</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21.控制方式：面板、Web 网页。</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22.外接供电：220V交流电源适配器</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23.续航时间：内置电池≥175WH,续航时间≥2小时</w:t>
            </w:r>
          </w:p>
          <w:p w14:paraId="0E99E5FE">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24.内置电池模块（可拆卸）</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#25.支持接入亚太6D高通量卫星网（提供工信部颁发的设备入网许可证复印件，并加盖公章）</w:t>
            </w:r>
          </w:p>
        </w:tc>
      </w:tr>
      <w:tr w14:paraId="55C1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816" w:type="dxa"/>
            <w:shd w:val="clear" w:color="auto" w:fill="auto"/>
            <w:vAlign w:val="center"/>
          </w:tcPr>
          <w:p w14:paraId="6C0F08B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883" w:type="dxa"/>
            <w:shd w:val="clear" w:color="auto" w:fill="auto"/>
            <w:vAlign w:val="center"/>
          </w:tcPr>
          <w:p w14:paraId="47E5D97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电池1</w:t>
            </w:r>
          </w:p>
        </w:tc>
        <w:tc>
          <w:tcPr>
            <w:tcW w:w="645" w:type="dxa"/>
            <w:shd w:val="clear" w:color="auto" w:fill="auto"/>
            <w:vAlign w:val="center"/>
          </w:tcPr>
          <w:p w14:paraId="3BD149D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50" w:type="dxa"/>
            <w:shd w:val="clear" w:color="auto" w:fill="auto"/>
            <w:vAlign w:val="center"/>
          </w:tcPr>
          <w:p w14:paraId="52936EC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5748" w:type="dxa"/>
            <w:shd w:val="clear" w:color="auto" w:fill="auto"/>
            <w:vAlign w:val="center"/>
          </w:tcPr>
          <w:p w14:paraId="3444363D">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与品目1-11卫星便携站适配使用，使用环境：</w:t>
            </w:r>
            <w:r>
              <w:rPr>
                <w:rStyle w:val="6"/>
                <w:rFonts w:hint="eastAsia" w:ascii="仿宋" w:hAnsi="仿宋" w:eastAsia="仿宋" w:cs="仿宋"/>
                <w:sz w:val="28"/>
                <w:szCs w:val="28"/>
                <w:u w:val="none"/>
                <w:lang w:val="en-US" w:eastAsia="zh-CN" w:bidi="ar"/>
              </w:rPr>
              <w:t>-40℃～+55℃</w:t>
            </w:r>
            <w:r>
              <w:rPr>
                <w:rFonts w:hint="eastAsia" w:ascii="仿宋" w:hAnsi="仿宋" w:eastAsia="仿宋" w:cs="仿宋"/>
                <w:i w:val="0"/>
                <w:iCs w:val="0"/>
                <w:color w:val="000000"/>
                <w:kern w:val="0"/>
                <w:sz w:val="28"/>
                <w:szCs w:val="28"/>
                <w:u w:val="none"/>
                <w:lang w:val="en-US" w:eastAsia="zh-CN" w:bidi="ar"/>
              </w:rPr>
              <w:t>，电池容量：</w:t>
            </w:r>
            <w:r>
              <w:rPr>
                <w:rStyle w:val="6"/>
                <w:rFonts w:hint="eastAsia" w:ascii="仿宋" w:hAnsi="仿宋" w:eastAsia="仿宋" w:cs="仿宋"/>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175WH</w:t>
            </w:r>
          </w:p>
        </w:tc>
      </w:tr>
      <w:tr w14:paraId="645F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8" w:hRule="atLeast"/>
        </w:trPr>
        <w:tc>
          <w:tcPr>
            <w:tcW w:w="816" w:type="dxa"/>
            <w:shd w:val="clear" w:color="auto" w:fill="auto"/>
            <w:vAlign w:val="center"/>
          </w:tcPr>
          <w:p w14:paraId="317B554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883" w:type="dxa"/>
            <w:shd w:val="clear" w:color="auto" w:fill="auto"/>
            <w:vAlign w:val="center"/>
          </w:tcPr>
          <w:p w14:paraId="5D1D1F3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视频会议终端（指挥系统设备购置项目）</w:t>
            </w:r>
          </w:p>
        </w:tc>
        <w:tc>
          <w:tcPr>
            <w:tcW w:w="645" w:type="dxa"/>
            <w:shd w:val="clear" w:color="auto" w:fill="auto"/>
            <w:vAlign w:val="center"/>
          </w:tcPr>
          <w:p w14:paraId="2F13BE3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50" w:type="dxa"/>
            <w:shd w:val="clear" w:color="auto" w:fill="auto"/>
            <w:vAlign w:val="center"/>
          </w:tcPr>
          <w:p w14:paraId="1A53483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37E44D17">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#1.与现有MCU兼容，提供承诺函，加盖投标人公章。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#2.终端主要元器件为国产自主，国产自主的芯片/模块/模组。（需提供产品说明书或产品彩页或技术白皮书等证明材料复印件，加盖投标人公章）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3.支持64Kbps-8Mbps呼叫带宽。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4.支持ITU-T H.323、IETF SIP通信标准，具备兼容性和开放性。</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#5.支持H.264 BP、H.264 HP、H.265等图像编码协议，支持G.711A、G.711u、G.722、G.722.1C、G.729A、AAC-LD、Opus等音频协议。（需提供产品说明书或产品彩页或技术白皮书等证明材料复印件，加盖投标人公章）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#6.支持4K30fps、1080p60fps、1080p30fps、720p60 fps、720p30fps等分辨率，可以在主流达到4K30fps情况下，辅流同时达到4K30fps。（需提供产品说明书或产品彩页或技术白皮书等证明材料复印件，加盖投标人公章）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7.配置要求：本次项目配置1080P30fps对称编解码能力，能升级到4K30fps对称编解码能力。</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8.支持ITU-T H.239和IETF BFCP双流协议。</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支持≥4路高清视频输入接口、≥3路高清视频输出接口，其中HDMI类型的视频输入和视频输出接口均≥2个，支持≥7路音频输入接口、≥5路音频输出接口，至少具备卡侬头、RCA等音频接口。（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#10.支持高清视频信号远距离传输，通过以太网线无需借助额外设备，4K30fps或4K60fps高清信号最大传输距离≥100米， 1080p30fps 或1080p60fps 高清信号最大传输距离≥120 米。（需提供产品说明书或产品彩页或技术白皮书等证明材料复印件，加盖投标人公章）#11.支持≥2个10M/100M/1000M自适应网口。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12.支持IEEE802.11a/b/g/n/ac网络协议，支持WPA、WPA2安全认证方式。</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13.支持IP网络升降速，可根据IP网络带宽的变化，自动调整会议中视音频带宽。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14.视频抗丢包能力：支持30%网络丢包时，语音清晰连续，视频清晰流畅，无卡顿、无马赛克；音频抗丢包能力：支持80%的网络丢包时，声音清晰流畅，不影响会议继续进行。（需提供产品说明书或产品彩页或技术白皮书等证明材料复印件，加盖投标人公章）</w:t>
            </w:r>
          </w:p>
          <w:p w14:paraId="4CF8544E">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#15.低带宽下的视频会议：以 4K30fps 分辨率建视频会议，测试音视频信号正常通信所需最低带宽 1Mbps、以 1080p60fps 分辨率建视频会议，测试音视频信号正常通信所需最低带宽512Kbps；以1080p30fps/720p60fps 分辨率建视频会议，测试音视频信号正常通信所需最低带宽 384Kbps。（需提供产品说明书或产品彩页或技术白皮书等证明材料复印件，加盖投标人公章）</w:t>
            </w:r>
          </w:p>
          <w:p w14:paraId="195268A7">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#16.视频画面经过本地采集、编码、网络传输、解码、显示输出后整体时延≤120ms。（需提供产品说明书或产品彩页或技术白皮书等证明材料复印件，加盖投标人公章）</w:t>
            </w:r>
          </w:p>
          <w:p w14:paraId="47AD68FB">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17.支持LDAP网络地址本服务器在线获取会场列表。</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18.每周7×24小时连续正常工作，无死机、无音视频卡顿现象。</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19.支持自动网络断线检测、自环检测、IP地址冲突检测、音视频输入输出检测，色带测试、网络测试等诊断功能。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#20.支持高温告警功能，当终端内部温度超过临界温度时，界面可弹出告警提示信息。（需提供产品说明书或产品彩页或技术白皮书等证明材料复印件，加盖投标人公章）</w:t>
            </w:r>
          </w:p>
          <w:p w14:paraId="0A1C0F4C">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21.支持在H.323协议下，H.235信令加密；支持在SIP协议下，TLS、SRTP加密；支持AES媒体流加密算法，保证会议安全。</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22.支持远端连接的白名单管理，配置允许远端访问的IP地址或地址段，避免非法连接。</w:t>
            </w:r>
          </w:p>
        </w:tc>
      </w:tr>
      <w:tr w14:paraId="7F0D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9" w:hRule="atLeast"/>
        </w:trPr>
        <w:tc>
          <w:tcPr>
            <w:tcW w:w="816" w:type="dxa"/>
            <w:shd w:val="clear" w:color="auto" w:fill="auto"/>
            <w:vAlign w:val="center"/>
          </w:tcPr>
          <w:p w14:paraId="0A6CC85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883" w:type="dxa"/>
            <w:shd w:val="clear" w:color="auto" w:fill="auto"/>
            <w:vAlign w:val="center"/>
          </w:tcPr>
          <w:p w14:paraId="243DF06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矩阵（指挥系统设备购置项目）</w:t>
            </w:r>
          </w:p>
        </w:tc>
        <w:tc>
          <w:tcPr>
            <w:tcW w:w="645" w:type="dxa"/>
            <w:shd w:val="clear" w:color="auto" w:fill="auto"/>
            <w:vAlign w:val="center"/>
          </w:tcPr>
          <w:p w14:paraId="03A89D2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753AF01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76952E31">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#1.矩阵架构应满足与现用设备并行使用要求，机箱支持≥4个输入卡槽，≥4个输出卡槽，支持输入≥16路，输出≥16路，全60帧信号处理。</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2.矩阵不经转换设备支持CVBS、YPbPr、VGA、RGBHV、DVI-I/DVI-D、HDMI、DP、3G-SDI/SD-SDI/HD-SDI、IP(H.264)、IP(H.265)、HDBaseT、FIBER光纤、KVM光纤等2K视频信号的切换，同时支持4K HDMI2.0、4K HDMI1.4、4K HDBaseT、4K DisplayPort1.2、4K FIBER光纤等超高清4K视频信号的输入输出交互，支持2k信号板卡与4kp60信号板卡输入输出任意交互上屏切换及信号图像预览功能。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支持HDMI板卡一卡≥4路4K@60Hz输入，支持HDMI板卡一卡≥4路4K@60Hz输出，输入与输出板卡均带有独立3.5音频物理接口，支持HDMI数字音频与模拟音频可选输入，HDMI数字音频与模拟音频同时输出,板卡包含信号指示灯和电源指示灯。（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支持矩阵输出RTSP流传输协议，实现视频信号预览≥16路，预览画面清晰无延时；支持多地协同操作与信号源共享，支持软件PC端整屏回显与本地硬件回显两种方式。（需提供产品说明书或产品彩页或技术白皮书等证明材料复印件，加盖投标人公章）</w:t>
            </w:r>
          </w:p>
          <w:p w14:paraId="233FB41C">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b w:val="0"/>
                <w:bCs w:val="0"/>
                <w:sz w:val="28"/>
                <w:szCs w:val="28"/>
                <w:u w:val="none"/>
                <w:lang w:val="en-US" w:eastAsia="zh-CN" w:bidi="ar"/>
              </w:rPr>
              <w:t>#5.机箱支持输入输出板卡混插功能，卡槽为双向数据通道槽位，输入板卡和输出板卡自由调配，输出卡槽可定义为输入卡槽，可满足输入输出不一样接口数量的应用场合，灵活搭配板卡类型和数量。多台矩阵支持互联互通、级联控制。</w:t>
            </w:r>
            <w:r>
              <w:rPr>
                <w:rStyle w:val="6"/>
                <w:rFonts w:hint="eastAsia" w:ascii="仿宋" w:hAnsi="仿宋" w:eastAsia="仿宋" w:cs="仿宋"/>
                <w:sz w:val="28"/>
                <w:szCs w:val="28"/>
                <w:u w:val="none"/>
                <w:lang w:val="en-US" w:eastAsia="zh-CN" w:bidi="ar"/>
              </w:rPr>
              <w:t>（需提供产品说明书或产品彩页或技术白皮书等证明材料复印件，加盖投标人公章）</w:t>
            </w:r>
          </w:p>
          <w:p w14:paraId="442BF47B">
            <w:pPr>
              <w:keepNext w:val="0"/>
              <w:keepLines w:val="0"/>
              <w:widowControl/>
              <w:suppressLineNumbers w:val="0"/>
              <w:jc w:val="left"/>
              <w:textAlignment w:val="center"/>
              <w:rPr>
                <w:rStyle w:val="6"/>
                <w:rFonts w:hint="eastAsia" w:ascii="仿宋" w:hAnsi="仿宋" w:eastAsia="仿宋" w:cs="仿宋"/>
                <w:sz w:val="28"/>
                <w:szCs w:val="28"/>
                <w:highlight w:val="none"/>
                <w:u w:val="none"/>
                <w:lang w:val="en-US" w:eastAsia="zh-CN" w:bidi="ar"/>
              </w:rPr>
            </w:pPr>
            <w:r>
              <w:rPr>
                <w:rStyle w:val="6"/>
                <w:rFonts w:hint="eastAsia" w:ascii="仿宋" w:hAnsi="仿宋" w:eastAsia="仿宋" w:cs="仿宋"/>
                <w:sz w:val="28"/>
                <w:szCs w:val="28"/>
                <w:u w:val="none"/>
                <w:lang w:val="en-US" w:eastAsia="zh-CN" w:bidi="ar"/>
              </w:rPr>
              <w:t>#6.支持≥20组非标分辨率LED拼接屏同时输出显示，实现不同行列屏体规模、不同发送卡显示分辨率、不同拼接卡接口可选DVI/HDMI/HDbaseT/FIBER光纤等类型。支持大屏范围内任意开窗、漫游、叠加、缩放、移动、关窗、平铺、全屏、替换、显示模式保存和调用等执行操作场景，</w:t>
            </w:r>
            <w:r>
              <w:rPr>
                <w:rStyle w:val="6"/>
                <w:rFonts w:hint="eastAsia" w:ascii="仿宋" w:hAnsi="仿宋" w:eastAsia="仿宋" w:cs="仿宋"/>
                <w:sz w:val="28"/>
                <w:szCs w:val="28"/>
                <w:highlight w:val="none"/>
                <w:u w:val="none"/>
                <w:lang w:val="en-US" w:eastAsia="zh-CN" w:bidi="ar"/>
              </w:rPr>
              <w:t>同一台矩阵支持≥20组屏集中管理。</w:t>
            </w:r>
            <w:r>
              <w:rPr>
                <w:rStyle w:val="6"/>
                <w:rFonts w:hint="eastAsia" w:ascii="仿宋" w:hAnsi="仿宋" w:eastAsia="仿宋" w:cs="仿宋"/>
                <w:sz w:val="28"/>
                <w:szCs w:val="28"/>
                <w:u w:val="none"/>
                <w:lang w:val="en-US" w:eastAsia="zh-CN" w:bidi="ar"/>
              </w:rPr>
              <w:t>（需提供产品说明书或产品彩页或技术白皮书等证明材料复印件，加盖投标人公章）</w:t>
            </w:r>
          </w:p>
          <w:p w14:paraId="24FD6C81">
            <w:pPr>
              <w:keepNext w:val="0"/>
              <w:keepLines w:val="0"/>
              <w:widowControl/>
              <w:suppressLineNumbers w:val="0"/>
              <w:jc w:val="left"/>
              <w:textAlignment w:val="center"/>
              <w:rPr>
                <w:rStyle w:val="6"/>
                <w:rFonts w:hint="eastAsia" w:ascii="仿宋" w:hAnsi="仿宋" w:eastAsia="仿宋" w:cs="仿宋"/>
                <w:sz w:val="28"/>
                <w:szCs w:val="28"/>
                <w:highlight w:val="none"/>
                <w:u w:val="none"/>
                <w:lang w:val="en-US" w:eastAsia="zh-CN" w:bidi="ar"/>
              </w:rPr>
            </w:pPr>
            <w:r>
              <w:rPr>
                <w:rStyle w:val="6"/>
                <w:rFonts w:hint="eastAsia" w:ascii="仿宋" w:hAnsi="仿宋" w:eastAsia="仿宋" w:cs="仿宋"/>
                <w:sz w:val="28"/>
                <w:szCs w:val="28"/>
                <w:highlight w:val="none"/>
                <w:u w:val="none"/>
                <w:lang w:val="en-US" w:eastAsia="zh-CN" w:bidi="ar"/>
              </w:rPr>
              <w:t>#7</w:t>
            </w:r>
            <w:r>
              <w:rPr>
                <w:rStyle w:val="6"/>
                <w:rFonts w:hint="eastAsia" w:ascii="仿宋" w:hAnsi="仿宋" w:eastAsia="仿宋" w:cs="仿宋"/>
                <w:sz w:val="28"/>
                <w:szCs w:val="28"/>
                <w:u w:val="none"/>
                <w:lang w:val="en-US" w:eastAsia="zh-CN" w:bidi="ar"/>
              </w:rPr>
              <w:t>.</w:t>
            </w:r>
            <w:r>
              <w:rPr>
                <w:rStyle w:val="6"/>
                <w:rFonts w:hint="eastAsia" w:ascii="仿宋" w:hAnsi="仿宋" w:eastAsia="仿宋" w:cs="仿宋"/>
                <w:sz w:val="28"/>
                <w:szCs w:val="28"/>
                <w:highlight w:val="none"/>
                <w:u w:val="none"/>
                <w:lang w:val="en-US" w:eastAsia="zh-CN" w:bidi="ar"/>
              </w:rPr>
              <w:t>SDI输入和输出板卡支持3G-SDI/SD-SDI/HD-SDI协议，单张卡具有≥8路SDI视频物理接口，支持内嵌视频和音频功能，SDI输入/输出板卡支持音视频环出。</w:t>
            </w:r>
            <w:r>
              <w:rPr>
                <w:rStyle w:val="6"/>
                <w:rFonts w:hint="eastAsia" w:ascii="仿宋" w:hAnsi="仿宋" w:eastAsia="仿宋" w:cs="仿宋"/>
                <w:sz w:val="28"/>
                <w:szCs w:val="28"/>
                <w:u w:val="none"/>
                <w:lang w:val="en-US" w:eastAsia="zh-CN" w:bidi="ar"/>
              </w:rPr>
              <w:t>（需提供产品说明书或产品彩页或技术白皮书等证明材料复印件，加盖投标人公章）</w:t>
            </w:r>
            <w:r>
              <w:rPr>
                <w:rStyle w:val="6"/>
                <w:rFonts w:hint="eastAsia" w:ascii="仿宋" w:hAnsi="仿宋" w:eastAsia="仿宋" w:cs="仿宋"/>
                <w:sz w:val="28"/>
                <w:szCs w:val="28"/>
                <w:highlight w:val="none"/>
                <w:u w:val="none"/>
                <w:lang w:val="en-US" w:eastAsia="zh-CN" w:bidi="ar"/>
              </w:rPr>
              <w:t>。</w:t>
            </w:r>
            <w:r>
              <w:rPr>
                <w:rStyle w:val="6"/>
                <w:rFonts w:hint="eastAsia" w:ascii="仿宋" w:hAnsi="仿宋" w:eastAsia="仿宋" w:cs="仿宋"/>
                <w:sz w:val="28"/>
                <w:szCs w:val="28"/>
                <w:highlight w:val="none"/>
                <w:u w:val="none"/>
                <w:lang w:val="en-US" w:eastAsia="zh-CN" w:bidi="ar"/>
              </w:rPr>
              <w:br w:type="textWrapping"/>
            </w:r>
            <w:r>
              <w:rPr>
                <w:rStyle w:val="6"/>
                <w:rFonts w:hint="eastAsia" w:ascii="仿宋" w:hAnsi="仿宋" w:eastAsia="仿宋" w:cs="仿宋"/>
                <w:sz w:val="28"/>
                <w:szCs w:val="28"/>
                <w:highlight w:val="none"/>
                <w:u w:val="none"/>
                <w:lang w:val="en-US" w:eastAsia="zh-CN" w:bidi="ar"/>
              </w:rPr>
              <w:t>#8</w:t>
            </w:r>
            <w:r>
              <w:rPr>
                <w:rStyle w:val="6"/>
                <w:rFonts w:hint="eastAsia" w:ascii="仿宋" w:hAnsi="仿宋" w:eastAsia="仿宋" w:cs="仿宋"/>
                <w:sz w:val="28"/>
                <w:szCs w:val="28"/>
                <w:u w:val="none"/>
                <w:lang w:val="en-US" w:eastAsia="zh-CN" w:bidi="ar"/>
              </w:rPr>
              <w:t>.</w:t>
            </w:r>
            <w:r>
              <w:rPr>
                <w:rStyle w:val="6"/>
                <w:rFonts w:hint="eastAsia" w:ascii="仿宋" w:hAnsi="仿宋" w:eastAsia="仿宋" w:cs="仿宋"/>
                <w:sz w:val="28"/>
                <w:szCs w:val="28"/>
                <w:highlight w:val="none"/>
                <w:u w:val="none"/>
                <w:lang w:val="en-US" w:eastAsia="zh-CN" w:bidi="ar"/>
              </w:rPr>
              <w:t>支持非标不规则分辨率拼接输出，兼容LED、LCD，单屏拼接输出支持≥4路4K@60Hz分辨率拼接显示，或者≥8路2k@60Hz分辨率拼接显示，向下兼容所有分辨率。</w:t>
            </w:r>
            <w:r>
              <w:rPr>
                <w:rStyle w:val="6"/>
                <w:rFonts w:hint="eastAsia" w:ascii="仿宋" w:hAnsi="仿宋" w:eastAsia="仿宋" w:cs="仿宋"/>
                <w:sz w:val="28"/>
                <w:szCs w:val="28"/>
                <w:u w:val="none"/>
                <w:lang w:val="en-US" w:eastAsia="zh-CN" w:bidi="ar"/>
              </w:rPr>
              <w:t>（需提供产品说明书或产品彩页或技术白皮书等证明材料复印件，加盖投标人公章）</w:t>
            </w:r>
            <w:r>
              <w:rPr>
                <w:rStyle w:val="6"/>
                <w:rFonts w:hint="eastAsia" w:ascii="仿宋" w:hAnsi="仿宋" w:eastAsia="仿宋" w:cs="仿宋"/>
                <w:sz w:val="28"/>
                <w:szCs w:val="28"/>
                <w:highlight w:val="none"/>
                <w:u w:val="none"/>
                <w:lang w:val="en-US" w:eastAsia="zh-CN" w:bidi="ar"/>
              </w:rPr>
              <w:br w:type="textWrapping"/>
            </w:r>
            <w:r>
              <w:rPr>
                <w:rStyle w:val="6"/>
                <w:rFonts w:hint="eastAsia" w:ascii="仿宋" w:hAnsi="仿宋" w:eastAsia="仿宋" w:cs="仿宋"/>
                <w:sz w:val="28"/>
                <w:szCs w:val="28"/>
                <w:highlight w:val="none"/>
                <w:u w:val="none"/>
                <w:lang w:val="en-US" w:eastAsia="zh-CN" w:bidi="ar"/>
              </w:rPr>
              <w:t>9</w:t>
            </w:r>
            <w:r>
              <w:rPr>
                <w:rStyle w:val="6"/>
                <w:rFonts w:hint="eastAsia" w:ascii="仿宋" w:hAnsi="仿宋" w:eastAsia="仿宋" w:cs="仿宋"/>
                <w:sz w:val="28"/>
                <w:szCs w:val="28"/>
                <w:u w:val="none"/>
                <w:lang w:val="en-US" w:eastAsia="zh-CN" w:bidi="ar"/>
              </w:rPr>
              <w:t>.</w:t>
            </w:r>
            <w:r>
              <w:rPr>
                <w:rStyle w:val="6"/>
                <w:rFonts w:hint="eastAsia" w:ascii="仿宋" w:hAnsi="仿宋" w:eastAsia="仿宋" w:cs="仿宋"/>
                <w:sz w:val="28"/>
                <w:szCs w:val="28"/>
                <w:highlight w:val="none"/>
                <w:u w:val="none"/>
                <w:lang w:val="en-US" w:eastAsia="zh-CN" w:bidi="ar"/>
              </w:rPr>
              <w:t>矩阵板卡带指示灯功能：有视频信号输入或者输出时，信号灯会亮起，无视频信号或者拔掉视频线后，信号指示灯灭掉。</w:t>
            </w:r>
          </w:p>
          <w:p w14:paraId="4728F8CA">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highlight w:val="none"/>
                <w:u w:val="none"/>
                <w:lang w:val="en-US" w:eastAsia="zh-CN" w:bidi="ar"/>
              </w:rPr>
              <w:t>#10</w:t>
            </w:r>
            <w:r>
              <w:rPr>
                <w:rStyle w:val="6"/>
                <w:rFonts w:hint="eastAsia" w:ascii="仿宋" w:hAnsi="仿宋" w:eastAsia="仿宋" w:cs="仿宋"/>
                <w:sz w:val="28"/>
                <w:szCs w:val="28"/>
                <w:u w:val="none"/>
                <w:lang w:val="en-US" w:eastAsia="zh-CN" w:bidi="ar"/>
              </w:rPr>
              <w:t>.</w:t>
            </w:r>
            <w:r>
              <w:rPr>
                <w:rStyle w:val="6"/>
                <w:rFonts w:hint="eastAsia" w:ascii="仿宋" w:hAnsi="仿宋" w:eastAsia="仿宋" w:cs="仿宋"/>
                <w:sz w:val="28"/>
                <w:szCs w:val="28"/>
                <w:highlight w:val="none"/>
                <w:u w:val="none"/>
                <w:lang w:val="en-US" w:eastAsia="zh-CN" w:bidi="ar"/>
              </w:rPr>
              <w:t>支持双机热备功能：2台光纤矩阵配合双光收发器实现双主机和双链路备份，矩阵主机箱或者光纤主备链路发生故障系统自动切换至备矩阵或者备链路传输，传输画面不中断，跳转图像无缝切换、无黑屏、无闪烁现象（非单矩阵复用端口方式备份）；矩阵支持双电源冗余、双控制卡热备功能。</w:t>
            </w:r>
            <w:r>
              <w:rPr>
                <w:rStyle w:val="6"/>
                <w:rFonts w:hint="eastAsia" w:ascii="仿宋" w:hAnsi="仿宋" w:eastAsia="仿宋" w:cs="仿宋"/>
                <w:sz w:val="28"/>
                <w:szCs w:val="28"/>
                <w:u w:val="none"/>
                <w:lang w:val="en-US" w:eastAsia="zh-CN" w:bidi="ar"/>
              </w:rPr>
              <w:t>（需提供产品说明书或产品彩页或技术白皮书等证明材料复印件，加盖投标人公章）</w:t>
            </w:r>
            <w:r>
              <w:rPr>
                <w:rStyle w:val="6"/>
                <w:rFonts w:hint="eastAsia" w:ascii="仿宋" w:hAnsi="仿宋" w:eastAsia="仿宋" w:cs="仿宋"/>
                <w:sz w:val="28"/>
                <w:szCs w:val="28"/>
                <w:highlight w:val="none"/>
                <w:u w:val="none"/>
                <w:lang w:val="en-US" w:eastAsia="zh-CN" w:bidi="ar"/>
              </w:rPr>
              <w:br w:type="textWrapping"/>
            </w:r>
            <w:r>
              <w:rPr>
                <w:rStyle w:val="6"/>
                <w:rFonts w:hint="eastAsia" w:ascii="仿宋" w:hAnsi="仿宋" w:eastAsia="仿宋" w:cs="仿宋"/>
                <w:sz w:val="28"/>
                <w:szCs w:val="28"/>
                <w:u w:val="none"/>
                <w:lang w:val="en-US" w:eastAsia="zh-CN" w:bidi="ar"/>
              </w:rPr>
              <w:t>#11.矩阵机箱具有≥5英寸触摸屏，可以查看矩阵板卡信息，修改ip地址和系统信息查询，支持矩阵视频信号手动切换控制，屏幕分辨率≥1920*1080P。（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12.HDMI输入卡</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12.1具备一卡≥4路HDMI-A接口，3.5mm音频插座；</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12.2输入距离≥50M（需要HDMI特种线）；</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#12.3板卡混插功能：卡槽为双向数据通道槽位，单个卡槽支持插入输入板卡或者输出板卡；（需提供产品说明书或产品彩页或技术白皮书等证明材料复印件，加盖投标人公章）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12.4支持模拟音频与HDMI内嵌音频选择输入；</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12.5支持EDID读取功能；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12.6兼容HDMI1.3a的标准，HDCP1.3协议, DVI1.0协议；</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#12.7分辨率：HDPC：≥1920x1200P@60；HDTV：≥1920x1080P@60。（需提供产品说明书或产品彩页或技术白皮书等证明材料复印件，加盖投标人公章）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12.8带信号指示灯。</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13.HDMI输出卡</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13.1支持一卡≥4路HDMI-A接口，3.5mm音频插座；</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13.2输出距离≥50M（需要HDMI特种线）；</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#13.3支持热插拔，支持音视频信号一起切换,支持音频AUTO DELAY；（需提供产品说明书或产品彩页或技术白皮书等证明材料复印件，加盖投标人公章）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13.4支持模拟音频与HDMI内嵌音频同时输出；</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13.5支持EDID读取功能；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#13.6兼容HDMI1.3a的标准，HDCP1.3协议, DVI1.0协议；（需提供产品说明书或产品彩页或技术白皮书等证明材料复印件，加盖投标人公章）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13.7分辨率：HDPC：≥1920x1200P@60；HDTV：≥1920x1080P@60；</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#13.8输出端口支持单独修改分辨率和帧率；支持信号源无缝切换；（需提供产品说明书或产品彩页或技术白皮书等证明材料复印件，加盖投标人公章）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13.9带信号指示灯。</w:t>
            </w:r>
          </w:p>
        </w:tc>
      </w:tr>
      <w:tr w14:paraId="02EB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0" w:hRule="atLeast"/>
        </w:trPr>
        <w:tc>
          <w:tcPr>
            <w:tcW w:w="816" w:type="dxa"/>
            <w:shd w:val="clear" w:color="auto" w:fill="auto"/>
            <w:vAlign w:val="center"/>
          </w:tcPr>
          <w:p w14:paraId="63C594B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883" w:type="dxa"/>
            <w:shd w:val="clear" w:color="auto" w:fill="auto"/>
            <w:vAlign w:val="center"/>
          </w:tcPr>
          <w:p w14:paraId="059A40D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混合发送器（指挥系统设备购置项目）</w:t>
            </w:r>
          </w:p>
        </w:tc>
        <w:tc>
          <w:tcPr>
            <w:tcW w:w="645" w:type="dxa"/>
            <w:shd w:val="clear" w:color="auto" w:fill="auto"/>
            <w:vAlign w:val="center"/>
          </w:tcPr>
          <w:p w14:paraId="3EBBAA6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53DF9FD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23853D82">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1.AV混合双绞线传输器，通过单根CAT5e/6屏蔽线缆传输视频信号</w:t>
            </w:r>
            <w:r>
              <w:rPr>
                <w:rStyle w:val="6"/>
                <w:rFonts w:hint="eastAsia" w:ascii="仿宋" w:hAnsi="仿宋" w:eastAsia="仿宋" w:cs="仿宋"/>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100m</w:t>
            </w:r>
          </w:p>
          <w:p w14:paraId="61B0B1F2">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2.双向传输IR</w:t>
            </w:r>
          </w:p>
          <w:p w14:paraId="737B7096">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3.RS-232双向数字信号</w:t>
            </w:r>
          </w:p>
          <w:p w14:paraId="46496A5E">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4.满足不同视频接口和控制类设备的传输。</w:t>
            </w:r>
          </w:p>
        </w:tc>
      </w:tr>
      <w:tr w14:paraId="6B36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816" w:type="dxa"/>
            <w:shd w:val="clear" w:color="auto" w:fill="auto"/>
            <w:vAlign w:val="center"/>
          </w:tcPr>
          <w:p w14:paraId="6FC48F4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883" w:type="dxa"/>
            <w:shd w:val="clear" w:color="auto" w:fill="auto"/>
            <w:vAlign w:val="center"/>
          </w:tcPr>
          <w:p w14:paraId="72B0E8E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显示屏</w:t>
            </w:r>
          </w:p>
        </w:tc>
        <w:tc>
          <w:tcPr>
            <w:tcW w:w="645" w:type="dxa"/>
            <w:shd w:val="clear" w:color="auto" w:fill="auto"/>
            <w:vAlign w:val="center"/>
          </w:tcPr>
          <w:p w14:paraId="1EDF1C5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5D0C9D1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64A6C40D">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#1.≥98英寸，4K高清显示，LED光源</w:t>
            </w:r>
          </w:p>
          <w:p w14:paraId="1857D879">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#2.HDMI接口：HDMI2.0≥1个、HDMI2.1≥2个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3.网络接口：≥1个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4.USB接口：USB2.0≥1个、USB3.0≥1个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5.其他接口：AV接口≥1个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6.RF输入纠错≥1个</w:t>
            </w:r>
          </w:p>
        </w:tc>
      </w:tr>
      <w:tr w14:paraId="7F2B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8" w:hRule="atLeast"/>
        </w:trPr>
        <w:tc>
          <w:tcPr>
            <w:tcW w:w="816" w:type="dxa"/>
            <w:shd w:val="clear" w:color="auto" w:fill="auto"/>
            <w:vAlign w:val="center"/>
          </w:tcPr>
          <w:p w14:paraId="466C766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883" w:type="dxa"/>
            <w:shd w:val="clear" w:color="auto" w:fill="auto"/>
            <w:vAlign w:val="center"/>
          </w:tcPr>
          <w:p w14:paraId="080FFC3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IP交换系统</w:t>
            </w:r>
          </w:p>
        </w:tc>
        <w:tc>
          <w:tcPr>
            <w:tcW w:w="645" w:type="dxa"/>
            <w:shd w:val="clear" w:color="auto" w:fill="auto"/>
            <w:vAlign w:val="center"/>
          </w:tcPr>
          <w:p w14:paraId="0CF4BA4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2A81C13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48" w:type="dxa"/>
            <w:shd w:val="clear" w:color="auto" w:fill="auto"/>
            <w:vAlign w:val="center"/>
          </w:tcPr>
          <w:p w14:paraId="079A054F">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★1.分机数量：≥300门分机注册，且需支持扩展至500分机（提供承诺函，并加盖投标人公章）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★2.硬件规格（需提供产品说明书或产品彩页或技术白皮书等证明材料复印件，加盖投标人公章）：</w:t>
            </w:r>
          </w:p>
          <w:p w14:paraId="015B421E">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2.1机架式设备</w:t>
            </w:r>
          </w:p>
          <w:p w14:paraId="081DD18F">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2.2≥2个10/100/1000M 千兆自适应网口</w:t>
            </w:r>
          </w:p>
          <w:p w14:paraId="15BFBE60">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2.3≥1个USB接口</w:t>
            </w:r>
          </w:p>
          <w:p w14:paraId="2D8CCE6C">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2.4≥1个SD卡槽</w:t>
            </w:r>
          </w:p>
          <w:p w14:paraId="7CA27E07">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2.5内置SATA接口</w:t>
            </w:r>
          </w:p>
          <w:p w14:paraId="485109FD">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2.6≥16个模拟中继/模拟分机</w:t>
            </w:r>
          </w:p>
          <w:p w14:paraId="7A5AF5F7">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2.7≥6个SIM卡模块</w:t>
            </w:r>
          </w:p>
          <w:p w14:paraId="603E0045">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2.8≥1个E1接口。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#3.通话并发：≥60方通话并发，且需支持扩展至120并发。（需提供产品说明书或产品彩页或技术白皮书等证明材料复印件，加盖投标人公章）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#4.队列控制台：内置队列控制台功能，具备网页端控制，具备单独的队列状态展示，可进行坐席通话监控、状态切换，同时支持拖拽完成转接、监听、停泊等通话操作。</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5.话务控制台：内置话务控制台功能，具备网页端控制，可展示系统当前时刻的通话，可对通话就行拖拽式的转接、截答、监听、强拆等操作。</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★6.黑名单库：需具有专门的数据库记录被PBX系统拉黑的IP地址和具有潜在威胁的IP的IP地址。（需提供产品说明书或产品彩页或技术白皮书等证明材料复印件，加盖投标人公章）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7.双因素身份验证：支持双因素身份验证功能，在登录系统管理后台及软电话时，支持用户名和密码及二次验证登录账号。</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8.内置全局自动录音，≥25000小时录制。</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9.权限管理：支持内置用户权限管理，可配置多种系统权限角色，为不同的分机用户分配不同的 PBX 管理权限，可设置分机和中继，通话记录和录音等操作管理权限。管理员可为分机账号自定义分配系统各个功能权限分配。</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★10.支持国家IP访问防御，系统可自动禁止并且拉黑在管理员设定的允许范围之外的国家来源IP。（需提供产品说明书或产品彩页或技术白皮书等证明材料复印件，加盖投标人公章）</w:t>
            </w:r>
          </w:p>
          <w:p w14:paraId="0A433D97">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★11.支持国际电话防御，系统可自动中断管理员设定的允许范围之外的国际电话。（需提供产品说明书或产品彩页或技术白皮书等证明材料复印件，加盖投标人公章）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12.支持通话记录、录音记录、满意度调查、SLA、广播/对讲、预约广播组、企业通讯录、CTI、LDAP/LADPS等功能；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13.支持查看分机在线状态、组织架构、通讯录、通话记录、语音留言；</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14.支持网页话务控制台，查看内外线通话状态、拖拽实现通话转移，点击拨号、强插、强拆、监听，切换上下班时间；</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15.支持LFG，≥120个BLF；</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16.支持扫码登录、通话记录、语音留言收听、通话录音收听功能，支持组织架构；</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17.支持一号多机，支持3至6个不同IP终端注册同一个分机号；</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18.支持通话翻转/通话取回；</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#19.内置防火墙。（需提供产品说明书或产品彩页或技术白皮书等证明材料复印件，加盖投标人公章）</w:t>
            </w:r>
          </w:p>
        </w:tc>
      </w:tr>
      <w:tr w14:paraId="5E56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4" w:hRule="atLeast"/>
        </w:trPr>
        <w:tc>
          <w:tcPr>
            <w:tcW w:w="816" w:type="dxa"/>
            <w:shd w:val="clear" w:color="auto" w:fill="auto"/>
            <w:vAlign w:val="center"/>
          </w:tcPr>
          <w:p w14:paraId="55ADCEE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883" w:type="dxa"/>
            <w:shd w:val="clear" w:color="auto" w:fill="auto"/>
            <w:vAlign w:val="center"/>
          </w:tcPr>
          <w:p w14:paraId="484AB1B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模拟中继网关</w:t>
            </w:r>
          </w:p>
        </w:tc>
        <w:tc>
          <w:tcPr>
            <w:tcW w:w="645" w:type="dxa"/>
            <w:shd w:val="clear" w:color="auto" w:fill="auto"/>
            <w:vAlign w:val="center"/>
          </w:tcPr>
          <w:p w14:paraId="0F9BA0B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50" w:type="dxa"/>
            <w:shd w:val="clear" w:color="auto" w:fill="auto"/>
            <w:vAlign w:val="center"/>
          </w:tcPr>
          <w:p w14:paraId="56B3313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48" w:type="dxa"/>
            <w:shd w:val="clear" w:color="auto" w:fill="auto"/>
            <w:vAlign w:val="center"/>
          </w:tcPr>
          <w:p w14:paraId="57156467">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1.主控框≥1个，                                                         ★2.业务板≥16块，8FXO，RJ45语音接口（需提供产品说明书或产品彩页或技术白皮书等证明材料复印件，加盖投标人公章）                                  ★3.主控板≥1块，G.711/G.723/G.729满并发（需提供产品说明书或产品彩页或技术白皮书等证明材料复印件，加盖投标人公章）</w:t>
            </w:r>
          </w:p>
        </w:tc>
      </w:tr>
      <w:tr w14:paraId="7E87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94" w:hRule="atLeast"/>
        </w:trPr>
        <w:tc>
          <w:tcPr>
            <w:tcW w:w="816" w:type="dxa"/>
            <w:shd w:val="clear" w:color="auto" w:fill="auto"/>
            <w:vAlign w:val="center"/>
          </w:tcPr>
          <w:p w14:paraId="6632719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883" w:type="dxa"/>
            <w:shd w:val="clear" w:color="auto" w:fill="auto"/>
            <w:vAlign w:val="center"/>
          </w:tcPr>
          <w:p w14:paraId="08EFFEB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语音网关</w:t>
            </w:r>
          </w:p>
        </w:tc>
        <w:tc>
          <w:tcPr>
            <w:tcW w:w="645" w:type="dxa"/>
            <w:shd w:val="clear" w:color="auto" w:fill="auto"/>
            <w:vAlign w:val="center"/>
          </w:tcPr>
          <w:p w14:paraId="6757100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450" w:type="dxa"/>
            <w:shd w:val="clear" w:color="auto" w:fill="auto"/>
            <w:vAlign w:val="center"/>
          </w:tcPr>
          <w:p w14:paraId="79E9FA5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48" w:type="dxa"/>
            <w:shd w:val="clear" w:color="auto" w:fill="auto"/>
            <w:vAlign w:val="center"/>
          </w:tcPr>
          <w:p w14:paraId="5C76C997">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★1.FXS接口：≥32个（需提供产品说明书或产品彩页或技术白皮书等证明材料复印件，加盖投标人公章）</w:t>
            </w:r>
          </w:p>
          <w:p w14:paraId="087FA149">
            <w:pPr>
              <w:keepNext w:val="0"/>
              <w:keepLines w:val="0"/>
              <w:widowControl/>
              <w:numPr>
                <w:ilvl w:val="0"/>
                <w:numId w:val="1"/>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协议：SIP</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3.语音编码：G.711A/U law, G.723.1,G.729A/B,G.726,iLBC,AMR</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DTMF标准：Signal/RFC2833/INBAND</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★4.网口：≥2个100/1000M网口（需提供产品说明书或产品彩页或技术白皮书等证明材料复印件，加盖投标人公章）</w:t>
            </w:r>
          </w:p>
          <w:p w14:paraId="23C0BD60">
            <w:pPr>
              <w:keepNext w:val="0"/>
              <w:keepLines w:val="0"/>
              <w:widowControl/>
              <w:numPr>
                <w:ilvl w:val="-1"/>
                <w:numId w:val="0"/>
              </w:numPr>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5.指示灯：LAN 连接/激活指示灯、模拟接口指示灯</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6.语音处理：静音抑制、舒适噪声(CNG)、语音活动检测(VAD)、回声抑制(G.168), 动态抖动缓存、拍叉检测、自动增益控制、时延≤128ms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7.FXS功能特性：连接接口: RJ45、DTMF和脉冲拨号、DTMF/FSK 来显标准、布线长度≥5km、支持发送反极、支持多种信号音标准、抗干扰/防雷击保护</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8.配置：网页界面、支持固件HTTP/TFTP升级</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9.系统管理：SNMP v1/v2/v3、TR069、自动升级/配置、Web/Telnet、配置备份/恢复、呼叫话单、Syslog、Ping/Tracert测试、网络抓包、线路诊断(GR909) 、 NTP/夏令时</w:t>
            </w:r>
          </w:p>
        </w:tc>
      </w:tr>
      <w:tr w14:paraId="4C17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5" w:hRule="atLeast"/>
        </w:trPr>
        <w:tc>
          <w:tcPr>
            <w:tcW w:w="816" w:type="dxa"/>
            <w:shd w:val="clear" w:color="auto" w:fill="auto"/>
            <w:vAlign w:val="center"/>
          </w:tcPr>
          <w:p w14:paraId="6E5C570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883" w:type="dxa"/>
            <w:shd w:val="clear" w:color="auto" w:fill="auto"/>
            <w:vAlign w:val="center"/>
          </w:tcPr>
          <w:p w14:paraId="643CB65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网络交换机1</w:t>
            </w:r>
          </w:p>
        </w:tc>
        <w:tc>
          <w:tcPr>
            <w:tcW w:w="645" w:type="dxa"/>
            <w:shd w:val="clear" w:color="auto" w:fill="auto"/>
            <w:vAlign w:val="center"/>
          </w:tcPr>
          <w:p w14:paraId="3FAF148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450" w:type="dxa"/>
            <w:shd w:val="clear" w:color="auto" w:fill="auto"/>
            <w:vAlign w:val="center"/>
          </w:tcPr>
          <w:p w14:paraId="4302BCD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72809E23">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1.千兆以太网交换机</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2.传输速率为10/100/1000Mbps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3.交换方式为存储转发</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4.背板带宽≥300Gbps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5.包转发率≥108Mpps/126Mpps‌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6.≥28个端口，其中10/100/1000Base-T电口≥24个，10G BASE-X SFP+万兆光口≥4个‌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7.‌VLAN功能‌：支持基于端口的VLAN、QinQ、Voice VLAN、协议VLAN和MAC VLAN‌</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8.‌堆叠功能‌：支持堆叠，可通过标准以太网接口进行本地和远程堆叠‌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9.‌安全管理‌：支持用户分级管理和口令保护、802.1X认证、集中式MAC地址认证、Guest VLAN、RADIUS认证、SSH 2.0、端口隔离、端口安全等‌</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‌QoS支持‌：支持对端口接收报文的速率和发送报文的速率进行限制，支持报文重定向，每个端口≥8个输出队列，支持SP、WRR、SP+WRR队列调度‌</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10.支持命令行接口(CLI)、Telnet、Console口配置、SNMPv1/v2/v3、WEB网管、iMC智能管理中心等</w:t>
            </w:r>
          </w:p>
        </w:tc>
      </w:tr>
      <w:tr w14:paraId="3680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816" w:type="dxa"/>
            <w:shd w:val="clear" w:color="auto" w:fill="auto"/>
            <w:vAlign w:val="center"/>
          </w:tcPr>
          <w:p w14:paraId="23C7935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883" w:type="dxa"/>
            <w:shd w:val="clear" w:color="auto" w:fill="auto"/>
            <w:vAlign w:val="center"/>
          </w:tcPr>
          <w:p w14:paraId="655CDBB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网络交换机2</w:t>
            </w:r>
          </w:p>
        </w:tc>
        <w:tc>
          <w:tcPr>
            <w:tcW w:w="645" w:type="dxa"/>
            <w:shd w:val="clear" w:color="auto" w:fill="auto"/>
            <w:vAlign w:val="center"/>
          </w:tcPr>
          <w:p w14:paraId="540769E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123ADE4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519CA688">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1.‌端口类型‌：提供10/100/1000/2.5G/5G/10GBase-T自适应以太网端口和10GE SFP+光口，并通过子卡支持10GE电口、10GE SFP+光口、25G SFP28光口、40GE QSFP+、100G QSFP28光口‌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2.‌扩展性‌：具有不同的端口配置和扩展插槽‌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3.‌管理功能‌：支持OSPF/BGP和组播，具备SDN功能，提供灵活的管理方式</w:t>
            </w:r>
          </w:p>
        </w:tc>
      </w:tr>
      <w:tr w14:paraId="22DA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29" w:hRule="atLeast"/>
        </w:trPr>
        <w:tc>
          <w:tcPr>
            <w:tcW w:w="816" w:type="dxa"/>
            <w:shd w:val="clear" w:color="auto" w:fill="auto"/>
            <w:vAlign w:val="center"/>
          </w:tcPr>
          <w:p w14:paraId="5C584ED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883" w:type="dxa"/>
            <w:shd w:val="clear" w:color="auto" w:fill="auto"/>
            <w:vAlign w:val="center"/>
          </w:tcPr>
          <w:p w14:paraId="72AB2B9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网络交换机3</w:t>
            </w:r>
          </w:p>
        </w:tc>
        <w:tc>
          <w:tcPr>
            <w:tcW w:w="645" w:type="dxa"/>
            <w:shd w:val="clear" w:color="auto" w:fill="auto"/>
            <w:vAlign w:val="center"/>
          </w:tcPr>
          <w:p w14:paraId="64D4F56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50" w:type="dxa"/>
            <w:shd w:val="clear" w:color="auto" w:fill="auto"/>
            <w:vAlign w:val="center"/>
          </w:tcPr>
          <w:p w14:paraId="6573608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784FEEF6">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1.‌产品类型‌：千兆以太网交换机</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2.‌交换方式‌：存储-转发</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3.‌背板带宽‌：≥688Gbps/6.88Tbps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4.‌包转发率‌：≥174Mpps/363Mpps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5.‌端口描述‌：10/100/1000Base-T自适应以太网端口≥48个，万兆SFP+口≥6个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6.‌功能特性‌：支持≥9台堆叠；支持802.1Q VLAN、4K VLAN、基于端口的VLAN、QinQ、灵活QinQ、Guest VLAN、STP、RSTP、MSTP、PVST、MVRP、Voice VLAN、策略VLAN、基于IP子网的VLAN、基于协议的VLAN、基于MAC的VLAN；支持L2~L4包过滤功能、时间段ACL、入方向和出方向的双向ACL策略、基于VLAN下发ACL、端口速率限制、报文重定向、802.1p和DSCP优先级重新标记、CAR功能；支持IGMP Snooping v1/v2/v3、MLD Snooping v1/v2、PIM Snooping、MLD Proxy、组播VLAN、捆绑端口的组播负载分担、基于端口的组播流量统计、PIM-DM、PIM-SM、PIM-SSM、MBGP、MBGP for IPv6；支持Xmodem/FTP/TFTP加载升级、命令行接口(CLI)、Telnet、Console口配置、SNMPv1/v2/v3</w:t>
            </w:r>
          </w:p>
        </w:tc>
      </w:tr>
      <w:tr w14:paraId="0CC6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816" w:type="dxa"/>
            <w:shd w:val="clear" w:color="auto" w:fill="auto"/>
            <w:vAlign w:val="center"/>
          </w:tcPr>
          <w:p w14:paraId="4578BA0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883" w:type="dxa"/>
            <w:shd w:val="clear" w:color="auto" w:fill="auto"/>
            <w:vAlign w:val="center"/>
          </w:tcPr>
          <w:p w14:paraId="63ADB95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网络交换机4</w:t>
            </w:r>
          </w:p>
        </w:tc>
        <w:tc>
          <w:tcPr>
            <w:tcW w:w="645" w:type="dxa"/>
            <w:shd w:val="clear" w:color="auto" w:fill="auto"/>
            <w:vAlign w:val="center"/>
          </w:tcPr>
          <w:p w14:paraId="567BE7C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6EA65B4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7D7C1640">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1.‌产品类型‌：千兆以太网交换机</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2.‌应用层级‌：三层</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3.‌传输速率‌：10/100/1000Mbps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4.‌交换方式‌：存储-转发</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5.‌背板带宽‌：≥336Gbps/3.36Tbps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6.‌包转发率‌：≥34.8/109.8Mpps‌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7.‌端口数量‌：10/100/1000BASE-T以太网端口≥24个，万兆SFP+端口≥4个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8.‌交换容量‌：≥432Gbps/4.32Tbps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9.‌支持全双工/半双工自适应‌</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10.‌VLAN功能‌：支持4K个VLAN，支持Guest VLAN、Voice VLAN，支持GVRP协议，支持MUX VLAN功能，支持基于MAC/协议/IP子网/策略/端口的VLAN，支持1:1和N:1 VLAN Mapping功能‌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11.‌组播管理‌：支持IGMP v1/v2/v3 Snooping，支持可控组播，支持捆绑端口的组播负载分担，支持基于端口的组播流量统计，支持MLD v1/v2 Snooping‌</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网管功能‌：支持iStack智能堆叠，支持虚拟电缆检测，支持Telnet远程配置、维护，支持SNMPv1/v2c/v3，支持RMON，支持eSight网管系统、WEB网管特性，支持HTTPS，支持LLDP/LLDP-MED，支持系统日志、分级告警，支持802.3az能效以太网（EEE）‌</w:t>
            </w:r>
          </w:p>
        </w:tc>
      </w:tr>
      <w:tr w14:paraId="1E99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2" w:hRule="atLeast"/>
        </w:trPr>
        <w:tc>
          <w:tcPr>
            <w:tcW w:w="816" w:type="dxa"/>
            <w:shd w:val="clear" w:color="auto" w:fill="auto"/>
            <w:vAlign w:val="center"/>
          </w:tcPr>
          <w:p w14:paraId="5BC8B4A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883" w:type="dxa"/>
            <w:shd w:val="clear" w:color="auto" w:fill="auto"/>
            <w:vAlign w:val="center"/>
          </w:tcPr>
          <w:p w14:paraId="0C6948B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网络交换机5</w:t>
            </w:r>
          </w:p>
        </w:tc>
        <w:tc>
          <w:tcPr>
            <w:tcW w:w="645" w:type="dxa"/>
            <w:shd w:val="clear" w:color="auto" w:fill="auto"/>
            <w:vAlign w:val="center"/>
          </w:tcPr>
          <w:p w14:paraId="337531E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450" w:type="dxa"/>
            <w:shd w:val="clear" w:color="auto" w:fill="auto"/>
            <w:vAlign w:val="center"/>
          </w:tcPr>
          <w:p w14:paraId="10A3173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1F0CCEDB">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1.‌产品类型‌：万兆以太网交换机</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2.‌应用层级‌：二层</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3.‌背板带宽‌：≥432Gbps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4.‌包转发率‌：≥78Mpps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5.‌接口数目‌：≥52口，其中10/100/1000BASE-T1.以太网端口≥48个，万兆SFP+端口≥4个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6.‌传输速率‌：10/100/1000/10000BASE-T</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7.‌MAC地址表‌：≥16K</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8.‌QoS支持‌：支持流量监管、入端口流量限速、端口队列调度、拥塞避免、出端口流量整形、高级IPv4/6ACL</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9.‌VLAN支持‌：支持4K VLAN，支持Access/Trunk/Hybrid/Qinq接入方式，支持基于端口划分VLAN</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10.‌网管功能‌：支持MAC地址自动学习、自动老化、静态MAC表项，支持IGMP V1/V2/V3 Snooping和MLD V1/V2 Snooping</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11.‌电源电压‌：220V AC，50/60Hz</w:t>
            </w:r>
          </w:p>
        </w:tc>
      </w:tr>
      <w:tr w14:paraId="4438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16" w:type="dxa"/>
            <w:shd w:val="clear" w:color="auto" w:fill="auto"/>
            <w:vAlign w:val="center"/>
          </w:tcPr>
          <w:p w14:paraId="412B33D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883" w:type="dxa"/>
            <w:shd w:val="clear" w:color="auto" w:fill="auto"/>
            <w:vAlign w:val="center"/>
          </w:tcPr>
          <w:p w14:paraId="71C0CF0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防火墙1</w:t>
            </w:r>
          </w:p>
        </w:tc>
        <w:tc>
          <w:tcPr>
            <w:tcW w:w="645" w:type="dxa"/>
            <w:shd w:val="clear" w:color="auto" w:fill="auto"/>
            <w:vAlign w:val="center"/>
          </w:tcPr>
          <w:p w14:paraId="40E5524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66348EA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6AFE76DB">
            <w:pPr>
              <w:keepNext w:val="0"/>
              <w:keepLines w:val="0"/>
              <w:widowControl/>
              <w:numPr>
                <w:ilvl w:val="0"/>
                <w:numId w:val="2"/>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‌网络端口‌：GE RJ45接口≥16个</w:t>
            </w:r>
          </w:p>
          <w:p w14:paraId="3D2C4C68">
            <w:pPr>
              <w:keepNext w:val="0"/>
              <w:keepLines w:val="0"/>
              <w:widowControl/>
              <w:numPr>
                <w:ilvl w:val="-1"/>
                <w:numId w:val="0"/>
              </w:numPr>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2.‌处理器‌：CPU≥4核，主频≥1.4GHz</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3.‌内存‌：DDR4≥4GB</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4.‌存储‌：NAND Flash≥64MB，NAND Flash≥2GB，支持M.2固态硬盘≥240GB，可热插拔</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5.‌电源‌：220V，50Hz/60Hz</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6.‌外形设计‌：U标准系列</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7.‌适用环境‌：长期工作环境温度0℃～45℃，存储温度-40℃～70℃，长期工作环境相对湿度5%RH～95%RH，无冷凝，存储相对湿度5%RH～95%RH，无冷凝</w:t>
            </w:r>
          </w:p>
        </w:tc>
      </w:tr>
      <w:tr w14:paraId="5842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7" w:hRule="atLeast"/>
        </w:trPr>
        <w:tc>
          <w:tcPr>
            <w:tcW w:w="816" w:type="dxa"/>
            <w:shd w:val="clear" w:color="auto" w:fill="auto"/>
            <w:vAlign w:val="center"/>
          </w:tcPr>
          <w:p w14:paraId="5FDABAD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883" w:type="dxa"/>
            <w:shd w:val="clear" w:color="auto" w:fill="auto"/>
            <w:vAlign w:val="center"/>
          </w:tcPr>
          <w:p w14:paraId="00D745D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防火墙2</w:t>
            </w:r>
          </w:p>
        </w:tc>
        <w:tc>
          <w:tcPr>
            <w:tcW w:w="645" w:type="dxa"/>
            <w:shd w:val="clear" w:color="auto" w:fill="auto"/>
            <w:vAlign w:val="center"/>
          </w:tcPr>
          <w:p w14:paraId="01FA16A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7D4A249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3CB505C6">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1.网络处理能力≥4Gbps，</w:t>
            </w:r>
          </w:p>
          <w:p w14:paraId="24940FBE">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2.并发连接≥180万，</w:t>
            </w:r>
          </w:p>
          <w:p w14:paraId="6637238E">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3.每秒新建连接≥6万/秒，</w:t>
            </w:r>
          </w:p>
          <w:p w14:paraId="09E943EF">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r>
              <w:rPr>
                <w:rStyle w:val="6"/>
                <w:rFonts w:hint="eastAsia" w:ascii="仿宋" w:hAnsi="仿宋" w:eastAsia="仿宋" w:cs="仿宋"/>
                <w:sz w:val="28"/>
                <w:szCs w:val="28"/>
                <w:u w:val="none"/>
                <w:lang w:val="en-US" w:eastAsia="zh-CN" w:bidi="ar"/>
              </w:rPr>
              <w:t>U标准系列</w:t>
            </w:r>
            <w:r>
              <w:rPr>
                <w:rFonts w:hint="eastAsia" w:ascii="仿宋" w:hAnsi="仿宋" w:eastAsia="仿宋" w:cs="仿宋"/>
                <w:i w:val="0"/>
                <w:iCs w:val="0"/>
                <w:color w:val="000000"/>
                <w:kern w:val="0"/>
                <w:sz w:val="28"/>
                <w:szCs w:val="28"/>
                <w:u w:val="none"/>
                <w:lang w:val="en-US" w:eastAsia="zh-CN" w:bidi="ar"/>
              </w:rPr>
              <w:t>，</w:t>
            </w:r>
          </w:p>
          <w:p w14:paraId="54C79815">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5.冗余电源，</w:t>
            </w:r>
          </w:p>
          <w:p w14:paraId="6120A56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6.标准配置板载≥8个10/100/1000M自适应电口、SFP插槽≥2个和SFP+插槽≥2个,Console口≥1个， 报价中包括16个SSLVPN 并发用户数（最大300）、16个IPsecVPN 并发隧道数（最大1000）。</w:t>
            </w:r>
          </w:p>
          <w:p w14:paraId="2590C435">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7.扩展插槽≥2个，支持扩展板卡</w:t>
            </w:r>
          </w:p>
        </w:tc>
      </w:tr>
      <w:tr w14:paraId="3280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0" w:hRule="atLeast"/>
        </w:trPr>
        <w:tc>
          <w:tcPr>
            <w:tcW w:w="816" w:type="dxa"/>
            <w:shd w:val="clear" w:color="auto" w:fill="auto"/>
            <w:vAlign w:val="center"/>
          </w:tcPr>
          <w:p w14:paraId="7515769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883" w:type="dxa"/>
            <w:shd w:val="clear" w:color="auto" w:fill="auto"/>
            <w:vAlign w:val="center"/>
          </w:tcPr>
          <w:p w14:paraId="4CE3103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路由器1</w:t>
            </w:r>
          </w:p>
        </w:tc>
        <w:tc>
          <w:tcPr>
            <w:tcW w:w="645" w:type="dxa"/>
            <w:shd w:val="clear" w:color="auto" w:fill="auto"/>
            <w:vAlign w:val="center"/>
          </w:tcPr>
          <w:p w14:paraId="53F363E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1971A16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620EE7EA">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r>
              <w:rPr>
                <w:rStyle w:val="6"/>
                <w:rFonts w:hint="eastAsia" w:ascii="仿宋" w:hAnsi="仿宋" w:eastAsia="仿宋" w:cs="仿宋"/>
                <w:sz w:val="28"/>
                <w:szCs w:val="28"/>
                <w:u w:val="none"/>
                <w:lang w:val="en-US" w:eastAsia="zh-CN" w:bidi="ar"/>
              </w:rPr>
              <w:t>内存≥2G</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w:t>
            </w:r>
            <w:r>
              <w:rPr>
                <w:rStyle w:val="6"/>
                <w:rFonts w:hint="eastAsia" w:ascii="仿宋" w:hAnsi="仿宋" w:eastAsia="仿宋" w:cs="仿宋"/>
                <w:sz w:val="28"/>
                <w:szCs w:val="28"/>
                <w:u w:val="none"/>
                <w:lang w:val="en-US" w:eastAsia="zh-CN" w:bidi="ar"/>
              </w:rPr>
              <w:t>Flash内存≥512M</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w:t>
            </w:r>
            <w:r>
              <w:rPr>
                <w:rStyle w:val="6"/>
                <w:rFonts w:hint="eastAsia" w:ascii="仿宋" w:hAnsi="仿宋" w:eastAsia="仿宋" w:cs="仿宋"/>
                <w:sz w:val="28"/>
                <w:szCs w:val="28"/>
                <w:u w:val="none"/>
                <w:lang w:val="en-US" w:eastAsia="zh-CN" w:bidi="ar"/>
              </w:rPr>
              <w:t>TF卡≥1个，容量≥64G</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w:t>
            </w:r>
            <w:r>
              <w:rPr>
                <w:rStyle w:val="6"/>
                <w:rFonts w:hint="eastAsia" w:ascii="仿宋" w:hAnsi="仿宋" w:eastAsia="仿宋" w:cs="仿宋"/>
                <w:sz w:val="28"/>
                <w:szCs w:val="28"/>
                <w:u w:val="none"/>
                <w:lang w:val="en-US" w:eastAsia="zh-CN" w:bidi="ar"/>
              </w:rPr>
              <w:t>硬盘：支持SATA HDD硬盘（交流款型）</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w:t>
            </w:r>
            <w:r>
              <w:rPr>
                <w:rStyle w:val="6"/>
                <w:rFonts w:hint="eastAsia" w:ascii="仿宋" w:hAnsi="仿宋" w:eastAsia="仿宋" w:cs="仿宋"/>
                <w:sz w:val="28"/>
                <w:szCs w:val="28"/>
                <w:u w:val="none"/>
                <w:lang w:val="en-US" w:eastAsia="zh-CN" w:bidi="ar"/>
              </w:rPr>
              <w:t>扩展插槽：SIC插槽≥4个</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w:t>
            </w:r>
            <w:r>
              <w:rPr>
                <w:rStyle w:val="6"/>
                <w:rFonts w:hint="eastAsia" w:ascii="仿宋" w:hAnsi="仿宋" w:eastAsia="仿宋" w:cs="仿宋"/>
                <w:sz w:val="28"/>
                <w:szCs w:val="28"/>
                <w:u w:val="none"/>
                <w:lang w:val="en-US" w:eastAsia="zh-CN" w:bidi="ar"/>
              </w:rPr>
              <w:t>接口：USB2.0≥1，支持3G/4G Modem扩展；CON/AUX≥1个；固定GE口为4GE（2Combo）+2SFP</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w:t>
            </w:r>
            <w:r>
              <w:rPr>
                <w:rStyle w:val="6"/>
                <w:rFonts w:hint="eastAsia" w:ascii="仿宋" w:hAnsi="仿宋" w:eastAsia="仿宋" w:cs="仿宋"/>
                <w:sz w:val="28"/>
                <w:szCs w:val="28"/>
                <w:u w:val="none"/>
                <w:lang w:val="en-US" w:eastAsia="zh-CN" w:bidi="ar"/>
              </w:rPr>
              <w:t>交换容量≥37Gbps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w:t>
            </w:r>
            <w:r>
              <w:rPr>
                <w:rFonts w:hint="eastAsia" w:ascii="仿宋" w:hAnsi="仿宋" w:eastAsia="仿宋" w:cs="仿宋"/>
                <w:i w:val="0"/>
                <w:iCs w:val="0"/>
                <w:color w:val="000000"/>
                <w:kern w:val="0"/>
                <w:sz w:val="28"/>
                <w:szCs w:val="28"/>
                <w:u w:val="none"/>
                <w:lang w:val="en-US" w:eastAsia="zh-CN" w:bidi="ar"/>
              </w:rPr>
              <w:t>.</w:t>
            </w:r>
            <w:r>
              <w:rPr>
                <w:rStyle w:val="6"/>
                <w:rFonts w:hint="eastAsia" w:ascii="仿宋" w:hAnsi="仿宋" w:eastAsia="仿宋" w:cs="仿宋"/>
                <w:sz w:val="28"/>
                <w:szCs w:val="28"/>
                <w:u w:val="none"/>
                <w:lang w:val="en-US" w:eastAsia="zh-CN" w:bidi="ar"/>
              </w:rPr>
              <w:t>IPv4转发性能≥9Mpps</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w:t>
            </w:r>
            <w:r>
              <w:rPr>
                <w:rStyle w:val="6"/>
                <w:rFonts w:hint="eastAsia" w:ascii="仿宋" w:hAnsi="仿宋" w:eastAsia="仿宋" w:cs="仿宋"/>
                <w:sz w:val="28"/>
                <w:szCs w:val="28"/>
                <w:u w:val="none"/>
                <w:lang w:val="en-US" w:eastAsia="zh-CN" w:bidi="ar"/>
              </w:rPr>
              <w:t>路由条目≥200K</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w:t>
            </w:r>
            <w:r>
              <w:rPr>
                <w:rStyle w:val="6"/>
                <w:rFonts w:hint="eastAsia" w:ascii="仿宋" w:hAnsi="仿宋" w:eastAsia="仿宋" w:cs="仿宋"/>
                <w:sz w:val="28"/>
                <w:szCs w:val="28"/>
                <w:u w:val="none"/>
                <w:lang w:val="en-US" w:eastAsia="zh-CN" w:bidi="ar"/>
              </w:rPr>
              <w:t>二层协议：支持Ethernet，Ethernet II，VLAN等</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11.</w:t>
            </w:r>
            <w:r>
              <w:rPr>
                <w:rStyle w:val="6"/>
                <w:rFonts w:hint="eastAsia" w:ascii="仿宋" w:hAnsi="仿宋" w:eastAsia="仿宋" w:cs="仿宋"/>
                <w:sz w:val="28"/>
                <w:szCs w:val="28"/>
                <w:u w:val="none"/>
                <w:lang w:val="en-US" w:eastAsia="zh-CN" w:bidi="ar"/>
              </w:rPr>
              <w:t>IP服务：支持单播转发/组播转发，TCP，UDP等，支持ECMP、UCMP</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12.</w:t>
            </w:r>
            <w:r>
              <w:rPr>
                <w:rStyle w:val="6"/>
                <w:rFonts w:hint="eastAsia" w:ascii="仿宋" w:hAnsi="仿宋" w:eastAsia="仿宋" w:cs="仿宋"/>
                <w:sz w:val="28"/>
                <w:szCs w:val="28"/>
                <w:u w:val="none"/>
                <w:lang w:val="en-US" w:eastAsia="zh-CN" w:bidi="ar"/>
              </w:rPr>
              <w:t>IP应用：支持Ping、Trace、ICMP，DHCP Server、DHCP Relay等</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13.</w:t>
            </w:r>
            <w:r>
              <w:rPr>
                <w:rStyle w:val="6"/>
                <w:rFonts w:hint="eastAsia" w:ascii="仿宋" w:hAnsi="仿宋" w:eastAsia="仿宋" w:cs="仿宋"/>
                <w:sz w:val="28"/>
                <w:szCs w:val="28"/>
                <w:u w:val="none"/>
                <w:lang w:val="en-US" w:eastAsia="zh-CN" w:bidi="ar"/>
              </w:rPr>
              <w:t>IPv4路由：支持静态路由，动态路由协议RIPv1/v2、OSPFv2、BGP、IS-IS等</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14.</w:t>
            </w:r>
            <w:r>
              <w:rPr>
                <w:rStyle w:val="6"/>
                <w:rFonts w:hint="eastAsia" w:ascii="仿宋" w:hAnsi="仿宋" w:eastAsia="仿宋" w:cs="仿宋"/>
                <w:sz w:val="28"/>
                <w:szCs w:val="28"/>
                <w:u w:val="none"/>
                <w:lang w:val="en-US" w:eastAsia="zh-CN" w:bidi="ar"/>
              </w:rPr>
              <w:t>IPv6支持：支持Ipv6 ND，Ipv6 PMTU等，支持RIPng，OSPFv3，IS-ISv6，BGP4+等动态路由协议</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15.</w:t>
            </w:r>
            <w:r>
              <w:rPr>
                <w:rStyle w:val="6"/>
                <w:rFonts w:hint="eastAsia" w:ascii="仿宋" w:hAnsi="仿宋" w:eastAsia="仿宋" w:cs="仿宋"/>
                <w:sz w:val="28"/>
                <w:szCs w:val="28"/>
                <w:u w:val="none"/>
                <w:lang w:val="en-US" w:eastAsia="zh-CN" w:bidi="ar"/>
              </w:rPr>
              <w:t>QoS支持：支持LR、Port-Based Mirroring等，支持CAR、FIFO、WFQ、CBQ等</w:t>
            </w:r>
          </w:p>
        </w:tc>
      </w:tr>
      <w:tr w14:paraId="38F8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16" w:type="dxa"/>
            <w:shd w:val="clear" w:color="auto" w:fill="auto"/>
            <w:vAlign w:val="center"/>
          </w:tcPr>
          <w:p w14:paraId="45B3D08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883" w:type="dxa"/>
            <w:shd w:val="clear" w:color="auto" w:fill="auto"/>
            <w:vAlign w:val="center"/>
          </w:tcPr>
          <w:p w14:paraId="76E56EB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路由器2</w:t>
            </w:r>
          </w:p>
        </w:tc>
        <w:tc>
          <w:tcPr>
            <w:tcW w:w="645" w:type="dxa"/>
            <w:shd w:val="clear" w:color="auto" w:fill="auto"/>
            <w:vAlign w:val="center"/>
          </w:tcPr>
          <w:p w14:paraId="489278A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296AC33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4B66ECA6">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r>
              <w:rPr>
                <w:rStyle w:val="6"/>
                <w:rFonts w:hint="eastAsia" w:ascii="仿宋" w:hAnsi="仿宋" w:eastAsia="仿宋" w:cs="仿宋"/>
                <w:sz w:val="28"/>
                <w:szCs w:val="28"/>
                <w:u w:val="none"/>
                <w:lang w:val="en-US" w:eastAsia="zh-CN" w:bidi="ar"/>
              </w:rPr>
              <w:t>VPN虚拟专网：支持VPN虚拟专网</w:t>
            </w:r>
          </w:p>
          <w:p w14:paraId="2868640D">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r>
              <w:rPr>
                <w:rStyle w:val="6"/>
                <w:rFonts w:hint="eastAsia" w:ascii="仿宋" w:hAnsi="仿宋" w:eastAsia="仿宋" w:cs="仿宋"/>
                <w:sz w:val="28"/>
                <w:szCs w:val="28"/>
                <w:u w:val="none"/>
                <w:lang w:val="en-US" w:eastAsia="zh-CN" w:bidi="ar"/>
              </w:rPr>
              <w:t>类型：有线路由器</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w:t>
            </w:r>
            <w:r>
              <w:rPr>
                <w:rStyle w:val="6"/>
                <w:rFonts w:hint="eastAsia" w:ascii="仿宋" w:hAnsi="仿宋" w:eastAsia="仿宋" w:cs="仿宋"/>
                <w:sz w:val="28"/>
                <w:szCs w:val="28"/>
                <w:u w:val="none"/>
                <w:lang w:val="en-US" w:eastAsia="zh-CN" w:bidi="ar"/>
              </w:rPr>
              <w:t>频宽≥80MHz</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w:t>
            </w:r>
            <w:r>
              <w:rPr>
                <w:rStyle w:val="6"/>
                <w:rFonts w:hint="eastAsia" w:ascii="仿宋" w:hAnsi="仿宋" w:eastAsia="仿宋" w:cs="仿宋"/>
                <w:sz w:val="28"/>
                <w:szCs w:val="28"/>
                <w:u w:val="none"/>
                <w:lang w:val="en-US" w:eastAsia="zh-CN" w:bidi="ar"/>
              </w:rPr>
              <w:t>LAN输出口：千兆网口</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w:t>
            </w:r>
            <w:r>
              <w:rPr>
                <w:rStyle w:val="6"/>
                <w:rFonts w:hint="eastAsia" w:ascii="仿宋" w:hAnsi="仿宋" w:eastAsia="仿宋" w:cs="仿宋"/>
                <w:sz w:val="28"/>
                <w:szCs w:val="28"/>
                <w:u w:val="none"/>
                <w:lang w:val="en-US" w:eastAsia="zh-CN" w:bidi="ar"/>
              </w:rPr>
              <w:t>管理方式：WEB页面，其他，命令行</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w:t>
            </w:r>
            <w:r>
              <w:rPr>
                <w:rStyle w:val="6"/>
                <w:rFonts w:hint="eastAsia" w:ascii="仿宋" w:hAnsi="仿宋" w:eastAsia="仿宋" w:cs="仿宋"/>
                <w:sz w:val="28"/>
                <w:szCs w:val="28"/>
                <w:u w:val="none"/>
                <w:lang w:val="en-US" w:eastAsia="zh-CN" w:bidi="ar"/>
              </w:rPr>
              <w:t>Wan口数量≥4个</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w:t>
            </w:r>
            <w:r>
              <w:rPr>
                <w:rStyle w:val="6"/>
                <w:rFonts w:hint="eastAsia" w:ascii="仿宋" w:hAnsi="仿宋" w:eastAsia="仿宋" w:cs="仿宋"/>
                <w:sz w:val="28"/>
                <w:szCs w:val="28"/>
                <w:u w:val="none"/>
                <w:lang w:val="en-US" w:eastAsia="zh-CN" w:bidi="ar"/>
              </w:rPr>
              <w:t>上网行为管理：支持上网行为管理</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w:t>
            </w:r>
            <w:r>
              <w:rPr>
                <w:rStyle w:val="6"/>
                <w:rFonts w:hint="eastAsia" w:ascii="仿宋" w:hAnsi="仿宋" w:eastAsia="仿宋" w:cs="仿宋"/>
                <w:sz w:val="28"/>
                <w:szCs w:val="28"/>
                <w:u w:val="none"/>
                <w:lang w:val="en-US" w:eastAsia="zh-CN" w:bidi="ar"/>
              </w:rPr>
              <w:t>WAN口类型：其他，电口</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w:t>
            </w:r>
            <w:r>
              <w:rPr>
                <w:rStyle w:val="6"/>
                <w:rFonts w:hint="eastAsia" w:ascii="仿宋" w:hAnsi="仿宋" w:eastAsia="仿宋" w:cs="仿宋"/>
                <w:sz w:val="28"/>
                <w:szCs w:val="28"/>
                <w:u w:val="none"/>
                <w:lang w:val="en-US" w:eastAsia="zh-CN" w:bidi="ar"/>
              </w:rPr>
              <w:t>总带机量：201-300终端</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w:t>
            </w:r>
            <w:r>
              <w:rPr>
                <w:rStyle w:val="6"/>
                <w:rFonts w:hint="eastAsia" w:ascii="仿宋" w:hAnsi="仿宋" w:eastAsia="仿宋" w:cs="仿宋"/>
                <w:sz w:val="28"/>
                <w:szCs w:val="28"/>
                <w:u w:val="none"/>
                <w:lang w:val="en-US" w:eastAsia="zh-CN" w:bidi="ar"/>
              </w:rPr>
              <w:t>AI功能：AI组网</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11.</w:t>
            </w:r>
            <w:r>
              <w:rPr>
                <w:rStyle w:val="6"/>
                <w:rFonts w:hint="eastAsia" w:ascii="仿宋" w:hAnsi="仿宋" w:eastAsia="仿宋" w:cs="仿宋"/>
                <w:sz w:val="28"/>
                <w:szCs w:val="28"/>
                <w:u w:val="none"/>
                <w:lang w:val="en-US" w:eastAsia="zh-CN" w:bidi="ar"/>
              </w:rPr>
              <w:t>AP管理：支持AP管理</w:t>
            </w:r>
          </w:p>
        </w:tc>
      </w:tr>
      <w:tr w14:paraId="4900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4" w:hRule="atLeast"/>
        </w:trPr>
        <w:tc>
          <w:tcPr>
            <w:tcW w:w="816" w:type="dxa"/>
            <w:shd w:val="clear" w:color="auto" w:fill="auto"/>
            <w:vAlign w:val="center"/>
          </w:tcPr>
          <w:p w14:paraId="75F1651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883" w:type="dxa"/>
            <w:shd w:val="clear" w:color="auto" w:fill="auto"/>
            <w:vAlign w:val="center"/>
          </w:tcPr>
          <w:p w14:paraId="60EBF66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（加密）传真机</w:t>
            </w:r>
          </w:p>
        </w:tc>
        <w:tc>
          <w:tcPr>
            <w:tcW w:w="645" w:type="dxa"/>
            <w:shd w:val="clear" w:color="auto" w:fill="auto"/>
            <w:vAlign w:val="center"/>
          </w:tcPr>
          <w:p w14:paraId="70FE80D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712581F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08CBEAC4">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1.激光打印</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2.性能：打印复印传真</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3.尺寸≤50cm*50cm*45cm</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4.内存≥16MB</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5.自动进稿器ADF≥20页</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6.纸张容量≥250页</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7.打印速度≥24页每分钟</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8.分辨率≥600*600dpi</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9.自动重拨、支持中文、鼓粉分离</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10.调制解调器速度≥14.4Kbps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11.传输速度≥2.5秒</w:t>
            </w:r>
          </w:p>
        </w:tc>
      </w:tr>
      <w:tr w14:paraId="3771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16" w:type="dxa"/>
            <w:shd w:val="clear" w:color="auto" w:fill="auto"/>
            <w:vAlign w:val="center"/>
          </w:tcPr>
          <w:p w14:paraId="5186F4A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883" w:type="dxa"/>
            <w:shd w:val="clear" w:color="auto" w:fill="auto"/>
            <w:vAlign w:val="center"/>
          </w:tcPr>
          <w:p w14:paraId="537876A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机房程控交换设备1</w:t>
            </w:r>
          </w:p>
        </w:tc>
        <w:tc>
          <w:tcPr>
            <w:tcW w:w="645" w:type="dxa"/>
            <w:shd w:val="clear" w:color="auto" w:fill="auto"/>
            <w:vAlign w:val="center"/>
          </w:tcPr>
          <w:p w14:paraId="5587DA9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2955447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7F4718B2">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1.标准U机架式，单框≥200个FXS口或60个E1</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2.≥5个业务板槽位，≥2个主控板槽位；</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3.支持直流或交流电源模块，支持1+1电源备份;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4.模块化设备，满配≥480个模拟接口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5.≥1200个分机</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6.≥1200个IP外线</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7.内置语音信箱</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8.支持双主控、双电源、双网口冗余</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9.支持双机热备</w:t>
            </w:r>
          </w:p>
        </w:tc>
      </w:tr>
      <w:tr w14:paraId="6E69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7" w:hRule="atLeast"/>
        </w:trPr>
        <w:tc>
          <w:tcPr>
            <w:tcW w:w="816" w:type="dxa"/>
            <w:shd w:val="clear" w:color="auto" w:fill="auto"/>
            <w:vAlign w:val="center"/>
          </w:tcPr>
          <w:p w14:paraId="2A0595D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883" w:type="dxa"/>
            <w:shd w:val="clear" w:color="auto" w:fill="auto"/>
            <w:vAlign w:val="center"/>
          </w:tcPr>
          <w:p w14:paraId="5473328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机房程控交换设备2</w:t>
            </w:r>
          </w:p>
        </w:tc>
        <w:tc>
          <w:tcPr>
            <w:tcW w:w="645" w:type="dxa"/>
            <w:shd w:val="clear" w:color="auto" w:fill="auto"/>
            <w:vAlign w:val="center"/>
          </w:tcPr>
          <w:p w14:paraId="7548C43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7BA393C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28272345">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1.配套主控板，≥3个千兆网口，支持双主控备份，支持≥3000线注册容量，支持≥300路并发</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2.≥5个业务板槽位，≥2个主控板槽位；</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3.支持直流或交流电源模块，支持1+1电源备份。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4.支持双主控备份</w:t>
            </w:r>
          </w:p>
        </w:tc>
      </w:tr>
      <w:tr w14:paraId="274F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7" w:hRule="atLeast"/>
        </w:trPr>
        <w:tc>
          <w:tcPr>
            <w:tcW w:w="816" w:type="dxa"/>
            <w:shd w:val="clear" w:color="auto" w:fill="auto"/>
            <w:vAlign w:val="center"/>
          </w:tcPr>
          <w:p w14:paraId="18BF602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883" w:type="dxa"/>
            <w:shd w:val="clear" w:color="auto" w:fill="auto"/>
            <w:vAlign w:val="center"/>
          </w:tcPr>
          <w:p w14:paraId="73F8DE6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机房程控交换设备3</w:t>
            </w:r>
          </w:p>
        </w:tc>
        <w:tc>
          <w:tcPr>
            <w:tcW w:w="645" w:type="dxa"/>
            <w:shd w:val="clear" w:color="auto" w:fill="auto"/>
            <w:vAlign w:val="center"/>
          </w:tcPr>
          <w:p w14:paraId="07B5682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50" w:type="dxa"/>
            <w:shd w:val="clear" w:color="auto" w:fill="auto"/>
            <w:vAlign w:val="center"/>
          </w:tcPr>
          <w:p w14:paraId="00250BA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43E919B2">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1.配套模拟用户板，提供≥96个FXS口，RJ21接口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硬件参数：</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2.CONSOLE口，用于串口调试维护</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3.单板支持≥96个模拟用户，单板并发能力≥30路。</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4.根据采购人需求配备电话线缆</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5.支持传真功能</w:t>
            </w:r>
          </w:p>
        </w:tc>
      </w:tr>
      <w:tr w14:paraId="72F8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5" w:hRule="atLeast"/>
        </w:trPr>
        <w:tc>
          <w:tcPr>
            <w:tcW w:w="816" w:type="dxa"/>
            <w:shd w:val="clear" w:color="auto" w:fill="auto"/>
            <w:vAlign w:val="center"/>
          </w:tcPr>
          <w:p w14:paraId="0D41209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883" w:type="dxa"/>
            <w:shd w:val="clear" w:color="auto" w:fill="auto"/>
            <w:vAlign w:val="center"/>
          </w:tcPr>
          <w:p w14:paraId="29F3C0A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机房程控交换设备4</w:t>
            </w:r>
          </w:p>
        </w:tc>
        <w:tc>
          <w:tcPr>
            <w:tcW w:w="645" w:type="dxa"/>
            <w:shd w:val="clear" w:color="auto" w:fill="auto"/>
            <w:vAlign w:val="center"/>
          </w:tcPr>
          <w:p w14:paraId="146D9D2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450" w:type="dxa"/>
            <w:shd w:val="clear" w:color="auto" w:fill="auto"/>
            <w:vAlign w:val="center"/>
          </w:tcPr>
          <w:p w14:paraId="50AB0E3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48" w:type="dxa"/>
            <w:shd w:val="clear" w:color="auto" w:fill="auto"/>
            <w:vAlign w:val="center"/>
          </w:tcPr>
          <w:p w14:paraId="73D2667B">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IPPBX配套的用户许可授权软件包，每包</w:t>
            </w:r>
            <w:r>
              <w:rPr>
                <w:rStyle w:val="6"/>
                <w:rFonts w:hint="eastAsia" w:ascii="仿宋" w:hAnsi="仿宋" w:eastAsia="仿宋" w:cs="仿宋"/>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10个授权</w:t>
            </w:r>
          </w:p>
        </w:tc>
      </w:tr>
      <w:tr w14:paraId="3B20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3" w:hRule="atLeast"/>
        </w:trPr>
        <w:tc>
          <w:tcPr>
            <w:tcW w:w="816" w:type="dxa"/>
            <w:shd w:val="clear" w:color="auto" w:fill="auto"/>
            <w:vAlign w:val="center"/>
          </w:tcPr>
          <w:p w14:paraId="2EF152E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883" w:type="dxa"/>
            <w:shd w:val="clear" w:color="auto" w:fill="auto"/>
            <w:vAlign w:val="center"/>
          </w:tcPr>
          <w:p w14:paraId="4551CDA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机房程控交换设备5</w:t>
            </w:r>
          </w:p>
        </w:tc>
        <w:tc>
          <w:tcPr>
            <w:tcW w:w="645" w:type="dxa"/>
            <w:shd w:val="clear" w:color="auto" w:fill="auto"/>
            <w:vAlign w:val="center"/>
          </w:tcPr>
          <w:p w14:paraId="292FA3D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26D65F6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275A5BA5">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1.1U机架型TG，</w:t>
            </w:r>
          </w:p>
          <w:p w14:paraId="2F1072E2">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2.支持PRI/SS7/R2，提供≥1个E1口。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3.RS-232接口≥1个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4.协议：SIP，PRI，SS7(ISUP/TUP)，R2</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5.语音增强特性:G.165、G.168回声抵消,动态语音抖动缓冲（Dynamic Jitter Buffer),语音检测（VAD），舒适音产生（CNG），包丢失补偿</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6.支持本地维护、远程维护、日志管理</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7.支持集中/远程设备管理，信令跟踪</w:t>
            </w:r>
          </w:p>
        </w:tc>
      </w:tr>
      <w:tr w14:paraId="4E1D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816" w:type="dxa"/>
            <w:shd w:val="clear" w:color="auto" w:fill="auto"/>
            <w:vAlign w:val="center"/>
          </w:tcPr>
          <w:p w14:paraId="799C4E5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883" w:type="dxa"/>
            <w:shd w:val="clear" w:color="auto" w:fill="auto"/>
            <w:vAlign w:val="center"/>
          </w:tcPr>
          <w:p w14:paraId="4C1538F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机房程控交换设备6</w:t>
            </w:r>
          </w:p>
        </w:tc>
        <w:tc>
          <w:tcPr>
            <w:tcW w:w="645" w:type="dxa"/>
            <w:shd w:val="clear" w:color="auto" w:fill="auto"/>
            <w:vAlign w:val="center"/>
          </w:tcPr>
          <w:p w14:paraId="3985341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50" w:type="dxa"/>
            <w:shd w:val="clear" w:color="auto" w:fill="auto"/>
            <w:vAlign w:val="center"/>
          </w:tcPr>
          <w:p w14:paraId="3E77A62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54D43AD4">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语音配线架：5类≥24口网络配线架</w:t>
            </w:r>
          </w:p>
        </w:tc>
      </w:tr>
      <w:tr w14:paraId="5A61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816" w:type="dxa"/>
            <w:shd w:val="clear" w:color="auto" w:fill="auto"/>
            <w:vAlign w:val="center"/>
          </w:tcPr>
          <w:p w14:paraId="6645E0B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883" w:type="dxa"/>
            <w:shd w:val="clear" w:color="auto" w:fill="FFFFFF"/>
            <w:vAlign w:val="center"/>
          </w:tcPr>
          <w:p w14:paraId="5CF25F1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电池2</w:t>
            </w:r>
          </w:p>
        </w:tc>
        <w:tc>
          <w:tcPr>
            <w:tcW w:w="645" w:type="dxa"/>
            <w:shd w:val="clear" w:color="auto" w:fill="auto"/>
            <w:vAlign w:val="center"/>
          </w:tcPr>
          <w:p w14:paraId="34CF7CF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264</w:t>
            </w:r>
          </w:p>
        </w:tc>
        <w:tc>
          <w:tcPr>
            <w:tcW w:w="450" w:type="dxa"/>
            <w:shd w:val="clear" w:color="auto" w:fill="auto"/>
            <w:vAlign w:val="center"/>
          </w:tcPr>
          <w:p w14:paraId="0DC386F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5748" w:type="dxa"/>
            <w:shd w:val="clear" w:color="auto" w:fill="auto"/>
            <w:vAlign w:val="center"/>
          </w:tcPr>
          <w:p w14:paraId="02AFD76C">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1.工作温度：－15～+45℃；</w:t>
            </w:r>
          </w:p>
          <w:p w14:paraId="2ED4E8D1">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2.相对湿度：90％，（40℃±2℃）；</w:t>
            </w:r>
          </w:p>
          <w:p w14:paraId="73436077">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#3.蓄电池在工作环境温度为0℃时的容量应不低于该电池标称容量（25℃时的C10）的80%；</w:t>
            </w:r>
          </w:p>
          <w:p w14:paraId="2A94346F">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#4.蓄电池组进入浮充状态24h后，各蓄电池间的端电压差值≤480mV（12V）；</w:t>
            </w:r>
          </w:p>
          <w:p w14:paraId="1775DA58">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#5.蓄电池放电时，各蓄电池间的端电压差值≤0.6V（12V）；</w:t>
            </w:r>
          </w:p>
          <w:p w14:paraId="5FE00AD3">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6.使用寿命：≥8年；</w:t>
            </w:r>
          </w:p>
          <w:p w14:paraId="125B6E40">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7.蓄电池在正常浮充工作中无酸雾逸出。</w:t>
            </w:r>
          </w:p>
          <w:p w14:paraId="37C1CD95">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8.蓄电池密封反应效率应≥95%。</w:t>
            </w:r>
          </w:p>
          <w:p w14:paraId="058B3A4D">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9.安全阀具有自动开启和自动关闭的功能。</w:t>
            </w:r>
          </w:p>
          <w:p w14:paraId="3C4B788C">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10.蓄电池能承受50kPa的正压或负压而不破裂、不开胶，压力释放后壳体无残余变形。</w:t>
            </w:r>
          </w:p>
          <w:p w14:paraId="662F3972">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11.电池端子是铜芯端子，端子的直径必须满足使用最大载流能力。</w:t>
            </w:r>
          </w:p>
          <w:p w14:paraId="4FC0B3D3">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12.每块电池具备监测功能。</w:t>
            </w:r>
          </w:p>
          <w:p w14:paraId="287C6100">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13.电池温度补偿组件：含LCD显示屏，电池温度传感器，用于充电温度补偿功能。</w:t>
            </w:r>
          </w:p>
          <w:p w14:paraId="3CD04744">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#14.系统升级：含UPS生产商进行电池参数的设置和系统版本升级服务，投标人需提供承诺函并加盖投标人公章。</w:t>
            </w:r>
          </w:p>
          <w:p w14:paraId="19273DFD">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#15.投标人应承诺可以与UPS主机配套使用，并提供电池架、控制柜、电池汇流排等所有所需的辅材、配件、线材等；投标人需提供承诺函并加盖公章。</w:t>
            </w:r>
          </w:p>
          <w:p w14:paraId="5CEC96EC">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16.其他要求：接入动环监测系统。</w:t>
            </w:r>
          </w:p>
          <w:p w14:paraId="3935AD9C">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17.在重大活动期间加强检测和保障服务。</w:t>
            </w:r>
          </w:p>
          <w:p w14:paraId="350CB58A">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u w:val="none"/>
                <w:lang w:val="en-US" w:eastAsia="zh-CN" w:bidi="ar"/>
              </w:rPr>
              <w:t>★18. 12V，≥120AH，免维护铅酸蓄电池。</w:t>
            </w:r>
          </w:p>
        </w:tc>
      </w:tr>
    </w:tbl>
    <w:p w14:paraId="72EAB413">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447AC"/>
    <w:multiLevelType w:val="singleLevel"/>
    <w:tmpl w:val="356447AC"/>
    <w:lvl w:ilvl="0" w:tentative="0">
      <w:start w:val="1"/>
      <w:numFmt w:val="decimal"/>
      <w:lvlText w:val="%1."/>
      <w:lvlJc w:val="left"/>
      <w:pPr>
        <w:tabs>
          <w:tab w:val="left" w:pos="312"/>
        </w:tabs>
      </w:pPr>
    </w:lvl>
  </w:abstractNum>
  <w:abstractNum w:abstractNumId="1">
    <w:nsid w:val="7A03C55C"/>
    <w:multiLevelType w:val="singleLevel"/>
    <w:tmpl w:val="7A03C55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37FB3"/>
    <w:rsid w:val="25637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szCs w:val="22"/>
    </w:rPr>
  </w:style>
  <w:style w:type="paragraph" w:customStyle="1" w:styleId="5">
    <w:name w:val="SOW正文"/>
    <w:basedOn w:val="1"/>
    <w:qFormat/>
    <w:uiPriority w:val="0"/>
    <w:pPr>
      <w:snapToGrid w:val="0"/>
      <w:spacing w:before="120" w:line="400" w:lineRule="exact"/>
      <w:ind w:firstLine="425"/>
    </w:pPr>
    <w:rPr>
      <w:rFonts w:ascii="Times New Roman" w:hAnsi="Times New Roman"/>
      <w:sz w:val="24"/>
      <w:szCs w:val="20"/>
    </w:rPr>
  </w:style>
  <w:style w:type="character" w:customStyle="1" w:styleId="6">
    <w:name w:val="font21"/>
    <w:basedOn w:val="3"/>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2025-07-01T09:23:00Z</dcterms:created>
  <dc:creator>亚希Edison</dc:creator>
  <cp:lastModifiedBy>亚希Edison</cp:lastModifiedBy>
  <dcterms:modified xsi:type="dcterms:W3CDTF">2025-07-01T09:23:54Z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D76BC1E0ECAE4E3488C980B7B01EF71F_11</vt:lpwstr>
  </property>
  <property fmtid="{D5CDD505-2E9C-101B-9397-08002B2CF9AE}" pid="4" name="KSOTemplateDocerSaveRecord">
    <vt:lpwstr>eyJoZGlkIjoiNDY0MzQwNDM3NzMyOTAwZGViMTFjZmY0M2U4NTllMzgiLCJ1c2VySWQiOiIyNjk3ODg1OTAifQ==</vt:lpwstr>
  </property>
</Properties>
</file>