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D4848">
      <w:pPr>
        <w:spacing w:line="360" w:lineRule="auto"/>
        <w:jc w:val="center"/>
        <w:outlineLvl w:val="0"/>
        <w:rPr>
          <w:b/>
          <w:color w:val="auto"/>
          <w:sz w:val="36"/>
          <w:szCs w:val="36"/>
          <w:highlight w:val="none"/>
        </w:rPr>
      </w:pPr>
      <w:r>
        <w:rPr>
          <w:b/>
          <w:color w:val="auto"/>
          <w:sz w:val="36"/>
          <w:szCs w:val="36"/>
          <w:highlight w:val="none"/>
        </w:rPr>
        <w:t>采购需求</w:t>
      </w:r>
    </w:p>
    <w:p w14:paraId="20F48628">
      <w:pPr>
        <w:pStyle w:val="6"/>
        <w:rPr>
          <w:color w:val="auto"/>
          <w:highlight w:val="none"/>
        </w:rPr>
      </w:pPr>
    </w:p>
    <w:p w14:paraId="5213C6FB">
      <w:pPr>
        <w:pStyle w:val="6"/>
        <w:rPr>
          <w:color w:val="auto"/>
          <w:highlight w:val="none"/>
        </w:rPr>
      </w:pPr>
    </w:p>
    <w:p w14:paraId="447A85BD">
      <w:pPr>
        <w:pStyle w:val="9"/>
        <w:numPr>
          <w:ilvl w:val="0"/>
          <w:numId w:val="0"/>
        </w:numPr>
        <w:spacing w:line="360" w:lineRule="auto"/>
        <w:ind w:left="0" w:leftChars="0" w:firstLine="482" w:firstLineChars="200"/>
        <w:contextualSpacing/>
        <w:jc w:val="left"/>
        <w:rPr>
          <w:rFonts w:ascii="宋体" w:hAnsi="宋体" w:eastAsia="宋体"/>
          <w:b/>
          <w:color w:val="auto"/>
          <w:sz w:val="24"/>
          <w:szCs w:val="24"/>
          <w:highlight w:val="none"/>
        </w:rPr>
      </w:pPr>
      <w:r>
        <w:rPr>
          <w:rFonts w:hint="default" w:ascii="宋体" w:hAnsi="宋体" w:eastAsia="宋体" w:cs="Times New Roman"/>
          <w:b/>
          <w:color w:val="auto"/>
          <w:kern w:val="2"/>
          <w:sz w:val="24"/>
          <w:szCs w:val="24"/>
          <w:highlight w:val="none"/>
          <w:lang w:val="en-US" w:eastAsia="zh-CN" w:bidi="ar-SA"/>
        </w:rPr>
        <w:t>一、</w:t>
      </w:r>
      <w:r>
        <w:rPr>
          <w:rFonts w:ascii="宋体" w:hAnsi="宋体" w:eastAsia="宋体"/>
          <w:b/>
          <w:color w:val="auto"/>
          <w:sz w:val="24"/>
          <w:szCs w:val="24"/>
          <w:highlight w:val="none"/>
        </w:rPr>
        <w:t>采购标的</w:t>
      </w:r>
    </w:p>
    <w:tbl>
      <w:tblPr>
        <w:tblStyle w:val="7"/>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479"/>
        <w:gridCol w:w="2363"/>
        <w:gridCol w:w="3966"/>
      </w:tblGrid>
      <w:tr w14:paraId="68F9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exact"/>
          <w:jc w:val="center"/>
        </w:trPr>
        <w:tc>
          <w:tcPr>
            <w:tcW w:w="700" w:type="dxa"/>
            <w:noWrap w:val="0"/>
            <w:vAlign w:val="center"/>
          </w:tcPr>
          <w:p w14:paraId="70087FD9">
            <w:pPr>
              <w:spacing w:line="276" w:lineRule="auto"/>
              <w:jc w:val="center"/>
              <w:rPr>
                <w:rFonts w:ascii="宋体" w:hAnsi="宋体"/>
                <w:bCs/>
                <w:color w:val="auto"/>
                <w:sz w:val="24"/>
                <w:highlight w:val="none"/>
              </w:rPr>
            </w:pPr>
            <w:r>
              <w:rPr>
                <w:rFonts w:hint="eastAsia" w:ascii="宋体" w:hAnsi="宋体"/>
                <w:bCs/>
                <w:color w:val="auto"/>
                <w:sz w:val="24"/>
                <w:highlight w:val="none"/>
                <w:lang w:val="en-US" w:eastAsia="zh-CN"/>
              </w:rPr>
              <w:t>序</w:t>
            </w:r>
            <w:r>
              <w:rPr>
                <w:rFonts w:hint="eastAsia" w:ascii="宋体" w:hAnsi="宋体"/>
                <w:bCs/>
                <w:color w:val="auto"/>
                <w:sz w:val="24"/>
                <w:highlight w:val="none"/>
              </w:rPr>
              <w:t>号</w:t>
            </w:r>
          </w:p>
        </w:tc>
        <w:tc>
          <w:tcPr>
            <w:tcW w:w="1479" w:type="dxa"/>
            <w:noWrap w:val="0"/>
            <w:vAlign w:val="center"/>
          </w:tcPr>
          <w:p w14:paraId="378FD7B1">
            <w:pPr>
              <w:spacing w:line="276" w:lineRule="auto"/>
              <w:jc w:val="center"/>
              <w:rPr>
                <w:rFonts w:ascii="宋体" w:hAnsi="宋体"/>
                <w:bCs/>
                <w:color w:val="auto"/>
                <w:sz w:val="24"/>
                <w:highlight w:val="none"/>
              </w:rPr>
            </w:pPr>
            <w:r>
              <w:rPr>
                <w:rFonts w:hint="eastAsia" w:ascii="宋体" w:hAnsi="宋体"/>
                <w:bCs/>
                <w:color w:val="auto"/>
                <w:sz w:val="24"/>
                <w:highlight w:val="none"/>
              </w:rPr>
              <w:t>标的名称</w:t>
            </w:r>
          </w:p>
        </w:tc>
        <w:tc>
          <w:tcPr>
            <w:tcW w:w="2363" w:type="dxa"/>
            <w:noWrap w:val="0"/>
            <w:vAlign w:val="center"/>
          </w:tcPr>
          <w:p w14:paraId="72B5E572">
            <w:pPr>
              <w:spacing w:line="276" w:lineRule="auto"/>
              <w:jc w:val="center"/>
              <w:rPr>
                <w:rFonts w:ascii="宋体" w:hAnsi="宋体"/>
                <w:bCs/>
                <w:color w:val="auto"/>
                <w:sz w:val="24"/>
                <w:highlight w:val="none"/>
              </w:rPr>
            </w:pPr>
            <w:r>
              <w:rPr>
                <w:rFonts w:hint="eastAsia" w:ascii="宋体" w:hAnsi="宋体"/>
                <w:bCs/>
                <w:color w:val="auto"/>
                <w:sz w:val="24"/>
                <w:highlight w:val="none"/>
              </w:rPr>
              <w:t>采购</w:t>
            </w:r>
            <w:r>
              <w:rPr>
                <w:rFonts w:hint="eastAsia" w:ascii="宋体" w:hAnsi="宋体"/>
                <w:bCs/>
                <w:color w:val="auto"/>
                <w:sz w:val="24"/>
                <w:highlight w:val="none"/>
                <w:lang w:val="en-US" w:eastAsia="zh-CN"/>
              </w:rPr>
              <w:t>项目</w:t>
            </w:r>
            <w:r>
              <w:rPr>
                <w:rFonts w:hint="eastAsia" w:ascii="宋体" w:hAnsi="宋体"/>
                <w:bCs/>
                <w:color w:val="auto"/>
                <w:sz w:val="24"/>
                <w:highlight w:val="none"/>
              </w:rPr>
              <w:t>预算金额</w:t>
            </w:r>
          </w:p>
        </w:tc>
        <w:tc>
          <w:tcPr>
            <w:tcW w:w="3966" w:type="dxa"/>
            <w:noWrap w:val="0"/>
            <w:vAlign w:val="center"/>
          </w:tcPr>
          <w:p w14:paraId="78A90F9D">
            <w:pPr>
              <w:spacing w:line="276" w:lineRule="auto"/>
              <w:jc w:val="center"/>
              <w:rPr>
                <w:rFonts w:ascii="宋体" w:hAnsi="宋体"/>
                <w:bCs/>
                <w:color w:val="auto"/>
                <w:sz w:val="24"/>
                <w:highlight w:val="none"/>
              </w:rPr>
            </w:pPr>
            <w:r>
              <w:rPr>
                <w:rFonts w:hint="eastAsia" w:ascii="宋体" w:hAnsi="宋体"/>
                <w:bCs/>
                <w:color w:val="auto"/>
                <w:sz w:val="24"/>
                <w:highlight w:val="none"/>
              </w:rPr>
              <w:t>简要技术需求或服务要求</w:t>
            </w:r>
          </w:p>
        </w:tc>
      </w:tr>
      <w:tr w14:paraId="023A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exact"/>
          <w:jc w:val="center"/>
        </w:trPr>
        <w:tc>
          <w:tcPr>
            <w:tcW w:w="700" w:type="dxa"/>
            <w:noWrap w:val="0"/>
            <w:vAlign w:val="center"/>
          </w:tcPr>
          <w:p w14:paraId="7E6B7F4F">
            <w:pPr>
              <w:spacing w:line="276" w:lineRule="auto"/>
              <w:jc w:val="center"/>
              <w:rPr>
                <w:rFonts w:ascii="宋体" w:hAnsi="宋体"/>
                <w:bCs/>
                <w:color w:val="auto"/>
                <w:sz w:val="24"/>
                <w:highlight w:val="none"/>
              </w:rPr>
            </w:pPr>
            <w:r>
              <w:rPr>
                <w:rFonts w:hint="eastAsia" w:ascii="宋体" w:hAnsi="宋体"/>
                <w:bCs/>
                <w:color w:val="auto"/>
                <w:sz w:val="24"/>
                <w:highlight w:val="none"/>
              </w:rPr>
              <w:t>1</w:t>
            </w:r>
          </w:p>
        </w:tc>
        <w:tc>
          <w:tcPr>
            <w:tcW w:w="1479" w:type="dxa"/>
            <w:noWrap w:val="0"/>
            <w:vAlign w:val="center"/>
          </w:tcPr>
          <w:p w14:paraId="65F301B5">
            <w:pPr>
              <w:spacing w:line="276" w:lineRule="auto"/>
              <w:jc w:val="center"/>
              <w:rPr>
                <w:rFonts w:hint="eastAsia" w:ascii="宋体" w:hAnsi="宋体" w:eastAsia="宋体" w:cs="Times New Roman"/>
                <w:bCs/>
                <w:color w:val="auto"/>
                <w:kern w:val="2"/>
                <w:sz w:val="24"/>
                <w:szCs w:val="24"/>
                <w:highlight w:val="none"/>
                <w:lang w:val="en-US" w:eastAsia="zh-CN" w:bidi="ar-SA"/>
              </w:rPr>
            </w:pPr>
            <w:r>
              <w:rPr>
                <w:rFonts w:hint="eastAsia" w:ascii="宋体" w:hAnsi="宋体"/>
                <w:bCs/>
                <w:color w:val="auto"/>
                <w:sz w:val="24"/>
                <w:highlight w:val="none"/>
                <w:lang w:eastAsia="zh-CN"/>
              </w:rPr>
              <w:t>离退休人员体检</w:t>
            </w:r>
            <w:r>
              <w:rPr>
                <w:rFonts w:hint="eastAsia" w:ascii="宋体" w:hAnsi="宋体"/>
                <w:bCs/>
                <w:color w:val="auto"/>
                <w:sz w:val="24"/>
                <w:highlight w:val="none"/>
                <w:lang w:val="en-US" w:eastAsia="zh-CN"/>
              </w:rPr>
              <w:t>服务</w:t>
            </w:r>
          </w:p>
        </w:tc>
        <w:tc>
          <w:tcPr>
            <w:tcW w:w="2363" w:type="dxa"/>
            <w:noWrap w:val="0"/>
            <w:vAlign w:val="center"/>
          </w:tcPr>
          <w:p w14:paraId="14DEEA2B">
            <w:pPr>
              <w:spacing w:line="276" w:lineRule="auto"/>
              <w:jc w:val="center"/>
              <w:rPr>
                <w:rFonts w:hint="default" w:ascii="宋体" w:hAnsi="宋体" w:eastAsia="宋体" w:cs="Times New Roman"/>
                <w:bCs/>
                <w:color w:val="auto"/>
                <w:kern w:val="2"/>
                <w:sz w:val="24"/>
                <w:szCs w:val="24"/>
                <w:highlight w:val="none"/>
                <w:lang w:val="en-US" w:eastAsia="zh-CN" w:bidi="ar-SA"/>
              </w:rPr>
            </w:pPr>
            <w:r>
              <w:rPr>
                <w:rFonts w:hint="eastAsia" w:ascii="宋体" w:hAnsi="宋体"/>
                <w:bCs/>
                <w:color w:val="auto"/>
                <w:sz w:val="24"/>
                <w:highlight w:val="none"/>
                <w:lang w:val="en-US" w:eastAsia="zh-CN"/>
              </w:rPr>
              <w:t>41.86万元/年；125.58万元/三年</w:t>
            </w:r>
          </w:p>
        </w:tc>
        <w:tc>
          <w:tcPr>
            <w:tcW w:w="3966" w:type="dxa"/>
            <w:noWrap w:val="0"/>
            <w:vAlign w:val="center"/>
          </w:tcPr>
          <w:p w14:paraId="5DD13F51">
            <w:pPr>
              <w:spacing w:line="276" w:lineRule="auto"/>
              <w:jc w:val="center"/>
              <w:rPr>
                <w:rFonts w:hint="default" w:ascii="宋体" w:hAnsi="宋体" w:eastAsia="宋体" w:cs="Times New Roman"/>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提供年度我院体检人员体检分析报告。提供电话或网络预约体检、邮寄体检报告、专家咨询讲座、就医绿色通道等多种便利服务</w:t>
            </w:r>
            <w:r>
              <w:rPr>
                <w:rFonts w:hint="eastAsia" w:ascii="宋体" w:hAnsi="宋体" w:cs="宋体"/>
                <w:bCs/>
                <w:color w:val="auto"/>
                <w:kern w:val="2"/>
                <w:sz w:val="24"/>
                <w:szCs w:val="24"/>
                <w:highlight w:val="none"/>
                <w:lang w:val="en-US" w:eastAsia="zh-CN" w:bidi="ar-SA"/>
              </w:rPr>
              <w:t>等。</w:t>
            </w:r>
          </w:p>
        </w:tc>
      </w:tr>
    </w:tbl>
    <w:p w14:paraId="2159513D">
      <w:pPr>
        <w:pStyle w:val="5"/>
        <w:rPr>
          <w:color w:val="auto"/>
          <w:highlight w:val="none"/>
        </w:rPr>
      </w:pPr>
    </w:p>
    <w:p w14:paraId="2BB3896F">
      <w:pPr>
        <w:pStyle w:val="9"/>
        <w:numPr>
          <w:ilvl w:val="0"/>
          <w:numId w:val="0"/>
        </w:numPr>
        <w:spacing w:line="360" w:lineRule="auto"/>
        <w:ind w:left="0" w:leftChars="0" w:firstLine="482" w:firstLineChars="200"/>
        <w:contextualSpacing/>
        <w:jc w:val="left"/>
        <w:rPr>
          <w:rFonts w:ascii="宋体" w:hAnsi="宋体" w:eastAsia="宋体"/>
          <w:b/>
          <w:color w:val="auto"/>
          <w:sz w:val="24"/>
          <w:szCs w:val="24"/>
          <w:highlight w:val="none"/>
        </w:rPr>
      </w:pPr>
      <w:r>
        <w:rPr>
          <w:rFonts w:hint="default" w:ascii="宋体" w:hAnsi="宋体" w:eastAsia="宋体" w:cs="Times New Roman"/>
          <w:b/>
          <w:color w:val="auto"/>
          <w:kern w:val="2"/>
          <w:sz w:val="24"/>
          <w:szCs w:val="24"/>
          <w:highlight w:val="none"/>
          <w:lang w:val="en-US" w:eastAsia="zh-CN" w:bidi="ar-SA"/>
        </w:rPr>
        <w:t>二、</w:t>
      </w:r>
      <w:r>
        <w:rPr>
          <w:rFonts w:ascii="宋体" w:hAnsi="宋体" w:eastAsia="宋体"/>
          <w:b/>
          <w:color w:val="auto"/>
          <w:sz w:val="24"/>
          <w:szCs w:val="24"/>
          <w:highlight w:val="none"/>
        </w:rPr>
        <w:t>商务要求</w:t>
      </w:r>
    </w:p>
    <w:p w14:paraId="5BF5FED5">
      <w:pPr>
        <w:pStyle w:val="9"/>
        <w:numPr>
          <w:ilvl w:val="0"/>
          <w:numId w:val="0"/>
        </w:numPr>
        <w:spacing w:line="360" w:lineRule="auto"/>
        <w:ind w:left="0" w:leftChars="0" w:firstLine="480" w:firstLineChars="200"/>
        <w:contextualSpacing/>
        <w:jc w:val="left"/>
        <w:rPr>
          <w:rFonts w:hint="eastAsia" w:ascii="宋体" w:hAnsi="宋体" w:eastAsia="宋体"/>
          <w:bCs/>
          <w:color w:val="auto"/>
          <w:sz w:val="24"/>
          <w:highlight w:val="none"/>
        </w:rPr>
      </w:pPr>
      <w:r>
        <w:rPr>
          <w:rFonts w:hint="eastAsia" w:ascii="宋体" w:hAnsi="宋体" w:eastAsia="宋体"/>
          <w:bCs/>
          <w:color w:val="auto"/>
          <w:sz w:val="24"/>
          <w:highlight w:val="none"/>
          <w:lang w:val="en-US" w:eastAsia="zh-CN"/>
        </w:rPr>
        <w:t>（一）</w:t>
      </w:r>
      <w:r>
        <w:rPr>
          <w:rFonts w:hint="eastAsia" w:ascii="宋体" w:hAnsi="宋体"/>
          <w:bCs/>
          <w:color w:val="auto"/>
          <w:sz w:val="24"/>
          <w:highlight w:val="none"/>
          <w:lang w:val="en-US" w:eastAsia="zh-CN"/>
        </w:rPr>
        <w:t>服务期限</w:t>
      </w:r>
      <w:r>
        <w:rPr>
          <w:rFonts w:hint="eastAsia" w:ascii="宋体" w:hAnsi="宋体" w:eastAsia="宋体"/>
          <w:bCs/>
          <w:color w:val="auto"/>
          <w:sz w:val="24"/>
          <w:highlight w:val="none"/>
        </w:rPr>
        <w:t>和地点</w:t>
      </w:r>
    </w:p>
    <w:p w14:paraId="26149536">
      <w:pPr>
        <w:pStyle w:val="9"/>
        <w:numPr>
          <w:ilvl w:val="0"/>
          <w:numId w:val="0"/>
        </w:numPr>
        <w:spacing w:line="360" w:lineRule="auto"/>
        <w:ind w:left="0" w:leftChars="0" w:firstLine="480" w:firstLineChars="200"/>
        <w:contextualSpacing/>
        <w:jc w:val="left"/>
        <w:rPr>
          <w:rFonts w:hint="eastAsia" w:ascii="宋体" w:hAnsi="宋体" w:eastAsia="宋体"/>
          <w:bCs/>
          <w:color w:val="auto"/>
          <w:sz w:val="24"/>
          <w:highlight w:val="none"/>
          <w:lang w:eastAsia="zh-CN"/>
        </w:rPr>
      </w:pPr>
      <w:r>
        <w:rPr>
          <w:rFonts w:hint="eastAsia" w:ascii="宋体" w:hAnsi="宋体" w:eastAsia="宋体"/>
          <w:bCs/>
          <w:color w:val="auto"/>
          <w:sz w:val="24"/>
          <w:highlight w:val="none"/>
          <w:lang w:val="en-US" w:eastAsia="zh-CN"/>
        </w:rPr>
        <w:t>1.</w:t>
      </w:r>
      <w:r>
        <w:rPr>
          <w:rFonts w:hint="eastAsia" w:ascii="宋体" w:hAnsi="宋体"/>
          <w:bCs/>
          <w:color w:val="auto"/>
          <w:sz w:val="24"/>
          <w:highlight w:val="none"/>
          <w:lang w:val="en-US" w:eastAsia="zh-CN"/>
        </w:rPr>
        <w:t>服务期限</w:t>
      </w:r>
      <w:r>
        <w:rPr>
          <w:rFonts w:hint="eastAsia" w:ascii="宋体" w:hAnsi="宋体" w:eastAsia="宋体"/>
          <w:bCs/>
          <w:color w:val="auto"/>
          <w:sz w:val="24"/>
          <w:highlight w:val="none"/>
          <w:lang w:eastAsia="zh-CN"/>
        </w:rPr>
        <w:t>：</w:t>
      </w:r>
      <w:r>
        <w:rPr>
          <w:rFonts w:hint="eastAsia" w:ascii="宋体" w:hAnsi="宋体"/>
          <w:color w:val="auto"/>
          <w:sz w:val="24"/>
          <w:highlight w:val="none"/>
          <w:u w:val="single"/>
          <w:lang w:val="en-US" w:eastAsia="zh-CN"/>
        </w:rPr>
        <w:t>3年</w:t>
      </w:r>
      <w:r>
        <w:rPr>
          <w:rFonts w:hint="eastAsia" w:ascii="宋体" w:hAnsi="宋体" w:eastAsia="宋体"/>
          <w:bCs/>
          <w:color w:val="auto"/>
          <w:sz w:val="24"/>
          <w:highlight w:val="none"/>
          <w:lang w:eastAsia="zh-CN"/>
        </w:rPr>
        <w:t>。</w:t>
      </w:r>
    </w:p>
    <w:p w14:paraId="5C088451">
      <w:pPr>
        <w:pStyle w:val="9"/>
        <w:numPr>
          <w:ilvl w:val="0"/>
          <w:numId w:val="0"/>
        </w:numPr>
        <w:spacing w:line="360" w:lineRule="auto"/>
        <w:ind w:left="0" w:leftChars="0" w:firstLine="480" w:firstLineChars="200"/>
        <w:contextualSpacing/>
        <w:jc w:val="left"/>
        <w:rPr>
          <w:rFonts w:hint="default" w:ascii="宋体" w:hAnsi="宋体" w:eastAsia="宋体"/>
          <w:bCs/>
          <w:color w:val="auto"/>
          <w:sz w:val="24"/>
          <w:highlight w:val="none"/>
          <w:lang w:val="en-US" w:eastAsia="zh-CN"/>
        </w:rPr>
      </w:pPr>
      <w:r>
        <w:rPr>
          <w:rFonts w:hint="eastAsia" w:ascii="宋体" w:hAnsi="宋体" w:eastAsia="宋体"/>
          <w:bCs/>
          <w:color w:val="auto"/>
          <w:sz w:val="24"/>
          <w:highlight w:val="none"/>
          <w:lang w:val="en-US" w:eastAsia="zh-CN"/>
        </w:rPr>
        <w:t>2.</w:t>
      </w:r>
      <w:r>
        <w:rPr>
          <w:rFonts w:hint="eastAsia" w:ascii="宋体" w:hAnsi="宋体"/>
          <w:bCs/>
          <w:color w:val="auto"/>
          <w:sz w:val="24"/>
          <w:highlight w:val="none"/>
          <w:lang w:val="en-US" w:eastAsia="zh-CN"/>
        </w:rPr>
        <w:t>服务</w:t>
      </w:r>
      <w:r>
        <w:rPr>
          <w:rFonts w:hint="eastAsia" w:ascii="宋体" w:hAnsi="宋体" w:eastAsia="宋体"/>
          <w:bCs/>
          <w:color w:val="auto"/>
          <w:sz w:val="24"/>
          <w:highlight w:val="none"/>
          <w:lang w:val="en-US" w:eastAsia="zh-CN"/>
        </w:rPr>
        <w:t>地点：</w:t>
      </w:r>
      <w:r>
        <w:rPr>
          <w:rFonts w:hint="eastAsia" w:ascii="宋体" w:hAnsi="宋体" w:eastAsia="宋体"/>
          <w:bCs/>
          <w:color w:val="auto"/>
          <w:sz w:val="24"/>
          <w:highlight w:val="none"/>
          <w:u w:val="single"/>
          <w:lang w:val="en-US" w:eastAsia="zh-CN"/>
        </w:rPr>
        <w:t>采购人指定地点</w:t>
      </w:r>
      <w:r>
        <w:rPr>
          <w:rFonts w:hint="eastAsia" w:ascii="宋体" w:hAnsi="宋体" w:eastAsia="宋体"/>
          <w:bCs/>
          <w:color w:val="auto"/>
          <w:sz w:val="24"/>
          <w:highlight w:val="none"/>
          <w:lang w:val="en-US" w:eastAsia="zh-CN"/>
        </w:rPr>
        <w:t>。</w:t>
      </w:r>
    </w:p>
    <w:p w14:paraId="06CA952A">
      <w:pPr>
        <w:pStyle w:val="9"/>
        <w:numPr>
          <w:ilvl w:val="0"/>
          <w:numId w:val="0"/>
        </w:numPr>
        <w:spacing w:line="360" w:lineRule="auto"/>
        <w:ind w:left="0" w:leftChars="0" w:firstLine="480" w:firstLineChars="200"/>
        <w:contextualSpacing/>
        <w:jc w:val="left"/>
        <w:rPr>
          <w:rFonts w:hint="default" w:ascii="宋体" w:hAnsi="宋体" w:eastAsia="宋体"/>
          <w:bCs/>
          <w:color w:val="auto"/>
          <w:sz w:val="24"/>
          <w:highlight w:val="none"/>
          <w:lang w:val="en-US" w:eastAsia="zh-CN"/>
        </w:rPr>
      </w:pPr>
      <w:r>
        <w:rPr>
          <w:rFonts w:hint="eastAsia" w:ascii="宋体" w:hAnsi="宋体" w:eastAsia="宋体"/>
          <w:bCs/>
          <w:color w:val="auto"/>
          <w:sz w:val="24"/>
          <w:highlight w:val="none"/>
          <w:lang w:eastAsia="zh-CN"/>
        </w:rPr>
        <w:t>（</w:t>
      </w:r>
      <w:r>
        <w:rPr>
          <w:rFonts w:hint="eastAsia" w:ascii="宋体" w:hAnsi="宋体" w:eastAsia="宋体"/>
          <w:bCs/>
          <w:color w:val="auto"/>
          <w:sz w:val="24"/>
          <w:highlight w:val="none"/>
          <w:lang w:val="en-US" w:eastAsia="zh-CN"/>
        </w:rPr>
        <w:t>二）</w:t>
      </w:r>
      <w:r>
        <w:rPr>
          <w:rFonts w:hint="eastAsia" w:ascii="宋体" w:hAnsi="宋体" w:eastAsia="宋体"/>
          <w:bCs/>
          <w:color w:val="auto"/>
          <w:sz w:val="24"/>
          <w:highlight w:val="none"/>
        </w:rPr>
        <w:t>付款条件（进度和方式）</w:t>
      </w:r>
      <w:r>
        <w:rPr>
          <w:rFonts w:hint="eastAsia" w:ascii="宋体" w:hAnsi="宋体" w:eastAsia="宋体"/>
          <w:bCs/>
          <w:color w:val="auto"/>
          <w:sz w:val="24"/>
          <w:highlight w:val="none"/>
          <w:lang w:eastAsia="zh-CN"/>
        </w:rPr>
        <w:t>：</w:t>
      </w:r>
      <w:r>
        <w:rPr>
          <w:rFonts w:hint="eastAsia" w:ascii="宋体" w:hAnsi="宋体" w:eastAsia="宋体"/>
          <w:bCs/>
          <w:color w:val="auto"/>
          <w:sz w:val="24"/>
          <w:highlight w:val="none"/>
          <w:lang w:val="en-US" w:eastAsia="zh-CN"/>
        </w:rPr>
        <w:t>详见第六章 拟签订的合同文本</w:t>
      </w:r>
    </w:p>
    <w:p w14:paraId="1A724FF3">
      <w:pPr>
        <w:pStyle w:val="9"/>
        <w:numPr>
          <w:ilvl w:val="0"/>
          <w:numId w:val="0"/>
        </w:numPr>
        <w:spacing w:line="360" w:lineRule="auto"/>
        <w:ind w:left="0" w:leftChars="0" w:firstLine="480" w:firstLineChars="200"/>
        <w:contextualSpacing/>
        <w:jc w:val="left"/>
        <w:rPr>
          <w:rFonts w:ascii="宋体" w:hAnsi="宋体" w:eastAsia="宋体"/>
          <w:b/>
          <w:color w:val="auto"/>
          <w:sz w:val="24"/>
          <w:szCs w:val="24"/>
          <w:highlight w:val="none"/>
        </w:rPr>
      </w:pPr>
      <w:r>
        <w:rPr>
          <w:rFonts w:hint="eastAsia" w:ascii="宋体" w:hAnsi="宋体" w:eastAsia="宋体"/>
          <w:bCs/>
          <w:color w:val="auto"/>
          <w:sz w:val="24"/>
          <w:highlight w:val="none"/>
          <w:lang w:val="en-US" w:eastAsia="zh-CN"/>
        </w:rPr>
        <w:t>三、</w:t>
      </w:r>
      <w:r>
        <w:rPr>
          <w:rFonts w:ascii="宋体" w:hAnsi="宋体" w:eastAsia="宋体"/>
          <w:b/>
          <w:color w:val="auto"/>
          <w:sz w:val="24"/>
          <w:szCs w:val="24"/>
          <w:highlight w:val="none"/>
        </w:rPr>
        <w:t>技术要求</w:t>
      </w:r>
    </w:p>
    <w:p w14:paraId="20FB3F99">
      <w:pPr>
        <w:pStyle w:val="9"/>
        <w:numPr>
          <w:ilvl w:val="0"/>
          <w:numId w:val="0"/>
        </w:numPr>
        <w:spacing w:line="360" w:lineRule="auto"/>
        <w:ind w:left="0" w:leftChars="0" w:firstLine="480" w:firstLineChars="200"/>
        <w:contextualSpacing/>
        <w:jc w:val="left"/>
        <w:rPr>
          <w:rFonts w:hint="default" w:ascii="宋体" w:hAnsi="宋体" w:eastAsia="宋体"/>
          <w:bCs/>
          <w:color w:val="auto"/>
          <w:sz w:val="24"/>
          <w:highlight w:val="none"/>
          <w:lang w:val="en-US" w:eastAsia="zh-CN"/>
        </w:rPr>
      </w:pPr>
      <w:r>
        <w:rPr>
          <w:rFonts w:hint="eastAsia" w:ascii="宋体" w:hAnsi="宋体" w:eastAsia="宋体"/>
          <w:bCs/>
          <w:color w:val="auto"/>
          <w:sz w:val="24"/>
          <w:highlight w:val="none"/>
          <w:lang w:val="en-US" w:eastAsia="zh-CN"/>
        </w:rPr>
        <w:t>（一）基本要求</w:t>
      </w:r>
    </w:p>
    <w:p w14:paraId="10672EF1">
      <w:pPr>
        <w:pStyle w:val="10"/>
        <w:adjustRightInd w:val="0"/>
        <w:snapToGrid w:val="0"/>
        <w:spacing w:line="360" w:lineRule="auto"/>
        <w:ind w:firstLine="480"/>
        <w:rPr>
          <w:rFonts w:ascii="宋体" w:hAnsi="宋体" w:cs="宋体"/>
          <w:bCs/>
          <w:color w:val="auto"/>
          <w:sz w:val="24"/>
          <w:highlight w:val="none"/>
        </w:rPr>
      </w:pPr>
      <w:r>
        <w:rPr>
          <w:rFonts w:hint="eastAsia" w:ascii="宋体" w:hAnsi="宋体" w:eastAsia="宋体"/>
          <w:color w:val="auto"/>
          <w:sz w:val="24"/>
          <w:highlight w:val="none"/>
        </w:rPr>
        <w:t>1.采购标的</w:t>
      </w:r>
      <w:r>
        <w:rPr>
          <w:rFonts w:hint="eastAsia" w:ascii="宋体" w:hAnsi="宋体" w:cs="宋体"/>
          <w:bCs/>
          <w:color w:val="auto"/>
          <w:sz w:val="24"/>
          <w:highlight w:val="none"/>
        </w:rPr>
        <w:t>需实现的功能或者目标及</w:t>
      </w:r>
      <w:r>
        <w:rPr>
          <w:rFonts w:hint="eastAsia" w:ascii="宋体" w:hAnsi="宋体" w:cs="宋体"/>
          <w:color w:val="auto"/>
          <w:sz w:val="24"/>
          <w:highlight w:val="none"/>
        </w:rPr>
        <w:t>为落实政府采购政策需满足的要求</w:t>
      </w:r>
    </w:p>
    <w:p w14:paraId="79499133">
      <w:pPr>
        <w:autoSpaceDE w:val="0"/>
        <w:autoSpaceDN w:val="0"/>
        <w:spacing w:line="360" w:lineRule="auto"/>
        <w:ind w:firstLine="480" w:firstLineChars="200"/>
        <w:jc w:val="left"/>
        <w:rPr>
          <w:rFonts w:ascii="宋体" w:hAnsi="宋体" w:cs="宋体"/>
          <w:bCs/>
          <w:color w:val="auto"/>
          <w:sz w:val="24"/>
          <w:highlight w:val="none"/>
        </w:rPr>
      </w:pPr>
      <w:r>
        <w:rPr>
          <w:rFonts w:hint="eastAsia" w:ascii="宋体" w:hAnsi="宋体" w:cs="宋体"/>
          <w:color w:val="auto"/>
          <w:sz w:val="24"/>
          <w:highlight w:val="none"/>
        </w:rPr>
        <w:t>1.1</w:t>
      </w:r>
      <w:r>
        <w:rPr>
          <w:rFonts w:hint="eastAsia" w:ascii="宋体" w:hAnsi="宋体" w:cs="宋体"/>
          <w:bCs/>
          <w:color w:val="auto"/>
          <w:sz w:val="24"/>
          <w:highlight w:val="none"/>
        </w:rPr>
        <w:t>采购标的需实现的功能或者目标：</w:t>
      </w:r>
    </w:p>
    <w:p w14:paraId="4DE828A8">
      <w:pPr>
        <w:pStyle w:val="11"/>
        <w:spacing w:line="360" w:lineRule="auto"/>
        <w:ind w:left="0" w:leftChars="0" w:firstLine="480" w:firstLineChars="200"/>
        <w:rPr>
          <w:rFonts w:ascii="宋体" w:hAnsi="宋体" w:eastAsia="宋体"/>
          <w:color w:val="auto"/>
          <w:kern w:val="2"/>
          <w:highlight w:val="none"/>
        </w:rPr>
      </w:pPr>
      <w:r>
        <w:rPr>
          <w:rFonts w:hint="eastAsia" w:ascii="宋体" w:hAnsi="宋体" w:eastAsia="宋体"/>
          <w:color w:val="auto"/>
          <w:kern w:val="2"/>
          <w:highlight w:val="none"/>
        </w:rPr>
        <w:t>本次招标为“</w:t>
      </w:r>
      <w:r>
        <w:rPr>
          <w:rFonts w:hint="eastAsia" w:ascii="宋体" w:hAnsi="宋体" w:eastAsia="宋体"/>
          <w:color w:val="auto"/>
          <w:kern w:val="2"/>
          <w:highlight w:val="none"/>
          <w:lang w:eastAsia="zh-CN"/>
        </w:rPr>
        <w:t>北京安定医院在职职工体检服务项目</w:t>
      </w:r>
      <w:r>
        <w:rPr>
          <w:rFonts w:hint="eastAsia" w:ascii="宋体" w:hAnsi="宋体" w:eastAsia="宋体"/>
          <w:color w:val="auto"/>
          <w:kern w:val="2"/>
          <w:highlight w:val="none"/>
        </w:rPr>
        <w:t>”，</w:t>
      </w:r>
      <w:r>
        <w:rPr>
          <w:rFonts w:hint="eastAsia" w:ascii="宋体" w:hAnsi="宋体" w:eastAsia="宋体"/>
          <w:color w:val="auto"/>
          <w:kern w:val="2"/>
          <w:highlight w:val="none"/>
          <w:lang w:eastAsia="zh-CN"/>
        </w:rPr>
        <w:t>供应商</w:t>
      </w:r>
      <w:r>
        <w:rPr>
          <w:rFonts w:hint="eastAsia" w:ascii="宋体" w:hAnsi="宋体" w:eastAsia="宋体"/>
          <w:color w:val="auto"/>
          <w:kern w:val="2"/>
          <w:highlight w:val="none"/>
        </w:rPr>
        <w:t>应根据招标文件所提出的要求，以优良的服务和优惠的价格</w:t>
      </w:r>
      <w:bookmarkStart w:id="3" w:name="_GoBack"/>
      <w:bookmarkEnd w:id="3"/>
      <w:r>
        <w:rPr>
          <w:rFonts w:hint="eastAsia" w:ascii="宋体" w:hAnsi="宋体" w:eastAsia="宋体"/>
          <w:color w:val="auto"/>
          <w:kern w:val="2"/>
          <w:highlight w:val="none"/>
        </w:rPr>
        <w:t>，充分显示自己的竞争实力。</w:t>
      </w:r>
    </w:p>
    <w:p w14:paraId="57849B83">
      <w:pPr>
        <w:pStyle w:val="9"/>
        <w:spacing w:line="360" w:lineRule="auto"/>
        <w:ind w:firstLine="480"/>
        <w:contextualSpacing/>
        <w:jc w:val="left"/>
        <w:rPr>
          <w:rFonts w:ascii="宋体" w:hAnsi="宋体" w:cs="宋体"/>
          <w:color w:val="auto"/>
          <w:sz w:val="24"/>
          <w:szCs w:val="24"/>
          <w:highlight w:val="none"/>
        </w:rPr>
      </w:pPr>
      <w:r>
        <w:rPr>
          <w:rFonts w:hint="eastAsia" w:ascii="宋体" w:hAnsi="宋体" w:cs="宋体"/>
          <w:color w:val="auto"/>
          <w:sz w:val="24"/>
          <w:szCs w:val="24"/>
          <w:highlight w:val="none"/>
        </w:rPr>
        <w:t>1.2为落实政府采购政策需满足的要求</w:t>
      </w:r>
    </w:p>
    <w:p w14:paraId="3E6FFCBE">
      <w:pPr>
        <w:pStyle w:val="9"/>
        <w:spacing w:line="360" w:lineRule="auto"/>
        <w:ind w:firstLine="480"/>
        <w:contextualSpacing/>
        <w:jc w:val="left"/>
        <w:rPr>
          <w:rFonts w:ascii="宋体" w:hAnsi="宋体" w:cs="宋体"/>
          <w:color w:val="auto"/>
          <w:sz w:val="24"/>
          <w:szCs w:val="24"/>
          <w:highlight w:val="none"/>
        </w:rPr>
      </w:pPr>
      <w:r>
        <w:rPr>
          <w:rFonts w:hint="eastAsia" w:ascii="宋体" w:hAnsi="宋体" w:cs="宋体"/>
          <w:color w:val="auto"/>
          <w:sz w:val="24"/>
          <w:szCs w:val="24"/>
          <w:highlight w:val="none"/>
        </w:rPr>
        <w:t>1.2.1促进中小企业发展政策：根据《政府采购促进中小企业发展管理办法》规定，本项目采购货物为中型、小型或微型企业制造的，</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应出具招标文件要求的《中小企业声明函》给予证明，否则评标时不予认可。</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42E46214">
      <w:pPr>
        <w:pStyle w:val="4"/>
        <w:spacing w:line="360" w:lineRule="auto"/>
        <w:ind w:firstLine="480" w:firstLineChars="200"/>
        <w:rPr>
          <w:rFonts w:hAnsi="宋体" w:cs="宋体"/>
          <w:color w:val="auto"/>
          <w:highlight w:val="none"/>
        </w:rPr>
      </w:pPr>
      <w:r>
        <w:rPr>
          <w:rFonts w:hint="eastAsia" w:hAnsi="宋体" w:cs="宋体"/>
          <w:color w:val="auto"/>
          <w:highlight w:val="none"/>
        </w:rPr>
        <w:t>1.2.2监狱企业扶持政策：</w:t>
      </w:r>
      <w:r>
        <w:rPr>
          <w:rFonts w:hint="eastAsia" w:hAnsi="宋体" w:cs="宋体"/>
          <w:color w:val="auto"/>
          <w:highlight w:val="none"/>
          <w:lang w:eastAsia="zh-CN"/>
        </w:rPr>
        <w:t>供应商</w:t>
      </w:r>
      <w:r>
        <w:rPr>
          <w:rFonts w:hint="eastAsia" w:hAnsi="宋体" w:cs="宋体"/>
          <w:color w:val="auto"/>
          <w:highlight w:val="none"/>
        </w:rPr>
        <w:t>如为监狱企业将视同为小型或微型企业，应提供由省级以上监狱管理局、戒毒管理局（含新疆生产建设兵团）出具的属于监狱企业的证明文件。</w:t>
      </w:r>
      <w:r>
        <w:rPr>
          <w:rFonts w:hint="eastAsia" w:hAnsi="宋体" w:cs="宋体"/>
          <w:color w:val="auto"/>
          <w:highlight w:val="none"/>
          <w:lang w:eastAsia="zh-CN"/>
        </w:rPr>
        <w:t>供应商</w:t>
      </w:r>
      <w:r>
        <w:rPr>
          <w:rFonts w:hint="eastAsia" w:hAnsi="宋体" w:cs="宋体"/>
          <w:color w:val="auto"/>
          <w:highlight w:val="none"/>
        </w:rPr>
        <w:t>应对提交的属于监狱企业的证明文件的真实性负责，提交的监狱企业的证明文件不真实的，应承担相应的法律责任。</w:t>
      </w:r>
    </w:p>
    <w:p w14:paraId="08400159">
      <w:pPr>
        <w:pStyle w:val="4"/>
        <w:spacing w:line="360" w:lineRule="auto"/>
        <w:ind w:firstLine="480" w:firstLineChars="200"/>
        <w:rPr>
          <w:rFonts w:hAnsi="宋体" w:cs="宋体"/>
          <w:color w:val="auto"/>
          <w:highlight w:val="none"/>
        </w:rPr>
      </w:pPr>
      <w:r>
        <w:rPr>
          <w:rFonts w:hint="eastAsia" w:hAnsi="宋体" w:cs="宋体"/>
          <w:color w:val="auto"/>
          <w:highlight w:val="none"/>
        </w:rPr>
        <w:t>1.2.3促进残疾人就业政府采购政策：根据《三部门联合发布关于促进残疾人就业政府采购政策的通知》（财库〔2017〕141 号）规定，符合条件的残疾人福利性单位在参加本项目采购活动时，</w:t>
      </w:r>
      <w:r>
        <w:rPr>
          <w:rFonts w:hint="eastAsia" w:hAnsi="宋体" w:cs="宋体"/>
          <w:color w:val="auto"/>
          <w:highlight w:val="none"/>
          <w:lang w:eastAsia="zh-CN"/>
        </w:rPr>
        <w:t>供应商</w:t>
      </w:r>
      <w:r>
        <w:rPr>
          <w:rFonts w:hint="eastAsia" w:hAnsi="宋体" w:cs="宋体"/>
          <w:color w:val="auto"/>
          <w:highlight w:val="none"/>
        </w:rPr>
        <w:t>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14:paraId="02BC273D">
      <w:pPr>
        <w:pStyle w:val="9"/>
        <w:keepNext w:val="0"/>
        <w:keepLines w:val="0"/>
        <w:pageBreakBefore w:val="0"/>
        <w:widowControl w:val="0"/>
        <w:kinsoku/>
        <w:wordWrap/>
        <w:overflowPunct/>
        <w:topLinePunct w:val="0"/>
        <w:autoSpaceDE/>
        <w:autoSpaceDN/>
        <w:bidi w:val="0"/>
        <w:adjustRightInd/>
        <w:snapToGrid/>
        <w:spacing w:line="360" w:lineRule="auto"/>
        <w:ind w:firstLine="480"/>
        <w:contextualSpacing/>
        <w:jc w:val="left"/>
        <w:textAlignment w:val="auto"/>
        <w:rPr>
          <w:rFonts w:hint="eastAsia" w:ascii="宋体" w:hAnsi="宋体" w:eastAsia="宋体" w:cs="宋体"/>
          <w:color w:val="auto"/>
          <w:sz w:val="24"/>
          <w:highlight w:val="none"/>
          <w:lang w:eastAsia="zh-CN"/>
        </w:rPr>
      </w:pPr>
      <w:r>
        <w:rPr>
          <w:rFonts w:hint="eastAsia" w:ascii="宋体" w:hAnsi="宋体" w:cs="宋体"/>
          <w:bCs/>
          <w:color w:val="auto"/>
          <w:sz w:val="24"/>
          <w:szCs w:val="24"/>
          <w:highlight w:val="none"/>
        </w:rPr>
        <w:t>2.需执行的国家相关标准、行业标准、地方标准或者其他标准、规范。</w:t>
      </w:r>
      <w:r>
        <w:rPr>
          <w:rFonts w:hint="eastAsia" w:ascii="宋体" w:hAnsi="宋体" w:cs="宋体"/>
          <w:color w:val="auto"/>
          <w:sz w:val="24"/>
          <w:highlight w:val="none"/>
        </w:rPr>
        <w:t>如国家有关部门对投标产品或其制造商有强制性规定或要求的，投标产品或其制造商必须符合相应规定或要求</w:t>
      </w:r>
      <w:r>
        <w:rPr>
          <w:rFonts w:hint="eastAsia" w:ascii="宋体" w:hAnsi="宋体" w:cs="宋体"/>
          <w:color w:val="auto"/>
          <w:sz w:val="24"/>
          <w:highlight w:val="none"/>
          <w:lang w:eastAsia="zh-CN"/>
        </w:rPr>
        <w:t>。</w:t>
      </w:r>
    </w:p>
    <w:p w14:paraId="3B76690D">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（二）服务内容及要求</w:t>
      </w:r>
    </w:p>
    <w:p w14:paraId="616D1BAD">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1.供应商医务人员需具备国家规定的相关资格及执业资质；体检设备设施符合国家规定的相关标准，其中体检所需的仪器、超声、放射等设备应提供先进仪器进行体检。</w:t>
      </w:r>
    </w:p>
    <w:p w14:paraId="63FA27EA">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2.体检内容需求</w:t>
      </w:r>
    </w:p>
    <w:p w14:paraId="6A0D0825">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ascii="Segoe UI Symbol" w:hAnsi="Segoe UI Symbol" w:cs="Segoe UI Symbol"/>
          <w:color w:val="auto"/>
          <w:kern w:val="0"/>
          <w:sz w:val="24"/>
          <w:highlight w:val="none"/>
        </w:rPr>
        <w:t>★</w:t>
      </w:r>
      <w:r>
        <w:rPr>
          <w:rFonts w:hint="eastAsia" w:ascii="宋体" w:hAnsi="宋体" w:eastAsia="宋体" w:cs="宋体"/>
          <w:bCs/>
          <w:color w:val="auto"/>
          <w:kern w:val="2"/>
          <w:sz w:val="24"/>
          <w:szCs w:val="24"/>
          <w:highlight w:val="none"/>
          <w:lang w:val="en-US" w:eastAsia="zh-CN" w:bidi="ar-SA"/>
        </w:rPr>
        <w:t>2.1体检价格要求：</w:t>
      </w:r>
    </w:p>
    <w:p w14:paraId="728430E1">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2.1.1男</w:t>
      </w:r>
      <w:bookmarkStart w:id="0" w:name="OLE_LINK5"/>
      <w:r>
        <w:rPr>
          <w:rFonts w:hint="eastAsia" w:ascii="宋体" w:hAnsi="宋体" w:cs="宋体"/>
          <w:bCs/>
          <w:color w:val="auto"/>
          <w:kern w:val="2"/>
          <w:sz w:val="24"/>
          <w:szCs w:val="24"/>
          <w:highlight w:val="none"/>
          <w:lang w:val="en-US" w:eastAsia="zh-CN" w:bidi="ar-SA"/>
        </w:rPr>
        <w:t>性</w:t>
      </w:r>
      <w:bookmarkEnd w:id="0"/>
      <w:r>
        <w:rPr>
          <w:rFonts w:hint="eastAsia" w:ascii="宋体" w:hAnsi="宋体" w:eastAsia="宋体" w:cs="宋体"/>
          <w:bCs/>
          <w:color w:val="auto"/>
          <w:kern w:val="2"/>
          <w:sz w:val="24"/>
          <w:szCs w:val="24"/>
          <w:highlight w:val="none"/>
          <w:lang w:val="en-US" w:eastAsia="zh-CN" w:bidi="ar-SA"/>
        </w:rPr>
        <w:t>：最高限价</w:t>
      </w:r>
      <w:r>
        <w:rPr>
          <w:rFonts w:hint="eastAsia" w:ascii="宋体" w:hAnsi="宋体" w:cs="宋体"/>
          <w:bCs/>
          <w:color w:val="auto"/>
          <w:kern w:val="2"/>
          <w:sz w:val="24"/>
          <w:szCs w:val="24"/>
          <w:highlight w:val="none"/>
          <w:lang w:val="en-US" w:eastAsia="zh-CN" w:bidi="ar-SA"/>
        </w:rPr>
        <w:t>600</w:t>
      </w:r>
      <w:r>
        <w:rPr>
          <w:rFonts w:hint="eastAsia" w:ascii="宋体" w:hAnsi="宋体" w:eastAsia="宋体" w:cs="宋体"/>
          <w:bCs/>
          <w:color w:val="auto"/>
          <w:kern w:val="2"/>
          <w:sz w:val="24"/>
          <w:szCs w:val="24"/>
          <w:highlight w:val="none"/>
          <w:lang w:val="en-US" w:eastAsia="zh-CN" w:bidi="ar-SA"/>
        </w:rPr>
        <w:t>元/人，约16</w:t>
      </w:r>
      <w:r>
        <w:rPr>
          <w:rFonts w:hint="eastAsia" w:ascii="宋体" w:hAnsi="宋体" w:cs="宋体"/>
          <w:bCs/>
          <w:color w:val="auto"/>
          <w:kern w:val="2"/>
          <w:sz w:val="24"/>
          <w:szCs w:val="24"/>
          <w:highlight w:val="none"/>
          <w:lang w:val="en-US" w:eastAsia="zh-CN" w:bidi="ar-SA"/>
        </w:rPr>
        <w:t>9</w:t>
      </w:r>
      <w:r>
        <w:rPr>
          <w:rFonts w:hint="eastAsia" w:ascii="宋体" w:hAnsi="宋体" w:eastAsia="宋体" w:cs="宋体"/>
          <w:bCs/>
          <w:color w:val="auto"/>
          <w:kern w:val="2"/>
          <w:sz w:val="24"/>
          <w:szCs w:val="24"/>
          <w:highlight w:val="none"/>
          <w:lang w:val="en-US" w:eastAsia="zh-CN" w:bidi="ar-SA"/>
        </w:rPr>
        <w:t>人；</w:t>
      </w:r>
    </w:p>
    <w:p w14:paraId="6E19FAE3">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2.1.2女</w:t>
      </w:r>
      <w:r>
        <w:rPr>
          <w:rFonts w:hint="eastAsia" w:ascii="宋体" w:hAnsi="宋体" w:cs="宋体"/>
          <w:bCs/>
          <w:color w:val="auto"/>
          <w:kern w:val="2"/>
          <w:sz w:val="24"/>
          <w:szCs w:val="24"/>
          <w:highlight w:val="none"/>
          <w:lang w:val="en-US" w:eastAsia="zh-CN" w:bidi="ar-SA"/>
        </w:rPr>
        <w:t>性</w:t>
      </w:r>
      <w:r>
        <w:rPr>
          <w:rFonts w:hint="eastAsia" w:ascii="宋体" w:hAnsi="宋体" w:eastAsia="宋体" w:cs="宋体"/>
          <w:bCs/>
          <w:color w:val="auto"/>
          <w:kern w:val="2"/>
          <w:sz w:val="24"/>
          <w:szCs w:val="24"/>
          <w:highlight w:val="none"/>
          <w:lang w:val="en-US" w:eastAsia="zh-CN" w:bidi="ar-SA"/>
        </w:rPr>
        <w:t>：70岁以下最高限价</w:t>
      </w:r>
      <w:r>
        <w:rPr>
          <w:rFonts w:hint="eastAsia" w:ascii="宋体" w:hAnsi="宋体" w:cs="宋体"/>
          <w:bCs/>
          <w:color w:val="auto"/>
          <w:kern w:val="2"/>
          <w:sz w:val="24"/>
          <w:szCs w:val="24"/>
          <w:highlight w:val="none"/>
          <w:lang w:val="en-US" w:eastAsia="zh-CN" w:bidi="ar-SA"/>
        </w:rPr>
        <w:t>800</w:t>
      </w:r>
      <w:r>
        <w:rPr>
          <w:rFonts w:hint="eastAsia" w:ascii="宋体" w:hAnsi="宋体" w:eastAsia="宋体" w:cs="宋体"/>
          <w:bCs/>
          <w:color w:val="auto"/>
          <w:kern w:val="2"/>
          <w:sz w:val="24"/>
          <w:szCs w:val="24"/>
          <w:highlight w:val="none"/>
          <w:lang w:val="en-US" w:eastAsia="zh-CN" w:bidi="ar-SA"/>
        </w:rPr>
        <w:t>元/人，约200人；</w:t>
      </w:r>
    </w:p>
    <w:p w14:paraId="642D5FE7">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2.1.3 女</w:t>
      </w:r>
      <w:r>
        <w:rPr>
          <w:rFonts w:hint="eastAsia" w:ascii="宋体" w:hAnsi="宋体" w:cs="宋体"/>
          <w:bCs/>
          <w:color w:val="auto"/>
          <w:kern w:val="2"/>
          <w:sz w:val="24"/>
          <w:szCs w:val="24"/>
          <w:highlight w:val="none"/>
          <w:lang w:val="en-US" w:eastAsia="zh-CN" w:bidi="ar-SA"/>
        </w:rPr>
        <w:t>性</w:t>
      </w:r>
      <w:r>
        <w:rPr>
          <w:rFonts w:hint="eastAsia" w:ascii="宋体" w:hAnsi="宋体" w:eastAsia="宋体" w:cs="宋体"/>
          <w:bCs/>
          <w:color w:val="auto"/>
          <w:kern w:val="2"/>
          <w:sz w:val="24"/>
          <w:szCs w:val="24"/>
          <w:highlight w:val="none"/>
          <w:lang w:val="en-US" w:eastAsia="zh-CN" w:bidi="ar-SA"/>
        </w:rPr>
        <w:t>：70岁以上最高限价</w:t>
      </w:r>
      <w:r>
        <w:rPr>
          <w:rFonts w:hint="eastAsia" w:ascii="宋体" w:hAnsi="宋体" w:cs="宋体"/>
          <w:bCs/>
          <w:color w:val="auto"/>
          <w:kern w:val="2"/>
          <w:sz w:val="24"/>
          <w:szCs w:val="24"/>
          <w:highlight w:val="none"/>
          <w:lang w:val="en-US" w:eastAsia="zh-CN" w:bidi="ar-SA"/>
        </w:rPr>
        <w:t>700</w:t>
      </w:r>
      <w:r>
        <w:rPr>
          <w:rFonts w:hint="eastAsia" w:ascii="宋体" w:hAnsi="宋体" w:eastAsia="宋体" w:cs="宋体"/>
          <w:bCs/>
          <w:color w:val="auto"/>
          <w:kern w:val="2"/>
          <w:sz w:val="24"/>
          <w:szCs w:val="24"/>
          <w:highlight w:val="none"/>
          <w:lang w:val="en-US" w:eastAsia="zh-CN" w:bidi="ar-SA"/>
        </w:rPr>
        <w:t>元/人，约220人；</w:t>
      </w:r>
    </w:p>
    <w:p w14:paraId="128C0222">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2.1.4 离休男性：最高限价</w:t>
      </w:r>
      <w:r>
        <w:rPr>
          <w:rFonts w:hint="eastAsia" w:ascii="宋体" w:hAnsi="宋体" w:cs="宋体"/>
          <w:bCs/>
          <w:color w:val="auto"/>
          <w:kern w:val="2"/>
          <w:sz w:val="24"/>
          <w:szCs w:val="24"/>
          <w:highlight w:val="none"/>
          <w:lang w:val="en-US" w:eastAsia="zh-CN" w:bidi="ar-SA"/>
        </w:rPr>
        <w:t>1000</w:t>
      </w:r>
      <w:r>
        <w:rPr>
          <w:rFonts w:hint="eastAsia" w:ascii="宋体" w:hAnsi="宋体" w:eastAsia="宋体" w:cs="宋体"/>
          <w:bCs/>
          <w:color w:val="auto"/>
          <w:kern w:val="2"/>
          <w:sz w:val="24"/>
          <w:szCs w:val="24"/>
          <w:highlight w:val="none"/>
          <w:lang w:val="en-US" w:eastAsia="zh-CN" w:bidi="ar-SA"/>
        </w:rPr>
        <w:t>元/人，约 1 人；</w:t>
      </w:r>
    </w:p>
    <w:p w14:paraId="767A7CCB">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2.1.5 离休女性：最高限价</w:t>
      </w:r>
      <w:r>
        <w:rPr>
          <w:rFonts w:hint="eastAsia" w:ascii="宋体" w:hAnsi="宋体" w:cs="宋体"/>
          <w:bCs/>
          <w:color w:val="auto"/>
          <w:kern w:val="2"/>
          <w:sz w:val="24"/>
          <w:szCs w:val="24"/>
          <w:highlight w:val="none"/>
          <w:lang w:val="en-US" w:eastAsia="zh-CN" w:bidi="ar-SA"/>
        </w:rPr>
        <w:t>1100</w:t>
      </w:r>
      <w:r>
        <w:rPr>
          <w:rFonts w:hint="eastAsia" w:ascii="宋体" w:hAnsi="宋体" w:eastAsia="宋体" w:cs="宋体"/>
          <w:bCs/>
          <w:color w:val="auto"/>
          <w:kern w:val="2"/>
          <w:sz w:val="24"/>
          <w:szCs w:val="24"/>
          <w:highlight w:val="none"/>
          <w:lang w:val="en-US" w:eastAsia="zh-CN" w:bidi="ar-SA"/>
        </w:rPr>
        <w:t>元/人，约 2 人；</w:t>
      </w:r>
    </w:p>
    <w:p w14:paraId="03B2BBF5">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以实际发生的体检人数及单价结算。</w:t>
      </w:r>
    </w:p>
    <w:p w14:paraId="2676D710">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2.2体检项目要求：</w:t>
      </w:r>
    </w:p>
    <w:p w14:paraId="7C4A8E85">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2.2.1北京安定医院离退休人员体检项目</w:t>
      </w:r>
    </w:p>
    <w:tbl>
      <w:tblPr>
        <w:tblStyle w:val="7"/>
        <w:tblW w:w="8698" w:type="dxa"/>
        <w:jc w:val="center"/>
        <w:tblLayout w:type="autofit"/>
        <w:tblCellMar>
          <w:top w:w="0" w:type="dxa"/>
          <w:left w:w="108" w:type="dxa"/>
          <w:bottom w:w="0" w:type="dxa"/>
          <w:right w:w="108" w:type="dxa"/>
        </w:tblCellMar>
      </w:tblPr>
      <w:tblGrid>
        <w:gridCol w:w="478"/>
        <w:gridCol w:w="1218"/>
        <w:gridCol w:w="2997"/>
        <w:gridCol w:w="849"/>
        <w:gridCol w:w="876"/>
        <w:gridCol w:w="840"/>
        <w:gridCol w:w="720"/>
        <w:gridCol w:w="720"/>
      </w:tblGrid>
      <w:tr w14:paraId="7D3797F6">
        <w:tblPrEx>
          <w:tblCellMar>
            <w:top w:w="0" w:type="dxa"/>
            <w:left w:w="108" w:type="dxa"/>
            <w:bottom w:w="0" w:type="dxa"/>
            <w:right w:w="108" w:type="dxa"/>
          </w:tblCellMar>
        </w:tblPrEx>
        <w:trPr>
          <w:trHeight w:val="574"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D4D515C">
            <w:pPr>
              <w:widowControl/>
              <w:jc w:val="center"/>
              <w:rPr>
                <w:rFonts w:ascii="微软雅黑" w:hAnsi="微软雅黑" w:eastAsia="微软雅黑" w:cs="Arial"/>
                <w:b/>
                <w:bCs/>
                <w:kern w:val="0"/>
                <w:sz w:val="18"/>
                <w:szCs w:val="18"/>
              </w:rPr>
            </w:pPr>
            <w:r>
              <w:rPr>
                <w:rFonts w:hint="eastAsia" w:ascii="微软雅黑" w:hAnsi="微软雅黑" w:eastAsia="微软雅黑" w:cs="Arial"/>
                <w:b/>
                <w:bCs/>
                <w:kern w:val="0"/>
                <w:sz w:val="18"/>
                <w:szCs w:val="18"/>
              </w:rPr>
              <w:t>序号</w:t>
            </w:r>
          </w:p>
        </w:tc>
        <w:tc>
          <w:tcPr>
            <w:tcW w:w="1218" w:type="dxa"/>
            <w:tcBorders>
              <w:top w:val="single" w:color="auto" w:sz="4" w:space="0"/>
              <w:left w:val="nil"/>
              <w:bottom w:val="single" w:color="auto" w:sz="4" w:space="0"/>
              <w:right w:val="single" w:color="auto" w:sz="4" w:space="0"/>
            </w:tcBorders>
            <w:noWrap w:val="0"/>
            <w:vAlign w:val="center"/>
          </w:tcPr>
          <w:p w14:paraId="710EE151">
            <w:pPr>
              <w:widowControl/>
              <w:jc w:val="center"/>
              <w:rPr>
                <w:rFonts w:ascii="微软雅黑" w:hAnsi="微软雅黑" w:eastAsia="微软雅黑" w:cs="Arial"/>
                <w:b/>
                <w:bCs/>
                <w:kern w:val="0"/>
                <w:sz w:val="18"/>
                <w:szCs w:val="18"/>
              </w:rPr>
            </w:pPr>
            <w:r>
              <w:rPr>
                <w:rFonts w:hint="eastAsia" w:ascii="微软雅黑" w:hAnsi="微软雅黑" w:eastAsia="微软雅黑" w:cs="Arial"/>
                <w:b/>
                <w:bCs/>
                <w:kern w:val="0"/>
                <w:sz w:val="18"/>
                <w:szCs w:val="18"/>
              </w:rPr>
              <w:t>项目</w:t>
            </w:r>
          </w:p>
        </w:tc>
        <w:tc>
          <w:tcPr>
            <w:tcW w:w="2997" w:type="dxa"/>
            <w:tcBorders>
              <w:top w:val="single" w:color="auto" w:sz="4" w:space="0"/>
              <w:left w:val="nil"/>
              <w:bottom w:val="single" w:color="auto" w:sz="4" w:space="0"/>
              <w:right w:val="single" w:color="auto" w:sz="4" w:space="0"/>
            </w:tcBorders>
            <w:noWrap w:val="0"/>
            <w:vAlign w:val="center"/>
          </w:tcPr>
          <w:p w14:paraId="042FCF4F">
            <w:pPr>
              <w:widowControl/>
              <w:jc w:val="center"/>
              <w:rPr>
                <w:rFonts w:ascii="微软雅黑" w:hAnsi="微软雅黑" w:eastAsia="微软雅黑" w:cs="Arial"/>
                <w:b/>
                <w:bCs/>
                <w:kern w:val="0"/>
                <w:sz w:val="18"/>
                <w:szCs w:val="18"/>
              </w:rPr>
            </w:pPr>
            <w:r>
              <w:rPr>
                <w:rFonts w:hint="eastAsia" w:ascii="微软雅黑" w:hAnsi="微软雅黑" w:eastAsia="微软雅黑" w:cs="Arial"/>
                <w:b/>
                <w:bCs/>
                <w:kern w:val="0"/>
                <w:sz w:val="18"/>
                <w:szCs w:val="18"/>
              </w:rPr>
              <w:t>体检项目功能简述</w:t>
            </w:r>
          </w:p>
        </w:tc>
        <w:tc>
          <w:tcPr>
            <w:tcW w:w="849" w:type="dxa"/>
            <w:tcBorders>
              <w:top w:val="single" w:color="auto" w:sz="4" w:space="0"/>
              <w:left w:val="nil"/>
              <w:bottom w:val="single" w:color="auto" w:sz="4" w:space="0"/>
              <w:right w:val="single" w:color="auto" w:sz="4" w:space="0"/>
            </w:tcBorders>
            <w:noWrap w:val="0"/>
            <w:vAlign w:val="center"/>
          </w:tcPr>
          <w:p w14:paraId="45883682">
            <w:pPr>
              <w:widowControl/>
              <w:jc w:val="center"/>
              <w:rPr>
                <w:rFonts w:ascii="微软雅黑" w:hAnsi="微软雅黑" w:eastAsia="微软雅黑" w:cs="Arial"/>
                <w:b/>
                <w:bCs/>
                <w:kern w:val="0"/>
                <w:sz w:val="18"/>
                <w:szCs w:val="18"/>
              </w:rPr>
            </w:pPr>
            <w:r>
              <w:rPr>
                <w:rFonts w:hint="eastAsia" w:ascii="微软雅黑" w:hAnsi="微软雅黑" w:eastAsia="微软雅黑" w:cs="Arial"/>
                <w:b/>
                <w:bCs/>
                <w:kern w:val="0"/>
                <w:sz w:val="18"/>
                <w:szCs w:val="18"/>
              </w:rPr>
              <w:t>男性</w:t>
            </w:r>
          </w:p>
        </w:tc>
        <w:tc>
          <w:tcPr>
            <w:tcW w:w="876" w:type="dxa"/>
            <w:tcBorders>
              <w:top w:val="single" w:color="auto" w:sz="4" w:space="0"/>
              <w:left w:val="nil"/>
              <w:bottom w:val="single" w:color="auto" w:sz="4" w:space="0"/>
              <w:right w:val="single" w:color="auto" w:sz="4" w:space="0"/>
            </w:tcBorders>
            <w:noWrap w:val="0"/>
            <w:vAlign w:val="center"/>
          </w:tcPr>
          <w:p w14:paraId="0F6103E1">
            <w:pPr>
              <w:widowControl/>
              <w:jc w:val="center"/>
              <w:rPr>
                <w:rFonts w:ascii="微软雅黑" w:hAnsi="微软雅黑" w:eastAsia="微软雅黑" w:cs="Arial"/>
                <w:b/>
                <w:bCs/>
                <w:kern w:val="0"/>
                <w:sz w:val="18"/>
                <w:szCs w:val="18"/>
              </w:rPr>
            </w:pPr>
            <w:r>
              <w:rPr>
                <w:rFonts w:hint="eastAsia" w:ascii="微软雅黑" w:hAnsi="微软雅黑" w:eastAsia="微软雅黑" w:cs="Arial"/>
                <w:b/>
                <w:bCs/>
                <w:kern w:val="0"/>
                <w:sz w:val="18"/>
                <w:szCs w:val="18"/>
              </w:rPr>
              <w:t>70岁以下女性</w:t>
            </w:r>
          </w:p>
        </w:tc>
        <w:tc>
          <w:tcPr>
            <w:tcW w:w="840" w:type="dxa"/>
            <w:tcBorders>
              <w:top w:val="single" w:color="auto" w:sz="4" w:space="0"/>
              <w:left w:val="nil"/>
              <w:bottom w:val="single" w:color="auto" w:sz="4" w:space="0"/>
              <w:right w:val="single" w:color="auto" w:sz="4" w:space="0"/>
            </w:tcBorders>
            <w:noWrap w:val="0"/>
            <w:vAlign w:val="center"/>
          </w:tcPr>
          <w:p w14:paraId="2B5AED2C">
            <w:pPr>
              <w:widowControl/>
              <w:jc w:val="center"/>
              <w:rPr>
                <w:rFonts w:ascii="微软雅黑" w:hAnsi="微软雅黑" w:eastAsia="微软雅黑" w:cs="Arial"/>
                <w:b/>
                <w:bCs/>
                <w:kern w:val="0"/>
                <w:sz w:val="18"/>
                <w:szCs w:val="18"/>
              </w:rPr>
            </w:pPr>
            <w:r>
              <w:rPr>
                <w:rFonts w:hint="eastAsia" w:ascii="微软雅黑" w:hAnsi="微软雅黑" w:eastAsia="微软雅黑" w:cs="Arial"/>
                <w:b/>
                <w:bCs/>
                <w:kern w:val="0"/>
                <w:sz w:val="18"/>
                <w:szCs w:val="18"/>
              </w:rPr>
              <w:t>70岁以上女性</w:t>
            </w:r>
          </w:p>
        </w:tc>
        <w:tc>
          <w:tcPr>
            <w:tcW w:w="720" w:type="dxa"/>
            <w:tcBorders>
              <w:top w:val="single" w:color="auto" w:sz="4" w:space="0"/>
              <w:left w:val="nil"/>
              <w:bottom w:val="single" w:color="auto" w:sz="4" w:space="0"/>
              <w:right w:val="single" w:color="auto" w:sz="4" w:space="0"/>
            </w:tcBorders>
            <w:noWrap w:val="0"/>
            <w:vAlign w:val="center"/>
          </w:tcPr>
          <w:p w14:paraId="13C4A6FA">
            <w:pPr>
              <w:widowControl/>
              <w:jc w:val="center"/>
              <w:rPr>
                <w:rFonts w:ascii="微软雅黑" w:hAnsi="微软雅黑" w:eastAsia="微软雅黑" w:cs="Arial"/>
                <w:b/>
                <w:bCs/>
                <w:kern w:val="0"/>
                <w:sz w:val="18"/>
                <w:szCs w:val="18"/>
              </w:rPr>
            </w:pPr>
            <w:bookmarkStart w:id="1" w:name="OLE_LINK2"/>
            <w:r>
              <w:rPr>
                <w:rFonts w:hint="eastAsia" w:ascii="微软雅黑" w:hAnsi="微软雅黑" w:eastAsia="微软雅黑" w:cs="Arial"/>
                <w:b/>
                <w:bCs/>
                <w:kern w:val="0"/>
                <w:sz w:val="18"/>
                <w:szCs w:val="18"/>
              </w:rPr>
              <w:t>离休男性</w:t>
            </w:r>
            <w:bookmarkEnd w:id="1"/>
          </w:p>
        </w:tc>
        <w:tc>
          <w:tcPr>
            <w:tcW w:w="720" w:type="dxa"/>
            <w:tcBorders>
              <w:top w:val="single" w:color="auto" w:sz="4" w:space="0"/>
              <w:left w:val="nil"/>
              <w:bottom w:val="single" w:color="auto" w:sz="4" w:space="0"/>
              <w:right w:val="single" w:color="auto" w:sz="4" w:space="0"/>
            </w:tcBorders>
            <w:noWrap w:val="0"/>
            <w:vAlign w:val="center"/>
          </w:tcPr>
          <w:p w14:paraId="20938142">
            <w:pPr>
              <w:widowControl/>
              <w:jc w:val="center"/>
              <w:rPr>
                <w:rFonts w:ascii="微软雅黑" w:hAnsi="微软雅黑" w:eastAsia="微软雅黑" w:cs="Arial"/>
                <w:b/>
                <w:bCs/>
                <w:kern w:val="0"/>
                <w:sz w:val="18"/>
                <w:szCs w:val="18"/>
              </w:rPr>
            </w:pPr>
            <w:bookmarkStart w:id="2" w:name="OLE_LINK3"/>
            <w:r>
              <w:rPr>
                <w:rFonts w:hint="eastAsia" w:ascii="微软雅黑" w:hAnsi="微软雅黑" w:eastAsia="微软雅黑" w:cs="Arial"/>
                <w:b/>
                <w:bCs/>
                <w:kern w:val="0"/>
                <w:sz w:val="18"/>
                <w:szCs w:val="18"/>
              </w:rPr>
              <w:t>离休女性</w:t>
            </w:r>
            <w:bookmarkEnd w:id="2"/>
          </w:p>
        </w:tc>
      </w:tr>
      <w:tr w14:paraId="3EF114F1">
        <w:tblPrEx>
          <w:tblCellMar>
            <w:top w:w="0" w:type="dxa"/>
            <w:left w:w="108" w:type="dxa"/>
            <w:bottom w:w="0" w:type="dxa"/>
            <w:right w:w="108" w:type="dxa"/>
          </w:tblCellMar>
        </w:tblPrEx>
        <w:trPr>
          <w:trHeight w:val="105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900FA5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1</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917B4E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一般情况</w:t>
            </w:r>
          </w:p>
        </w:tc>
        <w:tc>
          <w:tcPr>
            <w:tcW w:w="2997" w:type="dxa"/>
            <w:tcBorders>
              <w:top w:val="single" w:color="auto" w:sz="4" w:space="0"/>
              <w:left w:val="single" w:color="auto" w:sz="4" w:space="0"/>
              <w:bottom w:val="single" w:color="auto" w:sz="4" w:space="0"/>
              <w:right w:val="single" w:color="auto" w:sz="4" w:space="0"/>
            </w:tcBorders>
            <w:noWrap w:val="0"/>
            <w:vAlign w:val="center"/>
          </w:tcPr>
          <w:p w14:paraId="0518F43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通过仪器测量身高、体重、血压、体重指数等指标。体重指数是评估全身肥胖程度的指标之一。</w:t>
            </w:r>
          </w:p>
        </w:tc>
        <w:tc>
          <w:tcPr>
            <w:tcW w:w="849" w:type="dxa"/>
            <w:tcBorders>
              <w:top w:val="single" w:color="auto" w:sz="4" w:space="0"/>
              <w:left w:val="single" w:color="auto" w:sz="4" w:space="0"/>
              <w:bottom w:val="single" w:color="auto" w:sz="4" w:space="0"/>
              <w:right w:val="single" w:color="auto" w:sz="4" w:space="0"/>
            </w:tcBorders>
            <w:noWrap w:val="0"/>
            <w:vAlign w:val="center"/>
          </w:tcPr>
          <w:p w14:paraId="68A59CD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single" w:color="auto" w:sz="4" w:space="0"/>
              <w:bottom w:val="single" w:color="auto" w:sz="4" w:space="0"/>
              <w:right w:val="single" w:color="auto" w:sz="4" w:space="0"/>
            </w:tcBorders>
            <w:noWrap w:val="0"/>
            <w:vAlign w:val="center"/>
          </w:tcPr>
          <w:p w14:paraId="2759462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16E7E4A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5B5C3D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43ED8C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79F04C50">
        <w:tblPrEx>
          <w:tblCellMar>
            <w:top w:w="0" w:type="dxa"/>
            <w:left w:w="108" w:type="dxa"/>
            <w:bottom w:w="0" w:type="dxa"/>
            <w:right w:w="108" w:type="dxa"/>
          </w:tblCellMar>
        </w:tblPrEx>
        <w:trPr>
          <w:trHeight w:val="177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932933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2</w:t>
            </w:r>
          </w:p>
        </w:tc>
        <w:tc>
          <w:tcPr>
            <w:tcW w:w="1218" w:type="dxa"/>
            <w:tcBorders>
              <w:top w:val="single" w:color="auto" w:sz="4" w:space="0"/>
              <w:left w:val="nil"/>
              <w:bottom w:val="single" w:color="auto" w:sz="4" w:space="0"/>
              <w:right w:val="single" w:color="auto" w:sz="4" w:space="0"/>
            </w:tcBorders>
            <w:noWrap w:val="0"/>
            <w:vAlign w:val="center"/>
          </w:tcPr>
          <w:p w14:paraId="38D1DB5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内科检查</w:t>
            </w:r>
          </w:p>
        </w:tc>
        <w:tc>
          <w:tcPr>
            <w:tcW w:w="2997" w:type="dxa"/>
            <w:tcBorders>
              <w:top w:val="single" w:color="auto" w:sz="4" w:space="0"/>
              <w:left w:val="nil"/>
              <w:bottom w:val="single" w:color="auto" w:sz="4" w:space="0"/>
              <w:right w:val="single" w:color="auto" w:sz="4" w:space="0"/>
            </w:tcBorders>
            <w:noWrap w:val="0"/>
            <w:vAlign w:val="center"/>
          </w:tcPr>
          <w:p w14:paraId="7464674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通过视、触、叩、听体格检查方法，检查心（心率、心律、心音、心界）、肺、腹部重要脏器（肝、胆、脾脏、肾脏）及神经系统基本状况，发现内科常见疾病线索。</w:t>
            </w:r>
          </w:p>
        </w:tc>
        <w:tc>
          <w:tcPr>
            <w:tcW w:w="849" w:type="dxa"/>
            <w:tcBorders>
              <w:top w:val="single" w:color="auto" w:sz="4" w:space="0"/>
              <w:left w:val="nil"/>
              <w:bottom w:val="single" w:color="auto" w:sz="4" w:space="0"/>
              <w:right w:val="single" w:color="auto" w:sz="4" w:space="0"/>
            </w:tcBorders>
            <w:noWrap w:val="0"/>
            <w:vAlign w:val="center"/>
          </w:tcPr>
          <w:p w14:paraId="67FB662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31AB8D47">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0980758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FC9BCF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DFF7CD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6AE94D5F">
        <w:tblPrEx>
          <w:tblCellMar>
            <w:top w:w="0" w:type="dxa"/>
            <w:left w:w="108" w:type="dxa"/>
            <w:bottom w:w="0" w:type="dxa"/>
            <w:right w:w="108" w:type="dxa"/>
          </w:tblCellMar>
        </w:tblPrEx>
        <w:trPr>
          <w:trHeight w:val="193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D46C75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3</w:t>
            </w:r>
          </w:p>
        </w:tc>
        <w:tc>
          <w:tcPr>
            <w:tcW w:w="1218" w:type="dxa"/>
            <w:tcBorders>
              <w:top w:val="single" w:color="auto" w:sz="4" w:space="0"/>
              <w:left w:val="nil"/>
              <w:bottom w:val="single" w:color="auto" w:sz="4" w:space="0"/>
              <w:right w:val="single" w:color="auto" w:sz="4" w:space="0"/>
            </w:tcBorders>
            <w:noWrap w:val="0"/>
            <w:vAlign w:val="center"/>
          </w:tcPr>
          <w:p w14:paraId="63664D0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外科一般检查（男）</w:t>
            </w:r>
          </w:p>
        </w:tc>
        <w:tc>
          <w:tcPr>
            <w:tcW w:w="2997" w:type="dxa"/>
            <w:tcBorders>
              <w:top w:val="single" w:color="auto" w:sz="4" w:space="0"/>
              <w:left w:val="nil"/>
              <w:bottom w:val="single" w:color="auto" w:sz="4" w:space="0"/>
              <w:right w:val="single" w:color="auto" w:sz="4" w:space="0"/>
            </w:tcBorders>
            <w:noWrap w:val="0"/>
            <w:vAlign w:val="center"/>
          </w:tcPr>
          <w:p w14:paraId="54655C6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包含：皮肤、浅表淋巴结、甲状腺、乳腺、脊柱、四肢与关节、外生殖器（男性）。50岁以下且无结直肠癌危险因素的健康人群可仅选择此项，其余人群建议增加“肛门指诊”检查。</w:t>
            </w:r>
          </w:p>
        </w:tc>
        <w:tc>
          <w:tcPr>
            <w:tcW w:w="849" w:type="dxa"/>
            <w:tcBorders>
              <w:top w:val="single" w:color="auto" w:sz="4" w:space="0"/>
              <w:left w:val="nil"/>
              <w:bottom w:val="single" w:color="auto" w:sz="4" w:space="0"/>
              <w:right w:val="single" w:color="auto" w:sz="4" w:space="0"/>
            </w:tcBorders>
            <w:noWrap w:val="0"/>
            <w:vAlign w:val="center"/>
          </w:tcPr>
          <w:p w14:paraId="53A4AB1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76D496A7">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069B81CC">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081E25E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1FA551E">
            <w:pPr>
              <w:widowControl/>
              <w:jc w:val="center"/>
              <w:rPr>
                <w:rFonts w:ascii="微软雅黑" w:hAnsi="微软雅黑" w:eastAsia="微软雅黑" w:cs="Arial"/>
                <w:kern w:val="0"/>
                <w:sz w:val="18"/>
                <w:szCs w:val="18"/>
              </w:rPr>
            </w:pPr>
          </w:p>
        </w:tc>
      </w:tr>
      <w:tr w14:paraId="7E79A8E4">
        <w:tblPrEx>
          <w:tblCellMar>
            <w:top w:w="0" w:type="dxa"/>
            <w:left w:w="108" w:type="dxa"/>
            <w:bottom w:w="0" w:type="dxa"/>
            <w:right w:w="108" w:type="dxa"/>
          </w:tblCellMar>
        </w:tblPrEx>
        <w:trPr>
          <w:trHeight w:val="174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03F7AB5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4</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4179ED4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肛门指诊</w:t>
            </w:r>
          </w:p>
        </w:tc>
        <w:tc>
          <w:tcPr>
            <w:tcW w:w="2997" w:type="dxa"/>
            <w:tcBorders>
              <w:top w:val="single" w:color="auto" w:sz="4" w:space="0"/>
              <w:left w:val="single" w:color="auto" w:sz="4" w:space="0"/>
              <w:bottom w:val="single" w:color="auto" w:sz="4" w:space="0"/>
              <w:right w:val="single" w:color="auto" w:sz="4" w:space="0"/>
            </w:tcBorders>
            <w:noWrap w:val="0"/>
            <w:vAlign w:val="center"/>
          </w:tcPr>
          <w:p w14:paraId="504378B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包括：肛门视诊、直肠指诊，男性包含前列腺检查。适用于50岁以上人群、50岁以下且有结直肠癌危险因素的人群。</w:t>
            </w:r>
          </w:p>
        </w:tc>
        <w:tc>
          <w:tcPr>
            <w:tcW w:w="849" w:type="dxa"/>
            <w:tcBorders>
              <w:top w:val="single" w:color="auto" w:sz="4" w:space="0"/>
              <w:left w:val="single" w:color="auto" w:sz="4" w:space="0"/>
              <w:bottom w:val="single" w:color="auto" w:sz="4" w:space="0"/>
              <w:right w:val="single" w:color="auto" w:sz="4" w:space="0"/>
            </w:tcBorders>
            <w:noWrap w:val="0"/>
            <w:vAlign w:val="center"/>
          </w:tcPr>
          <w:p w14:paraId="4C82BA5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single" w:color="auto" w:sz="4" w:space="0"/>
              <w:bottom w:val="single" w:color="auto" w:sz="4" w:space="0"/>
              <w:right w:val="single" w:color="auto" w:sz="4" w:space="0"/>
            </w:tcBorders>
            <w:noWrap w:val="0"/>
            <w:vAlign w:val="center"/>
          </w:tcPr>
          <w:p w14:paraId="09F7FF0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9D731F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B89315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6A859B7">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25D6ABAA">
        <w:tblPrEx>
          <w:tblCellMar>
            <w:top w:w="0" w:type="dxa"/>
            <w:left w:w="108" w:type="dxa"/>
            <w:bottom w:w="0" w:type="dxa"/>
            <w:right w:w="108" w:type="dxa"/>
          </w:tblCellMar>
        </w:tblPrEx>
        <w:trPr>
          <w:trHeight w:val="160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3331234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5</w:t>
            </w:r>
          </w:p>
        </w:tc>
        <w:tc>
          <w:tcPr>
            <w:tcW w:w="1218" w:type="dxa"/>
            <w:tcBorders>
              <w:top w:val="single" w:color="auto" w:sz="4" w:space="0"/>
              <w:left w:val="nil"/>
              <w:bottom w:val="single" w:color="auto" w:sz="4" w:space="0"/>
              <w:right w:val="single" w:color="auto" w:sz="4" w:space="0"/>
            </w:tcBorders>
            <w:noWrap w:val="0"/>
            <w:vAlign w:val="center"/>
          </w:tcPr>
          <w:p w14:paraId="64983E4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外科一般检查（女）</w:t>
            </w:r>
          </w:p>
        </w:tc>
        <w:tc>
          <w:tcPr>
            <w:tcW w:w="2997" w:type="dxa"/>
            <w:tcBorders>
              <w:top w:val="single" w:color="auto" w:sz="4" w:space="0"/>
              <w:left w:val="nil"/>
              <w:bottom w:val="single" w:color="auto" w:sz="4" w:space="0"/>
              <w:right w:val="single" w:color="auto" w:sz="4" w:space="0"/>
            </w:tcBorders>
            <w:noWrap w:val="0"/>
            <w:vAlign w:val="center"/>
          </w:tcPr>
          <w:p w14:paraId="2D4B118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包含：皮肤、浅表淋巴结、甲状腺、乳腺、脊柱、四肢与关节。50岁以下且无结直肠癌危险因素的健康人群可仅选择此项，其余人群建议增加“肛门指诊”检查。</w:t>
            </w:r>
          </w:p>
        </w:tc>
        <w:tc>
          <w:tcPr>
            <w:tcW w:w="849" w:type="dxa"/>
            <w:tcBorders>
              <w:top w:val="single" w:color="auto" w:sz="4" w:space="0"/>
              <w:left w:val="nil"/>
              <w:bottom w:val="single" w:color="auto" w:sz="4" w:space="0"/>
              <w:right w:val="single" w:color="auto" w:sz="4" w:space="0"/>
            </w:tcBorders>
            <w:noWrap w:val="0"/>
            <w:vAlign w:val="center"/>
          </w:tcPr>
          <w:p w14:paraId="67C2EE9A">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2250B01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18AA67B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AFC3A68">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0AB56E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793AB0B0">
        <w:tblPrEx>
          <w:tblCellMar>
            <w:top w:w="0" w:type="dxa"/>
            <w:left w:w="108" w:type="dxa"/>
            <w:bottom w:w="0" w:type="dxa"/>
            <w:right w:w="108" w:type="dxa"/>
          </w:tblCellMar>
        </w:tblPrEx>
        <w:trPr>
          <w:trHeight w:val="118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18863B7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6</w:t>
            </w:r>
          </w:p>
        </w:tc>
        <w:tc>
          <w:tcPr>
            <w:tcW w:w="1218" w:type="dxa"/>
            <w:tcBorders>
              <w:top w:val="single" w:color="auto" w:sz="4" w:space="0"/>
              <w:left w:val="nil"/>
              <w:bottom w:val="single" w:color="auto" w:sz="4" w:space="0"/>
              <w:right w:val="single" w:color="auto" w:sz="4" w:space="0"/>
            </w:tcBorders>
            <w:noWrap w:val="0"/>
            <w:vAlign w:val="center"/>
          </w:tcPr>
          <w:p w14:paraId="41A72CB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肛门指诊</w:t>
            </w:r>
          </w:p>
        </w:tc>
        <w:tc>
          <w:tcPr>
            <w:tcW w:w="2997" w:type="dxa"/>
            <w:tcBorders>
              <w:top w:val="single" w:color="auto" w:sz="4" w:space="0"/>
              <w:left w:val="nil"/>
              <w:bottom w:val="single" w:color="auto" w:sz="4" w:space="0"/>
              <w:right w:val="single" w:color="auto" w:sz="4" w:space="0"/>
            </w:tcBorders>
            <w:noWrap w:val="0"/>
            <w:vAlign w:val="center"/>
          </w:tcPr>
          <w:p w14:paraId="20ED20D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包括：肛门视诊、直肠指诊，男性包含前列腺检查。适用于50岁以上人群、50岁以下且有结直肠癌危险因素的人群。</w:t>
            </w:r>
          </w:p>
        </w:tc>
        <w:tc>
          <w:tcPr>
            <w:tcW w:w="849" w:type="dxa"/>
            <w:tcBorders>
              <w:top w:val="single" w:color="auto" w:sz="4" w:space="0"/>
              <w:left w:val="nil"/>
              <w:bottom w:val="single" w:color="auto" w:sz="4" w:space="0"/>
              <w:right w:val="single" w:color="auto" w:sz="4" w:space="0"/>
            </w:tcBorders>
            <w:noWrap w:val="0"/>
            <w:vAlign w:val="center"/>
          </w:tcPr>
          <w:p w14:paraId="6AF409B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5236554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3117BC1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21EA2A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0B3397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7CF4BDE2">
        <w:tblPrEx>
          <w:tblCellMar>
            <w:top w:w="0" w:type="dxa"/>
            <w:left w:w="108" w:type="dxa"/>
            <w:bottom w:w="0" w:type="dxa"/>
            <w:right w:w="108" w:type="dxa"/>
          </w:tblCellMar>
        </w:tblPrEx>
        <w:trPr>
          <w:trHeight w:val="292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545A14D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7</w:t>
            </w:r>
          </w:p>
        </w:tc>
        <w:tc>
          <w:tcPr>
            <w:tcW w:w="1218" w:type="dxa"/>
            <w:tcBorders>
              <w:top w:val="single" w:color="auto" w:sz="4" w:space="0"/>
              <w:left w:val="nil"/>
              <w:bottom w:val="single" w:color="auto" w:sz="4" w:space="0"/>
              <w:right w:val="single" w:color="auto" w:sz="4" w:space="0"/>
            </w:tcBorders>
            <w:noWrap w:val="0"/>
            <w:vAlign w:val="center"/>
          </w:tcPr>
          <w:p w14:paraId="1FF6A97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眼科常规检查</w:t>
            </w:r>
          </w:p>
        </w:tc>
        <w:tc>
          <w:tcPr>
            <w:tcW w:w="2997" w:type="dxa"/>
            <w:tcBorders>
              <w:top w:val="single" w:color="auto" w:sz="4" w:space="0"/>
              <w:left w:val="nil"/>
              <w:bottom w:val="single" w:color="auto" w:sz="4" w:space="0"/>
              <w:right w:val="single" w:color="auto" w:sz="4" w:space="0"/>
            </w:tcBorders>
            <w:noWrap w:val="0"/>
            <w:vAlign w:val="center"/>
          </w:tcPr>
          <w:p w14:paraId="216E088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检查双眼视力、色觉、外眼（眼球、眼睑、结膜、泪器、角膜）；通过裂隙灯仪器检查内眼（瞳孔、角膜、虹膜、晶状体、玻璃体）；通过检眼镜检查观察眼底血管、杯盘比情况。发现或初步排除一些常见眼部疾病（如屈光不正、角膜疾病、白内障等）及高血压、糖尿病、动脉硬化等全身性疾病在眼部的临床线索。</w:t>
            </w:r>
          </w:p>
        </w:tc>
        <w:tc>
          <w:tcPr>
            <w:tcW w:w="849" w:type="dxa"/>
            <w:tcBorders>
              <w:top w:val="single" w:color="auto" w:sz="4" w:space="0"/>
              <w:left w:val="nil"/>
              <w:bottom w:val="single" w:color="auto" w:sz="4" w:space="0"/>
              <w:right w:val="single" w:color="auto" w:sz="4" w:space="0"/>
            </w:tcBorders>
            <w:noWrap w:val="0"/>
            <w:vAlign w:val="center"/>
          </w:tcPr>
          <w:p w14:paraId="714AE02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52FDF29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4CBCDCA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A92F51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5581FDE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4F86CD05">
        <w:tblPrEx>
          <w:tblCellMar>
            <w:top w:w="0" w:type="dxa"/>
            <w:left w:w="108" w:type="dxa"/>
            <w:bottom w:w="0" w:type="dxa"/>
            <w:right w:w="108" w:type="dxa"/>
          </w:tblCellMar>
        </w:tblPrEx>
        <w:trPr>
          <w:trHeight w:val="105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2D5E591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8</w:t>
            </w:r>
          </w:p>
        </w:tc>
        <w:tc>
          <w:tcPr>
            <w:tcW w:w="1218" w:type="dxa"/>
            <w:tcBorders>
              <w:top w:val="single" w:color="auto" w:sz="4" w:space="0"/>
              <w:left w:val="nil"/>
              <w:bottom w:val="single" w:color="auto" w:sz="4" w:space="0"/>
              <w:right w:val="single" w:color="auto" w:sz="4" w:space="0"/>
            </w:tcBorders>
            <w:noWrap w:val="0"/>
            <w:vAlign w:val="center"/>
          </w:tcPr>
          <w:p w14:paraId="34344E9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耳鼻喉科检查</w:t>
            </w:r>
          </w:p>
        </w:tc>
        <w:tc>
          <w:tcPr>
            <w:tcW w:w="2997" w:type="dxa"/>
            <w:tcBorders>
              <w:top w:val="single" w:color="auto" w:sz="4" w:space="0"/>
              <w:left w:val="nil"/>
              <w:bottom w:val="single" w:color="auto" w:sz="4" w:space="0"/>
              <w:right w:val="single" w:color="auto" w:sz="4" w:space="0"/>
            </w:tcBorders>
            <w:noWrap w:val="0"/>
            <w:vAlign w:val="center"/>
          </w:tcPr>
          <w:p w14:paraId="43F93BB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通过对听力、耳、鼻、咽等器官的常规器械检查，发现常见疾病。</w:t>
            </w:r>
          </w:p>
        </w:tc>
        <w:tc>
          <w:tcPr>
            <w:tcW w:w="849" w:type="dxa"/>
            <w:tcBorders>
              <w:top w:val="single" w:color="auto" w:sz="4" w:space="0"/>
              <w:left w:val="nil"/>
              <w:bottom w:val="single" w:color="auto" w:sz="4" w:space="0"/>
              <w:right w:val="single" w:color="auto" w:sz="4" w:space="0"/>
            </w:tcBorders>
            <w:noWrap w:val="0"/>
            <w:vAlign w:val="center"/>
          </w:tcPr>
          <w:p w14:paraId="45E0C69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779A2B0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4D52C4E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9ACF63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21718A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536B0FC9">
        <w:tblPrEx>
          <w:tblCellMar>
            <w:top w:w="0" w:type="dxa"/>
            <w:left w:w="108" w:type="dxa"/>
            <w:bottom w:w="0" w:type="dxa"/>
            <w:right w:w="108" w:type="dxa"/>
          </w:tblCellMar>
        </w:tblPrEx>
        <w:trPr>
          <w:trHeight w:val="259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7208592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9</w:t>
            </w:r>
          </w:p>
        </w:tc>
        <w:tc>
          <w:tcPr>
            <w:tcW w:w="1218" w:type="dxa"/>
            <w:tcBorders>
              <w:top w:val="single" w:color="auto" w:sz="4" w:space="0"/>
              <w:left w:val="nil"/>
              <w:bottom w:val="single" w:color="auto" w:sz="4" w:space="0"/>
              <w:right w:val="single" w:color="auto" w:sz="4" w:space="0"/>
            </w:tcBorders>
            <w:noWrap w:val="0"/>
            <w:vAlign w:val="center"/>
          </w:tcPr>
          <w:p w14:paraId="63CA0BF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妇科常规检查</w:t>
            </w:r>
          </w:p>
        </w:tc>
        <w:tc>
          <w:tcPr>
            <w:tcW w:w="2997" w:type="dxa"/>
            <w:tcBorders>
              <w:top w:val="single" w:color="auto" w:sz="4" w:space="0"/>
              <w:left w:val="nil"/>
              <w:bottom w:val="single" w:color="auto" w:sz="4" w:space="0"/>
              <w:right w:val="single" w:color="auto" w:sz="4" w:space="0"/>
            </w:tcBorders>
            <w:noWrap w:val="0"/>
            <w:vAlign w:val="center"/>
          </w:tcPr>
          <w:p w14:paraId="12C70E9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首先查看外阴有无皮肤病、水肿、白斑等；其次用器械检查阴道及宫颈：阴道有无出血、溃疡；有无宫颈炎症、宫颈糜烂等；第三是触摸检查子宫大小、形态、位置以及活动度是否正常；第四是检查双侧附件有无肿块及压痛等。宫颈涂片：是筛检宮颈癌的传统方法，准确性低于宫颈TCT检查。</w:t>
            </w:r>
          </w:p>
        </w:tc>
        <w:tc>
          <w:tcPr>
            <w:tcW w:w="849" w:type="dxa"/>
            <w:tcBorders>
              <w:top w:val="single" w:color="auto" w:sz="4" w:space="0"/>
              <w:left w:val="nil"/>
              <w:bottom w:val="single" w:color="auto" w:sz="4" w:space="0"/>
              <w:right w:val="single" w:color="auto" w:sz="4" w:space="0"/>
            </w:tcBorders>
            <w:noWrap w:val="0"/>
            <w:vAlign w:val="center"/>
          </w:tcPr>
          <w:p w14:paraId="2DFB588A">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3AAD3D0C">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28C1FD0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FA7D58D">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18A1A2FA">
            <w:pPr>
              <w:widowControl/>
              <w:jc w:val="center"/>
              <w:rPr>
                <w:rFonts w:ascii="微软雅黑" w:hAnsi="微软雅黑" w:eastAsia="微软雅黑" w:cs="Arial"/>
                <w:kern w:val="0"/>
                <w:sz w:val="18"/>
                <w:szCs w:val="18"/>
              </w:rPr>
            </w:pPr>
          </w:p>
        </w:tc>
      </w:tr>
      <w:tr w14:paraId="6167EE57">
        <w:tblPrEx>
          <w:tblCellMar>
            <w:top w:w="0" w:type="dxa"/>
            <w:left w:w="108" w:type="dxa"/>
            <w:bottom w:w="0" w:type="dxa"/>
            <w:right w:w="108" w:type="dxa"/>
          </w:tblCellMar>
        </w:tblPrEx>
        <w:trPr>
          <w:trHeight w:val="325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520682B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10</w:t>
            </w:r>
          </w:p>
        </w:tc>
        <w:tc>
          <w:tcPr>
            <w:tcW w:w="1218" w:type="dxa"/>
            <w:tcBorders>
              <w:top w:val="single" w:color="auto" w:sz="4" w:space="0"/>
              <w:left w:val="nil"/>
              <w:bottom w:val="single" w:color="auto" w:sz="4" w:space="0"/>
              <w:right w:val="single" w:color="auto" w:sz="4" w:space="0"/>
            </w:tcBorders>
            <w:noWrap w:val="0"/>
            <w:vAlign w:val="center"/>
          </w:tcPr>
          <w:p w14:paraId="30FC508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妇科一般检查+宫颈TCT检查</w:t>
            </w:r>
          </w:p>
        </w:tc>
        <w:tc>
          <w:tcPr>
            <w:tcW w:w="2997" w:type="dxa"/>
            <w:tcBorders>
              <w:top w:val="single" w:color="auto" w:sz="4" w:space="0"/>
              <w:left w:val="nil"/>
              <w:bottom w:val="single" w:color="auto" w:sz="4" w:space="0"/>
              <w:right w:val="single" w:color="auto" w:sz="4" w:space="0"/>
            </w:tcBorders>
            <w:noWrap w:val="0"/>
            <w:vAlign w:val="center"/>
          </w:tcPr>
          <w:p w14:paraId="4A384F9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首先查看外阴有无皮肤病、水肿、白斑等；其次用器械检查阴道及宫颈：阴道有无出血、溃疡；有无宫颈炎症、宫颈糜烂等；第三是触摸检查子宫大小、形态、位置以及活动度是否正常；第四是检查双侧附件有无肿块及压痛等。宫颈液基超薄细胞检测（TCT）：是目前国内外替代传统宫颈涂片筛查宫颈癌最准确的检测技术，提高了妇女宫颈癌早期诊断率。</w:t>
            </w:r>
          </w:p>
        </w:tc>
        <w:tc>
          <w:tcPr>
            <w:tcW w:w="849" w:type="dxa"/>
            <w:tcBorders>
              <w:top w:val="single" w:color="auto" w:sz="4" w:space="0"/>
              <w:left w:val="nil"/>
              <w:bottom w:val="single" w:color="auto" w:sz="4" w:space="0"/>
              <w:right w:val="single" w:color="auto" w:sz="4" w:space="0"/>
            </w:tcBorders>
            <w:noWrap w:val="0"/>
            <w:vAlign w:val="center"/>
          </w:tcPr>
          <w:p w14:paraId="37AA5AE9">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7238005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5D5340B2">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62D4B8F">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08D7284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1867D020">
        <w:tblPrEx>
          <w:tblCellMar>
            <w:top w:w="0" w:type="dxa"/>
            <w:left w:w="108" w:type="dxa"/>
            <w:bottom w:w="0" w:type="dxa"/>
            <w:right w:w="108" w:type="dxa"/>
          </w:tblCellMar>
        </w:tblPrEx>
        <w:trPr>
          <w:trHeight w:val="100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6687504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11</w:t>
            </w:r>
          </w:p>
        </w:tc>
        <w:tc>
          <w:tcPr>
            <w:tcW w:w="1218" w:type="dxa"/>
            <w:tcBorders>
              <w:top w:val="single" w:color="auto" w:sz="4" w:space="0"/>
              <w:left w:val="nil"/>
              <w:bottom w:val="single" w:color="auto" w:sz="4" w:space="0"/>
              <w:right w:val="single" w:color="auto" w:sz="4" w:space="0"/>
            </w:tcBorders>
            <w:noWrap w:val="0"/>
            <w:vAlign w:val="center"/>
          </w:tcPr>
          <w:p w14:paraId="4BCDBE0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白带常规</w:t>
            </w:r>
          </w:p>
        </w:tc>
        <w:tc>
          <w:tcPr>
            <w:tcW w:w="2997" w:type="dxa"/>
            <w:tcBorders>
              <w:top w:val="single" w:color="auto" w:sz="4" w:space="0"/>
              <w:left w:val="nil"/>
              <w:bottom w:val="single" w:color="auto" w:sz="4" w:space="0"/>
              <w:right w:val="single" w:color="auto" w:sz="4" w:space="0"/>
            </w:tcBorders>
            <w:noWrap w:val="0"/>
            <w:vAlign w:val="center"/>
          </w:tcPr>
          <w:p w14:paraId="74C064D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通过肉眼及显微镜观察阴道分泌物，初步判断阴道是否存在炎症及类型。</w:t>
            </w:r>
          </w:p>
        </w:tc>
        <w:tc>
          <w:tcPr>
            <w:tcW w:w="849" w:type="dxa"/>
            <w:tcBorders>
              <w:top w:val="single" w:color="auto" w:sz="4" w:space="0"/>
              <w:left w:val="nil"/>
              <w:bottom w:val="single" w:color="auto" w:sz="4" w:space="0"/>
              <w:right w:val="single" w:color="auto" w:sz="4" w:space="0"/>
            </w:tcBorders>
            <w:noWrap w:val="0"/>
            <w:vAlign w:val="center"/>
          </w:tcPr>
          <w:p w14:paraId="32E3C8F1">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465A610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56AD2A7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EF30A10">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6F70B5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3420553E">
        <w:tblPrEx>
          <w:tblCellMar>
            <w:top w:w="0" w:type="dxa"/>
            <w:left w:w="108" w:type="dxa"/>
            <w:bottom w:w="0" w:type="dxa"/>
            <w:right w:w="108" w:type="dxa"/>
          </w:tblCellMar>
        </w:tblPrEx>
        <w:trPr>
          <w:trHeight w:val="184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2534364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12</w:t>
            </w:r>
          </w:p>
        </w:tc>
        <w:tc>
          <w:tcPr>
            <w:tcW w:w="1218" w:type="dxa"/>
            <w:tcBorders>
              <w:top w:val="single" w:color="auto" w:sz="4" w:space="0"/>
              <w:left w:val="nil"/>
              <w:bottom w:val="single" w:color="auto" w:sz="4" w:space="0"/>
              <w:right w:val="single" w:color="auto" w:sz="4" w:space="0"/>
            </w:tcBorders>
            <w:noWrap w:val="0"/>
            <w:vAlign w:val="center"/>
          </w:tcPr>
          <w:p w14:paraId="1AA11667">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腹部彩超</w:t>
            </w:r>
          </w:p>
        </w:tc>
        <w:tc>
          <w:tcPr>
            <w:tcW w:w="2997" w:type="dxa"/>
            <w:tcBorders>
              <w:top w:val="single" w:color="auto" w:sz="4" w:space="0"/>
              <w:left w:val="nil"/>
              <w:bottom w:val="single" w:color="auto" w:sz="4" w:space="0"/>
              <w:right w:val="single" w:color="auto" w:sz="4" w:space="0"/>
            </w:tcBorders>
            <w:noWrap w:val="0"/>
            <w:vAlign w:val="center"/>
          </w:tcPr>
          <w:p w14:paraId="19B2127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通过彩色超声仪器检查检测肝、胆、胰、脾、双肾的外部形态和内部结构变化。用于肝硬化、脂肪肝、胆结石、胆囊息肉、肾结石、肾积水、肾萎缩、脾肿大、胰腺囊肿及上述脏器的肿瘤的辅助诊断。</w:t>
            </w:r>
          </w:p>
        </w:tc>
        <w:tc>
          <w:tcPr>
            <w:tcW w:w="849" w:type="dxa"/>
            <w:tcBorders>
              <w:top w:val="single" w:color="auto" w:sz="4" w:space="0"/>
              <w:left w:val="nil"/>
              <w:bottom w:val="single" w:color="auto" w:sz="4" w:space="0"/>
              <w:right w:val="single" w:color="auto" w:sz="4" w:space="0"/>
            </w:tcBorders>
            <w:noWrap w:val="0"/>
            <w:vAlign w:val="center"/>
          </w:tcPr>
          <w:p w14:paraId="734437E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223F3C4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35E3E7A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60632B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54E2A7C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54D920B6">
        <w:tblPrEx>
          <w:tblCellMar>
            <w:top w:w="0" w:type="dxa"/>
            <w:left w:w="108" w:type="dxa"/>
            <w:bottom w:w="0" w:type="dxa"/>
            <w:right w:w="108" w:type="dxa"/>
          </w:tblCellMar>
        </w:tblPrEx>
        <w:trPr>
          <w:trHeight w:val="106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61EF088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13</w:t>
            </w:r>
          </w:p>
        </w:tc>
        <w:tc>
          <w:tcPr>
            <w:tcW w:w="1218" w:type="dxa"/>
            <w:tcBorders>
              <w:top w:val="single" w:color="auto" w:sz="4" w:space="0"/>
              <w:left w:val="nil"/>
              <w:bottom w:val="single" w:color="auto" w:sz="4" w:space="0"/>
              <w:right w:val="single" w:color="auto" w:sz="4" w:space="0"/>
            </w:tcBorders>
            <w:noWrap w:val="0"/>
            <w:vAlign w:val="center"/>
          </w:tcPr>
          <w:p w14:paraId="250567F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前列腺彩超</w:t>
            </w:r>
          </w:p>
        </w:tc>
        <w:tc>
          <w:tcPr>
            <w:tcW w:w="2997" w:type="dxa"/>
            <w:tcBorders>
              <w:top w:val="single" w:color="auto" w:sz="4" w:space="0"/>
              <w:left w:val="nil"/>
              <w:bottom w:val="single" w:color="auto" w:sz="4" w:space="0"/>
              <w:right w:val="single" w:color="auto" w:sz="4" w:space="0"/>
            </w:tcBorders>
            <w:noWrap w:val="0"/>
            <w:vAlign w:val="center"/>
          </w:tcPr>
          <w:p w14:paraId="3AA92B2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检测前列腺的形态和结构，用于前列腺增生、前列腺癌及前列腺结石的辅助诊断。</w:t>
            </w:r>
          </w:p>
        </w:tc>
        <w:tc>
          <w:tcPr>
            <w:tcW w:w="849" w:type="dxa"/>
            <w:tcBorders>
              <w:top w:val="single" w:color="auto" w:sz="4" w:space="0"/>
              <w:left w:val="nil"/>
              <w:bottom w:val="single" w:color="auto" w:sz="4" w:space="0"/>
              <w:right w:val="single" w:color="auto" w:sz="4" w:space="0"/>
            </w:tcBorders>
            <w:noWrap w:val="0"/>
            <w:vAlign w:val="center"/>
          </w:tcPr>
          <w:p w14:paraId="5AB9EC5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6B2F96E4">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09B0A707">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0B8AEC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4109BB6">
            <w:pPr>
              <w:widowControl/>
              <w:jc w:val="center"/>
              <w:rPr>
                <w:rFonts w:ascii="微软雅黑" w:hAnsi="微软雅黑" w:eastAsia="微软雅黑" w:cs="Arial"/>
                <w:kern w:val="0"/>
                <w:sz w:val="18"/>
                <w:szCs w:val="18"/>
              </w:rPr>
            </w:pPr>
          </w:p>
        </w:tc>
      </w:tr>
      <w:tr w14:paraId="3E2907BA">
        <w:tblPrEx>
          <w:tblCellMar>
            <w:top w:w="0" w:type="dxa"/>
            <w:left w:w="108" w:type="dxa"/>
            <w:bottom w:w="0" w:type="dxa"/>
            <w:right w:w="108" w:type="dxa"/>
          </w:tblCellMar>
        </w:tblPrEx>
        <w:trPr>
          <w:trHeight w:val="186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2494E21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14</w:t>
            </w:r>
          </w:p>
        </w:tc>
        <w:tc>
          <w:tcPr>
            <w:tcW w:w="1218" w:type="dxa"/>
            <w:tcBorders>
              <w:top w:val="single" w:color="auto" w:sz="4" w:space="0"/>
              <w:left w:val="nil"/>
              <w:bottom w:val="single" w:color="auto" w:sz="4" w:space="0"/>
              <w:right w:val="single" w:color="auto" w:sz="4" w:space="0"/>
            </w:tcBorders>
            <w:noWrap w:val="0"/>
            <w:vAlign w:val="center"/>
          </w:tcPr>
          <w:p w14:paraId="04D1D74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女性盆腔彩超</w:t>
            </w:r>
          </w:p>
        </w:tc>
        <w:tc>
          <w:tcPr>
            <w:tcW w:w="2997" w:type="dxa"/>
            <w:tcBorders>
              <w:top w:val="single" w:color="auto" w:sz="4" w:space="0"/>
              <w:left w:val="nil"/>
              <w:bottom w:val="single" w:color="auto" w:sz="4" w:space="0"/>
              <w:right w:val="single" w:color="auto" w:sz="4" w:space="0"/>
            </w:tcBorders>
            <w:noWrap w:val="0"/>
            <w:vAlign w:val="center"/>
          </w:tcPr>
          <w:p w14:paraId="1EB2111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经腹壁检查子宫、输卵管和卵巢，用于子宫肌瘤、子宫畸形、子宫脱垂、子宫腺肌病、卵巢肿瘤、卵巢囊肿及输卵管积水的检查手段。需憋尿后检查。</w:t>
            </w:r>
          </w:p>
        </w:tc>
        <w:tc>
          <w:tcPr>
            <w:tcW w:w="849" w:type="dxa"/>
            <w:tcBorders>
              <w:top w:val="single" w:color="auto" w:sz="4" w:space="0"/>
              <w:left w:val="nil"/>
              <w:bottom w:val="single" w:color="auto" w:sz="4" w:space="0"/>
              <w:right w:val="single" w:color="auto" w:sz="4" w:space="0"/>
            </w:tcBorders>
            <w:noWrap w:val="0"/>
            <w:vAlign w:val="center"/>
          </w:tcPr>
          <w:p w14:paraId="29B898D3">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34BC7B2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2EA2545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4B8AA19">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43111E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718B89A3">
        <w:tblPrEx>
          <w:tblCellMar>
            <w:top w:w="0" w:type="dxa"/>
            <w:left w:w="108" w:type="dxa"/>
            <w:bottom w:w="0" w:type="dxa"/>
            <w:right w:w="108" w:type="dxa"/>
          </w:tblCellMar>
        </w:tblPrEx>
        <w:trPr>
          <w:trHeight w:val="132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5BA51CA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15</w:t>
            </w:r>
          </w:p>
        </w:tc>
        <w:tc>
          <w:tcPr>
            <w:tcW w:w="1218" w:type="dxa"/>
            <w:tcBorders>
              <w:top w:val="single" w:color="auto" w:sz="4" w:space="0"/>
              <w:left w:val="nil"/>
              <w:bottom w:val="single" w:color="auto" w:sz="4" w:space="0"/>
              <w:right w:val="single" w:color="auto" w:sz="4" w:space="0"/>
            </w:tcBorders>
            <w:noWrap w:val="0"/>
            <w:vAlign w:val="center"/>
          </w:tcPr>
          <w:p w14:paraId="610AC8D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颈动脉彩超</w:t>
            </w:r>
          </w:p>
        </w:tc>
        <w:tc>
          <w:tcPr>
            <w:tcW w:w="2997" w:type="dxa"/>
            <w:tcBorders>
              <w:top w:val="single" w:color="auto" w:sz="4" w:space="0"/>
              <w:left w:val="nil"/>
              <w:bottom w:val="single" w:color="auto" w:sz="4" w:space="0"/>
              <w:right w:val="single" w:color="auto" w:sz="4" w:space="0"/>
            </w:tcBorders>
            <w:noWrap w:val="0"/>
            <w:vAlign w:val="center"/>
          </w:tcPr>
          <w:p w14:paraId="7EF1D47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通过彩色超声仪器检查颈动脉内膜中层厚度、斑块大小等数据，是评估缺血性脑血管病风险的首要检测方法。</w:t>
            </w:r>
          </w:p>
        </w:tc>
        <w:tc>
          <w:tcPr>
            <w:tcW w:w="849" w:type="dxa"/>
            <w:tcBorders>
              <w:top w:val="single" w:color="auto" w:sz="4" w:space="0"/>
              <w:left w:val="nil"/>
              <w:bottom w:val="single" w:color="auto" w:sz="4" w:space="0"/>
              <w:right w:val="single" w:color="auto" w:sz="4" w:space="0"/>
            </w:tcBorders>
            <w:noWrap w:val="0"/>
            <w:vAlign w:val="center"/>
          </w:tcPr>
          <w:p w14:paraId="2C6BD5C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1647E0C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4F25379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51161B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682E3B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18B11A5E">
        <w:tblPrEx>
          <w:tblCellMar>
            <w:top w:w="0" w:type="dxa"/>
            <w:left w:w="108" w:type="dxa"/>
            <w:bottom w:w="0" w:type="dxa"/>
            <w:right w:w="108" w:type="dxa"/>
          </w:tblCellMar>
        </w:tblPrEx>
        <w:trPr>
          <w:trHeight w:val="166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18BDF75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16</w:t>
            </w:r>
          </w:p>
        </w:tc>
        <w:tc>
          <w:tcPr>
            <w:tcW w:w="1218" w:type="dxa"/>
            <w:tcBorders>
              <w:top w:val="single" w:color="auto" w:sz="4" w:space="0"/>
              <w:left w:val="nil"/>
              <w:bottom w:val="single" w:color="auto" w:sz="4" w:space="0"/>
              <w:right w:val="single" w:color="auto" w:sz="4" w:space="0"/>
            </w:tcBorders>
            <w:noWrap w:val="0"/>
            <w:vAlign w:val="center"/>
          </w:tcPr>
          <w:p w14:paraId="318330A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甲状腺彩超</w:t>
            </w:r>
          </w:p>
        </w:tc>
        <w:tc>
          <w:tcPr>
            <w:tcW w:w="2997" w:type="dxa"/>
            <w:tcBorders>
              <w:top w:val="single" w:color="auto" w:sz="4" w:space="0"/>
              <w:left w:val="nil"/>
              <w:bottom w:val="single" w:color="auto" w:sz="4" w:space="0"/>
              <w:right w:val="single" w:color="auto" w:sz="4" w:space="0"/>
            </w:tcBorders>
            <w:noWrap w:val="0"/>
            <w:vAlign w:val="center"/>
          </w:tcPr>
          <w:p w14:paraId="7E8EC54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通过彩色超声仪器检查甲状腺部位，甲状腺彩色超声是灵敏的检查手段。可用于甲状腺结节、甲状腺囊肿、亚急性或 慢性甲状腺炎、甲状腺机能亢进和甲状腺癌的诊断。</w:t>
            </w:r>
          </w:p>
        </w:tc>
        <w:tc>
          <w:tcPr>
            <w:tcW w:w="849" w:type="dxa"/>
            <w:tcBorders>
              <w:top w:val="single" w:color="auto" w:sz="4" w:space="0"/>
              <w:left w:val="nil"/>
              <w:bottom w:val="single" w:color="auto" w:sz="4" w:space="0"/>
              <w:right w:val="single" w:color="auto" w:sz="4" w:space="0"/>
            </w:tcBorders>
            <w:noWrap w:val="0"/>
            <w:vAlign w:val="center"/>
          </w:tcPr>
          <w:p w14:paraId="397EEBA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0AAD963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3F8A4A3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4AA6C2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5C0F28D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07602840">
        <w:tblPrEx>
          <w:tblCellMar>
            <w:top w:w="0" w:type="dxa"/>
            <w:left w:w="108" w:type="dxa"/>
            <w:bottom w:w="0" w:type="dxa"/>
            <w:right w:w="108" w:type="dxa"/>
          </w:tblCellMar>
        </w:tblPrEx>
        <w:trPr>
          <w:trHeight w:val="162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0C3E20F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17</w:t>
            </w:r>
          </w:p>
        </w:tc>
        <w:tc>
          <w:tcPr>
            <w:tcW w:w="1218" w:type="dxa"/>
            <w:tcBorders>
              <w:top w:val="single" w:color="auto" w:sz="4" w:space="0"/>
              <w:left w:val="nil"/>
              <w:bottom w:val="single" w:color="auto" w:sz="4" w:space="0"/>
              <w:right w:val="single" w:color="auto" w:sz="4" w:space="0"/>
            </w:tcBorders>
            <w:noWrap w:val="0"/>
            <w:vAlign w:val="center"/>
          </w:tcPr>
          <w:p w14:paraId="44BD8E0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乳腺彩超</w:t>
            </w:r>
          </w:p>
        </w:tc>
        <w:tc>
          <w:tcPr>
            <w:tcW w:w="2997" w:type="dxa"/>
            <w:tcBorders>
              <w:top w:val="single" w:color="auto" w:sz="4" w:space="0"/>
              <w:left w:val="nil"/>
              <w:bottom w:val="single" w:color="auto" w:sz="4" w:space="0"/>
              <w:right w:val="single" w:color="auto" w:sz="4" w:space="0"/>
            </w:tcBorders>
            <w:noWrap w:val="0"/>
            <w:vAlign w:val="center"/>
          </w:tcPr>
          <w:p w14:paraId="3E854DB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通过彩色超声仪器检查栓侧乳腺，是育龄女性乳腺癌筛查首选方法。还用于乳腺增生、乳腺囊性肿物、导管内乳头状瘤、纤维腺瘤等疾病的辅助诊断。</w:t>
            </w:r>
          </w:p>
        </w:tc>
        <w:tc>
          <w:tcPr>
            <w:tcW w:w="849" w:type="dxa"/>
            <w:tcBorders>
              <w:top w:val="single" w:color="auto" w:sz="4" w:space="0"/>
              <w:left w:val="nil"/>
              <w:bottom w:val="single" w:color="auto" w:sz="4" w:space="0"/>
              <w:right w:val="single" w:color="auto" w:sz="4" w:space="0"/>
            </w:tcBorders>
            <w:noWrap w:val="0"/>
            <w:vAlign w:val="center"/>
          </w:tcPr>
          <w:p w14:paraId="3D5FC087">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550AB42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3642941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D6BF02A">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659F29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288A350C">
        <w:tblPrEx>
          <w:tblCellMar>
            <w:top w:w="0" w:type="dxa"/>
            <w:left w:w="108" w:type="dxa"/>
            <w:bottom w:w="0" w:type="dxa"/>
            <w:right w:w="108" w:type="dxa"/>
          </w:tblCellMar>
        </w:tblPrEx>
        <w:trPr>
          <w:trHeight w:val="174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2BA3EAC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18</w:t>
            </w:r>
          </w:p>
        </w:tc>
        <w:tc>
          <w:tcPr>
            <w:tcW w:w="1218" w:type="dxa"/>
            <w:tcBorders>
              <w:top w:val="single" w:color="auto" w:sz="4" w:space="0"/>
              <w:left w:val="nil"/>
              <w:bottom w:val="single" w:color="auto" w:sz="4" w:space="0"/>
              <w:right w:val="single" w:color="auto" w:sz="4" w:space="0"/>
            </w:tcBorders>
            <w:noWrap w:val="0"/>
            <w:vAlign w:val="center"/>
          </w:tcPr>
          <w:p w14:paraId="7C69D54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心脏彩超</w:t>
            </w:r>
          </w:p>
        </w:tc>
        <w:tc>
          <w:tcPr>
            <w:tcW w:w="2997" w:type="dxa"/>
            <w:tcBorders>
              <w:top w:val="single" w:color="auto" w:sz="4" w:space="0"/>
              <w:left w:val="nil"/>
              <w:bottom w:val="single" w:color="auto" w:sz="4" w:space="0"/>
              <w:right w:val="single" w:color="auto" w:sz="4" w:space="0"/>
            </w:tcBorders>
            <w:noWrap w:val="0"/>
            <w:vAlign w:val="center"/>
          </w:tcPr>
          <w:p w14:paraId="191468F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通过彩色超声仪器检查心脏结构及功能，对心血管疾病的诊断和疗效判断具有重要的价值。用于筛查器质性心脏疾病，如：心肌病、各种先天性心脏病、肺心病、心脏瓣膜病等。</w:t>
            </w:r>
          </w:p>
        </w:tc>
        <w:tc>
          <w:tcPr>
            <w:tcW w:w="849" w:type="dxa"/>
            <w:tcBorders>
              <w:top w:val="single" w:color="auto" w:sz="4" w:space="0"/>
              <w:left w:val="nil"/>
              <w:bottom w:val="single" w:color="auto" w:sz="4" w:space="0"/>
              <w:right w:val="single" w:color="auto" w:sz="4" w:space="0"/>
            </w:tcBorders>
            <w:noWrap w:val="0"/>
            <w:vAlign w:val="center"/>
          </w:tcPr>
          <w:p w14:paraId="6FBF0A8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4754230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2EC2A43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87FE7C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5BF78F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37CB674C">
        <w:tblPrEx>
          <w:tblCellMar>
            <w:top w:w="0" w:type="dxa"/>
            <w:left w:w="108" w:type="dxa"/>
            <w:bottom w:w="0" w:type="dxa"/>
            <w:right w:w="108" w:type="dxa"/>
          </w:tblCellMar>
        </w:tblPrEx>
        <w:trPr>
          <w:trHeight w:val="1613"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63EA0677">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19</w:t>
            </w:r>
          </w:p>
        </w:tc>
        <w:tc>
          <w:tcPr>
            <w:tcW w:w="1218" w:type="dxa"/>
            <w:tcBorders>
              <w:top w:val="single" w:color="auto" w:sz="4" w:space="0"/>
              <w:left w:val="nil"/>
              <w:bottom w:val="single" w:color="auto" w:sz="4" w:space="0"/>
              <w:right w:val="single" w:color="auto" w:sz="4" w:space="0"/>
            </w:tcBorders>
            <w:noWrap w:val="0"/>
            <w:vAlign w:val="center"/>
          </w:tcPr>
          <w:p w14:paraId="5803350A">
            <w:pPr>
              <w:widowControl/>
              <w:jc w:val="center"/>
              <w:rPr>
                <w:rFonts w:ascii="微软雅黑" w:hAnsi="微软雅黑" w:eastAsia="微软雅黑" w:cs="Arial"/>
                <w:bCs/>
                <w:kern w:val="0"/>
                <w:sz w:val="18"/>
                <w:szCs w:val="18"/>
              </w:rPr>
            </w:pPr>
            <w:r>
              <w:rPr>
                <w:rFonts w:hint="eastAsia" w:ascii="微软雅黑" w:hAnsi="微软雅黑" w:eastAsia="微软雅黑" w:cs="Arial"/>
                <w:bCs/>
                <w:kern w:val="0"/>
                <w:sz w:val="18"/>
                <w:szCs w:val="18"/>
              </w:rPr>
              <w:t xml:space="preserve">螺旋CT（胸部） </w:t>
            </w:r>
          </w:p>
        </w:tc>
        <w:tc>
          <w:tcPr>
            <w:tcW w:w="2997" w:type="dxa"/>
            <w:tcBorders>
              <w:top w:val="single" w:color="auto" w:sz="4" w:space="0"/>
              <w:left w:val="nil"/>
              <w:bottom w:val="single" w:color="auto" w:sz="4" w:space="0"/>
              <w:right w:val="single" w:color="auto" w:sz="4" w:space="0"/>
            </w:tcBorders>
            <w:noWrap w:val="0"/>
            <w:vAlign w:val="center"/>
          </w:tcPr>
          <w:p w14:paraId="6226BA5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螺旋CT检查可清晰显示器官的三维解剖结构。整个胸部一次屏气下完成连续扫描，没有间隔，大大减少了病灶遗漏的可能性。对早期肺癌检查的灵敏度明显高于胸片。</w:t>
            </w:r>
          </w:p>
        </w:tc>
        <w:tc>
          <w:tcPr>
            <w:tcW w:w="849" w:type="dxa"/>
            <w:tcBorders>
              <w:top w:val="single" w:color="auto" w:sz="4" w:space="0"/>
              <w:left w:val="nil"/>
              <w:bottom w:val="single" w:color="auto" w:sz="4" w:space="0"/>
              <w:right w:val="single" w:color="auto" w:sz="4" w:space="0"/>
            </w:tcBorders>
            <w:noWrap w:val="0"/>
            <w:vAlign w:val="center"/>
          </w:tcPr>
          <w:p w14:paraId="0339BC4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17E3709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6815884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E5D138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DA6AB7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11AC8633">
        <w:tblPrEx>
          <w:tblCellMar>
            <w:top w:w="0" w:type="dxa"/>
            <w:left w:w="108" w:type="dxa"/>
            <w:bottom w:w="0" w:type="dxa"/>
            <w:right w:w="108" w:type="dxa"/>
          </w:tblCellMar>
        </w:tblPrEx>
        <w:trPr>
          <w:trHeight w:val="160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D3FBA7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20</w:t>
            </w:r>
          </w:p>
        </w:tc>
        <w:tc>
          <w:tcPr>
            <w:tcW w:w="1218" w:type="dxa"/>
            <w:tcBorders>
              <w:top w:val="single" w:color="auto" w:sz="4" w:space="0"/>
              <w:left w:val="nil"/>
              <w:bottom w:val="single" w:color="auto" w:sz="4" w:space="0"/>
              <w:right w:val="single" w:color="auto" w:sz="4" w:space="0"/>
            </w:tcBorders>
            <w:noWrap w:val="0"/>
            <w:vAlign w:val="center"/>
          </w:tcPr>
          <w:p w14:paraId="34E8076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心电图</w:t>
            </w:r>
          </w:p>
        </w:tc>
        <w:tc>
          <w:tcPr>
            <w:tcW w:w="2997" w:type="dxa"/>
            <w:tcBorders>
              <w:top w:val="single" w:color="auto" w:sz="4" w:space="0"/>
              <w:left w:val="nil"/>
              <w:bottom w:val="single" w:color="auto" w:sz="4" w:space="0"/>
              <w:right w:val="single" w:color="auto" w:sz="4" w:space="0"/>
            </w:tcBorders>
            <w:noWrap w:val="0"/>
            <w:vAlign w:val="center"/>
          </w:tcPr>
          <w:p w14:paraId="3525CA7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通过记录收缩和舒张过程中的电位变化，可以准确判断心律失常，辅助诊断各种心脏病引起的心房或心室肥大、心肌炎、心肌缺血、心肌梗塞及全身疾病引起的心脏病变。</w:t>
            </w:r>
          </w:p>
        </w:tc>
        <w:tc>
          <w:tcPr>
            <w:tcW w:w="849" w:type="dxa"/>
            <w:tcBorders>
              <w:top w:val="single" w:color="auto" w:sz="4" w:space="0"/>
              <w:left w:val="nil"/>
              <w:bottom w:val="single" w:color="auto" w:sz="4" w:space="0"/>
              <w:right w:val="single" w:color="auto" w:sz="4" w:space="0"/>
            </w:tcBorders>
            <w:noWrap w:val="0"/>
            <w:vAlign w:val="center"/>
          </w:tcPr>
          <w:p w14:paraId="11AAA85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560BBDC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0BDA05E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54632FA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6BC12C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0249AAA0">
        <w:tblPrEx>
          <w:tblCellMar>
            <w:top w:w="0" w:type="dxa"/>
            <w:left w:w="108" w:type="dxa"/>
            <w:bottom w:w="0" w:type="dxa"/>
            <w:right w:w="108" w:type="dxa"/>
          </w:tblCellMar>
        </w:tblPrEx>
        <w:trPr>
          <w:trHeight w:val="183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2E453D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21</w:t>
            </w:r>
          </w:p>
        </w:tc>
        <w:tc>
          <w:tcPr>
            <w:tcW w:w="1218" w:type="dxa"/>
            <w:tcBorders>
              <w:top w:val="single" w:color="auto" w:sz="4" w:space="0"/>
              <w:left w:val="nil"/>
              <w:bottom w:val="single" w:color="auto" w:sz="4" w:space="0"/>
              <w:right w:val="single" w:color="auto" w:sz="4" w:space="0"/>
            </w:tcBorders>
            <w:noWrap w:val="0"/>
            <w:vAlign w:val="center"/>
          </w:tcPr>
          <w:p w14:paraId="3AE7DD4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经颅多普勒</w:t>
            </w:r>
          </w:p>
        </w:tc>
        <w:tc>
          <w:tcPr>
            <w:tcW w:w="2997" w:type="dxa"/>
            <w:tcBorders>
              <w:top w:val="single" w:color="auto" w:sz="4" w:space="0"/>
              <w:left w:val="nil"/>
              <w:bottom w:val="single" w:color="auto" w:sz="4" w:space="0"/>
              <w:right w:val="single" w:color="auto" w:sz="4" w:space="0"/>
            </w:tcBorders>
            <w:noWrap w:val="0"/>
            <w:vAlign w:val="center"/>
          </w:tcPr>
          <w:p w14:paraId="78481EF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是用频谱多普勒方法无创检查颅内外脑血流动力学指标的变化，主要用于脑动脉硬化、痉挛、血管神经性头痛、脑动脉(颈内动脉系和椎基底动脉系)狭窄、闭塞及颅内动脉畸形等疾病的辅助性诊断。</w:t>
            </w:r>
          </w:p>
        </w:tc>
        <w:tc>
          <w:tcPr>
            <w:tcW w:w="849" w:type="dxa"/>
            <w:tcBorders>
              <w:top w:val="single" w:color="auto" w:sz="4" w:space="0"/>
              <w:left w:val="nil"/>
              <w:bottom w:val="single" w:color="auto" w:sz="4" w:space="0"/>
              <w:right w:val="single" w:color="auto" w:sz="4" w:space="0"/>
            </w:tcBorders>
            <w:noWrap w:val="0"/>
            <w:vAlign w:val="center"/>
          </w:tcPr>
          <w:p w14:paraId="66C326EE">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258A6C43">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619050D2">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97E80D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2498A9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671AE360">
        <w:tblPrEx>
          <w:tblCellMar>
            <w:top w:w="0" w:type="dxa"/>
            <w:left w:w="108" w:type="dxa"/>
            <w:bottom w:w="0" w:type="dxa"/>
            <w:right w:w="108" w:type="dxa"/>
          </w:tblCellMar>
        </w:tblPrEx>
        <w:trPr>
          <w:trHeight w:val="181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543C4B0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22</w:t>
            </w:r>
          </w:p>
        </w:tc>
        <w:tc>
          <w:tcPr>
            <w:tcW w:w="1218" w:type="dxa"/>
            <w:tcBorders>
              <w:top w:val="single" w:color="auto" w:sz="4" w:space="0"/>
              <w:left w:val="nil"/>
              <w:bottom w:val="single" w:color="auto" w:sz="4" w:space="0"/>
              <w:right w:val="single" w:color="auto" w:sz="4" w:space="0"/>
            </w:tcBorders>
            <w:noWrap w:val="0"/>
            <w:vAlign w:val="center"/>
          </w:tcPr>
          <w:p w14:paraId="54B5338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骨密度</w:t>
            </w:r>
          </w:p>
        </w:tc>
        <w:tc>
          <w:tcPr>
            <w:tcW w:w="2997" w:type="dxa"/>
            <w:tcBorders>
              <w:top w:val="single" w:color="auto" w:sz="4" w:space="0"/>
              <w:left w:val="nil"/>
              <w:bottom w:val="single" w:color="auto" w:sz="4" w:space="0"/>
              <w:right w:val="single" w:color="auto" w:sz="4" w:space="0"/>
            </w:tcBorders>
            <w:noWrap w:val="0"/>
            <w:vAlign w:val="center"/>
          </w:tcPr>
          <w:p w14:paraId="6B55BF3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骨密度是利用仪器在体外对人体骨骼中的无机盐含量进行测量和定量分析的一种方法，其意义是通过分析骨骼中无机盐含量的多少，来判断骨质疏松的程度，为诊断、治疗及疗效观察提供依据。</w:t>
            </w:r>
          </w:p>
        </w:tc>
        <w:tc>
          <w:tcPr>
            <w:tcW w:w="849" w:type="dxa"/>
            <w:tcBorders>
              <w:top w:val="single" w:color="auto" w:sz="4" w:space="0"/>
              <w:left w:val="nil"/>
              <w:bottom w:val="single" w:color="auto" w:sz="4" w:space="0"/>
              <w:right w:val="single" w:color="auto" w:sz="4" w:space="0"/>
            </w:tcBorders>
            <w:noWrap w:val="0"/>
            <w:vAlign w:val="center"/>
          </w:tcPr>
          <w:p w14:paraId="18B7B68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3D9FA43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7E0FB69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108A1F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B769EC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1D54704F">
        <w:tblPrEx>
          <w:tblCellMar>
            <w:top w:w="0" w:type="dxa"/>
            <w:left w:w="108" w:type="dxa"/>
            <w:bottom w:w="0" w:type="dxa"/>
            <w:right w:w="108" w:type="dxa"/>
          </w:tblCellMar>
        </w:tblPrEx>
        <w:trPr>
          <w:trHeight w:val="829"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1CDBAB8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23</w:t>
            </w:r>
          </w:p>
        </w:tc>
        <w:tc>
          <w:tcPr>
            <w:tcW w:w="1218" w:type="dxa"/>
            <w:tcBorders>
              <w:top w:val="single" w:color="auto" w:sz="4" w:space="0"/>
              <w:left w:val="nil"/>
              <w:bottom w:val="single" w:color="auto" w:sz="4" w:space="0"/>
              <w:right w:val="single" w:color="auto" w:sz="4" w:space="0"/>
            </w:tcBorders>
            <w:noWrap w:val="0"/>
            <w:vAlign w:val="center"/>
          </w:tcPr>
          <w:p w14:paraId="1BDAFDB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丙氨酸氨基转移酶（ALT）</w:t>
            </w:r>
          </w:p>
        </w:tc>
        <w:tc>
          <w:tcPr>
            <w:tcW w:w="2997" w:type="dxa"/>
            <w:tcBorders>
              <w:top w:val="single" w:color="auto" w:sz="4" w:space="0"/>
              <w:left w:val="nil"/>
              <w:bottom w:val="single" w:color="auto" w:sz="4" w:space="0"/>
              <w:right w:val="single" w:color="auto" w:sz="4" w:space="0"/>
            </w:tcBorders>
            <w:noWrap w:val="0"/>
            <w:vAlign w:val="center"/>
          </w:tcPr>
          <w:p w14:paraId="0685254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曾用名称“谷丙转氨酶”是检查肝脏损害最灵敏的检查项目。丙氨酸氨基转移酶略高可见于饮酒、过度劳累后、脂肪肝、病毒感染、肝胆等疾病以及药物性肝损害等。</w:t>
            </w:r>
          </w:p>
        </w:tc>
        <w:tc>
          <w:tcPr>
            <w:tcW w:w="849" w:type="dxa"/>
            <w:tcBorders>
              <w:top w:val="single" w:color="auto" w:sz="4" w:space="0"/>
              <w:left w:val="nil"/>
              <w:bottom w:val="single" w:color="auto" w:sz="4" w:space="0"/>
              <w:right w:val="single" w:color="auto" w:sz="4" w:space="0"/>
            </w:tcBorders>
            <w:noWrap w:val="0"/>
            <w:vAlign w:val="center"/>
          </w:tcPr>
          <w:p w14:paraId="0436BE9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304C404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1B1994B7">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5D5FB3A3">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7000131">
            <w:pPr>
              <w:widowControl/>
              <w:jc w:val="center"/>
              <w:rPr>
                <w:rFonts w:ascii="微软雅黑" w:hAnsi="微软雅黑" w:eastAsia="微软雅黑" w:cs="Arial"/>
                <w:kern w:val="0"/>
                <w:sz w:val="18"/>
                <w:szCs w:val="18"/>
              </w:rPr>
            </w:pPr>
          </w:p>
        </w:tc>
      </w:tr>
      <w:tr w14:paraId="4EACF279">
        <w:tblPrEx>
          <w:tblCellMar>
            <w:top w:w="0" w:type="dxa"/>
            <w:left w:w="108" w:type="dxa"/>
            <w:bottom w:w="0" w:type="dxa"/>
            <w:right w:w="108" w:type="dxa"/>
          </w:tblCellMar>
        </w:tblPrEx>
        <w:trPr>
          <w:trHeight w:val="629"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8E72DD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24</w:t>
            </w:r>
          </w:p>
        </w:tc>
        <w:tc>
          <w:tcPr>
            <w:tcW w:w="1218" w:type="dxa"/>
            <w:tcBorders>
              <w:top w:val="single" w:color="auto" w:sz="4" w:space="0"/>
              <w:left w:val="nil"/>
              <w:bottom w:val="single" w:color="auto" w:sz="4" w:space="0"/>
              <w:right w:val="single" w:color="auto" w:sz="4" w:space="0"/>
            </w:tcBorders>
            <w:noWrap w:val="0"/>
            <w:vAlign w:val="center"/>
          </w:tcPr>
          <w:p w14:paraId="352FA27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肝功11项</w:t>
            </w:r>
          </w:p>
        </w:tc>
        <w:tc>
          <w:tcPr>
            <w:tcW w:w="2997" w:type="dxa"/>
            <w:tcBorders>
              <w:top w:val="single" w:color="auto" w:sz="4" w:space="0"/>
              <w:left w:val="nil"/>
              <w:bottom w:val="single" w:color="auto" w:sz="4" w:space="0"/>
              <w:right w:val="single" w:color="auto" w:sz="4" w:space="0"/>
            </w:tcBorders>
            <w:noWrap w:val="0"/>
            <w:vAlign w:val="center"/>
          </w:tcPr>
          <w:p w14:paraId="053150F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包括丙氨酸氨基转移酶（ALT）、天门冬氨酸氨基转氨酶（AST）、γ-谷氨酰基转移酶（GGT）、碱性磷酸酶（ALP）、胆红素3项（总胆红素、直接胆红素、间接胆红素）、蛋白4项（总蛋白、白蛋白、球蛋白、白蛋白/球蛋白）等11项。丙氨酸氨基转移酶（ALT）：是检查肝脏损害最灵敏的检查项目；天门冬氨酸氨基转移酶（AST）：肝脏、肌肉及心肌损害时升高；γ-谷氨酰基转移酶（GGT）：最常用于筛检肝脏机能障碍、肝硬化及酒精性肝损害。碱性磷酸酶（ALP）：肝胆、骨骼及甲状旁腺疾患可升高。胆红素3项可以反映肝胆性系疾病及鉴别黄疸类型。总蛋白（TPO）：用于检查营养状态、肝、肾功能、合并感染症等。白蛋白（ALB）：肝脏疾病、营养失调等情况时白蛋白会減少。球蛋白（GLO）：在感染、肝病、肾病、自身免疫疾病时会发生增減。白蛋白/球蛋白（A/G）：重症慢性肝炎、肝硬化时，白蛋白、球胆白比值降低。</w:t>
            </w:r>
          </w:p>
        </w:tc>
        <w:tc>
          <w:tcPr>
            <w:tcW w:w="849" w:type="dxa"/>
            <w:tcBorders>
              <w:top w:val="single" w:color="auto" w:sz="4" w:space="0"/>
              <w:left w:val="nil"/>
              <w:bottom w:val="single" w:color="auto" w:sz="4" w:space="0"/>
              <w:right w:val="single" w:color="auto" w:sz="4" w:space="0"/>
            </w:tcBorders>
            <w:noWrap w:val="0"/>
            <w:vAlign w:val="center"/>
          </w:tcPr>
          <w:p w14:paraId="69748E55">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11560099">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4C8D3690">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4837821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482B95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5EC161E9">
        <w:tblPrEx>
          <w:tblCellMar>
            <w:top w:w="0" w:type="dxa"/>
            <w:left w:w="108" w:type="dxa"/>
            <w:bottom w:w="0" w:type="dxa"/>
            <w:right w:w="108" w:type="dxa"/>
          </w:tblCellMar>
        </w:tblPrEx>
        <w:trPr>
          <w:trHeight w:val="372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31434FC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25</w:t>
            </w:r>
          </w:p>
        </w:tc>
        <w:tc>
          <w:tcPr>
            <w:tcW w:w="1218" w:type="dxa"/>
            <w:tcBorders>
              <w:top w:val="single" w:color="auto" w:sz="4" w:space="0"/>
              <w:left w:val="nil"/>
              <w:bottom w:val="single" w:color="auto" w:sz="4" w:space="0"/>
              <w:right w:val="single" w:color="auto" w:sz="4" w:space="0"/>
            </w:tcBorders>
            <w:noWrap w:val="0"/>
            <w:vAlign w:val="center"/>
          </w:tcPr>
          <w:p w14:paraId="0BA5957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血脂4项</w:t>
            </w:r>
          </w:p>
        </w:tc>
        <w:tc>
          <w:tcPr>
            <w:tcW w:w="2997" w:type="dxa"/>
            <w:tcBorders>
              <w:top w:val="single" w:color="auto" w:sz="4" w:space="0"/>
              <w:left w:val="nil"/>
              <w:bottom w:val="single" w:color="auto" w:sz="4" w:space="0"/>
              <w:right w:val="single" w:color="auto" w:sz="4" w:space="0"/>
            </w:tcBorders>
            <w:noWrap w:val="0"/>
            <w:vAlign w:val="center"/>
          </w:tcPr>
          <w:p w14:paraId="6D43079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总胆固醇（TC）：血清胆固醇增高与动脉粥样硬化、肾病综合征及严重糖尿病等疾病相关。甘油三脂（TG）：来自脂类及碳水化合物(米饭、面包等谷类)，当数值偏高，则易患动脉硬化、心肌梗塞、肥胖症、脂肪肝等疾病。高密度脂蛋白胆固醇（HDL-C）：是抗动脉硬化的脂蛋白。低密度脂蛋白胆固醇（LDL-C）：增高是血脂中致动脉硬化的基本因素和动脉硬化发生发展的主要危险因素。</w:t>
            </w:r>
          </w:p>
        </w:tc>
        <w:tc>
          <w:tcPr>
            <w:tcW w:w="849" w:type="dxa"/>
            <w:tcBorders>
              <w:top w:val="single" w:color="auto" w:sz="4" w:space="0"/>
              <w:left w:val="nil"/>
              <w:bottom w:val="single" w:color="auto" w:sz="4" w:space="0"/>
              <w:right w:val="single" w:color="auto" w:sz="4" w:space="0"/>
            </w:tcBorders>
            <w:noWrap w:val="0"/>
            <w:vAlign w:val="center"/>
          </w:tcPr>
          <w:p w14:paraId="29CE560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2C571F0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739DFDF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2ACEC9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9EE15C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7DCB0C8E">
        <w:tblPrEx>
          <w:tblCellMar>
            <w:top w:w="0" w:type="dxa"/>
            <w:left w:w="108" w:type="dxa"/>
            <w:bottom w:w="0" w:type="dxa"/>
            <w:right w:w="108" w:type="dxa"/>
          </w:tblCellMar>
        </w:tblPrEx>
        <w:trPr>
          <w:trHeight w:val="70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04AA35C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26</w:t>
            </w:r>
          </w:p>
        </w:tc>
        <w:tc>
          <w:tcPr>
            <w:tcW w:w="1218" w:type="dxa"/>
            <w:tcBorders>
              <w:top w:val="single" w:color="auto" w:sz="4" w:space="0"/>
              <w:left w:val="nil"/>
              <w:bottom w:val="single" w:color="auto" w:sz="4" w:space="0"/>
              <w:right w:val="single" w:color="auto" w:sz="4" w:space="0"/>
            </w:tcBorders>
            <w:noWrap w:val="0"/>
            <w:vAlign w:val="center"/>
          </w:tcPr>
          <w:p w14:paraId="4BBDD11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空腹血糖</w:t>
            </w:r>
          </w:p>
        </w:tc>
        <w:tc>
          <w:tcPr>
            <w:tcW w:w="2997" w:type="dxa"/>
            <w:tcBorders>
              <w:top w:val="single" w:color="auto" w:sz="4" w:space="0"/>
              <w:left w:val="nil"/>
              <w:bottom w:val="single" w:color="auto" w:sz="4" w:space="0"/>
              <w:right w:val="single" w:color="auto" w:sz="4" w:space="0"/>
            </w:tcBorders>
            <w:noWrap w:val="0"/>
            <w:vAlign w:val="center"/>
          </w:tcPr>
          <w:p w14:paraId="1548887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是筛查糖尿病最基本的方法。</w:t>
            </w:r>
          </w:p>
        </w:tc>
        <w:tc>
          <w:tcPr>
            <w:tcW w:w="849" w:type="dxa"/>
            <w:tcBorders>
              <w:top w:val="single" w:color="auto" w:sz="4" w:space="0"/>
              <w:left w:val="nil"/>
              <w:bottom w:val="single" w:color="auto" w:sz="4" w:space="0"/>
              <w:right w:val="single" w:color="auto" w:sz="4" w:space="0"/>
            </w:tcBorders>
            <w:noWrap w:val="0"/>
            <w:vAlign w:val="center"/>
          </w:tcPr>
          <w:p w14:paraId="69BCBE6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4BA5D38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5F3E677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06E453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E4501B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058C9645">
        <w:tblPrEx>
          <w:tblCellMar>
            <w:top w:w="0" w:type="dxa"/>
            <w:left w:w="108" w:type="dxa"/>
            <w:bottom w:w="0" w:type="dxa"/>
            <w:right w:w="108" w:type="dxa"/>
          </w:tblCellMar>
        </w:tblPrEx>
        <w:trPr>
          <w:trHeight w:val="108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3BFC927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27</w:t>
            </w:r>
          </w:p>
        </w:tc>
        <w:tc>
          <w:tcPr>
            <w:tcW w:w="1218" w:type="dxa"/>
            <w:tcBorders>
              <w:top w:val="single" w:color="auto" w:sz="4" w:space="0"/>
              <w:left w:val="nil"/>
              <w:bottom w:val="single" w:color="auto" w:sz="4" w:space="0"/>
              <w:right w:val="single" w:color="auto" w:sz="4" w:space="0"/>
            </w:tcBorders>
            <w:noWrap w:val="0"/>
            <w:vAlign w:val="center"/>
          </w:tcPr>
          <w:p w14:paraId="4F36B4C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糖化血红蛋白</w:t>
            </w:r>
          </w:p>
        </w:tc>
        <w:tc>
          <w:tcPr>
            <w:tcW w:w="2997" w:type="dxa"/>
            <w:tcBorders>
              <w:top w:val="single" w:color="auto" w:sz="4" w:space="0"/>
              <w:left w:val="nil"/>
              <w:bottom w:val="single" w:color="auto" w:sz="4" w:space="0"/>
              <w:right w:val="single" w:color="auto" w:sz="4" w:space="0"/>
            </w:tcBorders>
            <w:noWrap w:val="0"/>
            <w:vAlign w:val="center"/>
          </w:tcPr>
          <w:p w14:paraId="41F78BF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可反映2-3个月的血糖水平，是糖尿病患者血糖控制的金标准。</w:t>
            </w:r>
          </w:p>
        </w:tc>
        <w:tc>
          <w:tcPr>
            <w:tcW w:w="849" w:type="dxa"/>
            <w:tcBorders>
              <w:top w:val="single" w:color="auto" w:sz="4" w:space="0"/>
              <w:left w:val="nil"/>
              <w:bottom w:val="single" w:color="auto" w:sz="4" w:space="0"/>
              <w:right w:val="single" w:color="auto" w:sz="4" w:space="0"/>
            </w:tcBorders>
            <w:noWrap w:val="0"/>
            <w:vAlign w:val="center"/>
          </w:tcPr>
          <w:p w14:paraId="2BC0D246">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014D8B1F">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48B494CB">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EF50CE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2CA65B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1D167CB9">
        <w:tblPrEx>
          <w:tblCellMar>
            <w:top w:w="0" w:type="dxa"/>
            <w:left w:w="108" w:type="dxa"/>
            <w:bottom w:w="0" w:type="dxa"/>
            <w:right w:w="108" w:type="dxa"/>
          </w:tblCellMar>
        </w:tblPrEx>
        <w:trPr>
          <w:trHeight w:val="417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790568A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28</w:t>
            </w:r>
          </w:p>
        </w:tc>
        <w:tc>
          <w:tcPr>
            <w:tcW w:w="1218" w:type="dxa"/>
            <w:tcBorders>
              <w:top w:val="single" w:color="auto" w:sz="4" w:space="0"/>
              <w:left w:val="nil"/>
              <w:bottom w:val="single" w:color="auto" w:sz="4" w:space="0"/>
              <w:right w:val="single" w:color="auto" w:sz="4" w:space="0"/>
            </w:tcBorders>
            <w:noWrap w:val="0"/>
            <w:vAlign w:val="center"/>
          </w:tcPr>
          <w:p w14:paraId="1E17D99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肾功能三项</w:t>
            </w:r>
          </w:p>
        </w:tc>
        <w:tc>
          <w:tcPr>
            <w:tcW w:w="2997" w:type="dxa"/>
            <w:tcBorders>
              <w:top w:val="single" w:color="auto" w:sz="4" w:space="0"/>
              <w:left w:val="nil"/>
              <w:bottom w:val="single" w:color="auto" w:sz="4" w:space="0"/>
              <w:right w:val="single" w:color="auto" w:sz="4" w:space="0"/>
            </w:tcBorders>
            <w:noWrap w:val="0"/>
            <w:vAlign w:val="center"/>
          </w:tcPr>
          <w:p w14:paraId="594D489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包括尿素（Urea）、肌酐（CR）、尿酸（Ua）等3项；尿素（Urea）是肾脏滤过代谢的最终产物，当肾功能损害时，此时血清中之尿素数值升高。肌酐（CR）是评估肾脏排泄功能的重要指标，诊断价值优于尿素，不受饮食影响，但受肌肉容积影响。在肾小球受损中晚期或中重度受损时，肌酐浓度才升高。尿酸（Ua）：尿酸增高主要见于痛风、高嘌呤食物、代谢综合征及尿酸类肾结石等，尿酸有助于痛风、肾病、血液病的发现。肾功下降时血尿酸也会偏高。</w:t>
            </w:r>
          </w:p>
        </w:tc>
        <w:tc>
          <w:tcPr>
            <w:tcW w:w="849" w:type="dxa"/>
            <w:tcBorders>
              <w:top w:val="single" w:color="auto" w:sz="4" w:space="0"/>
              <w:left w:val="nil"/>
              <w:bottom w:val="single" w:color="auto" w:sz="4" w:space="0"/>
              <w:right w:val="single" w:color="auto" w:sz="4" w:space="0"/>
            </w:tcBorders>
            <w:noWrap w:val="0"/>
            <w:vAlign w:val="center"/>
          </w:tcPr>
          <w:p w14:paraId="38564237">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1E43C32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70E9092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31F01E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CA7A9D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2FE36866">
        <w:tblPrEx>
          <w:tblCellMar>
            <w:top w:w="0" w:type="dxa"/>
            <w:left w:w="108" w:type="dxa"/>
            <w:bottom w:w="0" w:type="dxa"/>
            <w:right w:w="108" w:type="dxa"/>
          </w:tblCellMar>
        </w:tblPrEx>
        <w:trPr>
          <w:trHeight w:val="147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7077834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29</w:t>
            </w:r>
          </w:p>
        </w:tc>
        <w:tc>
          <w:tcPr>
            <w:tcW w:w="1218" w:type="dxa"/>
            <w:tcBorders>
              <w:top w:val="single" w:color="auto" w:sz="4" w:space="0"/>
              <w:left w:val="nil"/>
              <w:bottom w:val="single" w:color="auto" w:sz="4" w:space="0"/>
              <w:right w:val="single" w:color="auto" w:sz="4" w:space="0"/>
            </w:tcBorders>
            <w:noWrap w:val="0"/>
            <w:vAlign w:val="center"/>
          </w:tcPr>
          <w:p w14:paraId="23A28B7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甲胎蛋白（酶免）</w:t>
            </w:r>
          </w:p>
        </w:tc>
        <w:tc>
          <w:tcPr>
            <w:tcW w:w="2997" w:type="dxa"/>
            <w:tcBorders>
              <w:top w:val="single" w:color="auto" w:sz="4" w:space="0"/>
              <w:left w:val="nil"/>
              <w:bottom w:val="single" w:color="auto" w:sz="4" w:space="0"/>
              <w:right w:val="single" w:color="auto" w:sz="4" w:space="0"/>
            </w:tcBorders>
            <w:noWrap w:val="0"/>
            <w:vAlign w:val="center"/>
          </w:tcPr>
          <w:p w14:paraId="0B099A4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主要用于肝细胞癌和生殖细胞癌的辅助诊断；其他相关肿瘤：胚胎细胞癌、卵巢细胞癌、胃癌、胆道癌、胰腺癌等。怀孕时也可一过性升高。</w:t>
            </w:r>
          </w:p>
        </w:tc>
        <w:tc>
          <w:tcPr>
            <w:tcW w:w="849" w:type="dxa"/>
            <w:tcBorders>
              <w:top w:val="single" w:color="auto" w:sz="4" w:space="0"/>
              <w:left w:val="nil"/>
              <w:bottom w:val="single" w:color="auto" w:sz="4" w:space="0"/>
              <w:right w:val="single" w:color="auto" w:sz="4" w:space="0"/>
            </w:tcBorders>
            <w:noWrap w:val="0"/>
            <w:vAlign w:val="center"/>
          </w:tcPr>
          <w:p w14:paraId="2CCF614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62DACB2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31188C7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888534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42EA07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336DEB84">
        <w:tblPrEx>
          <w:tblCellMar>
            <w:top w:w="0" w:type="dxa"/>
            <w:left w:w="108" w:type="dxa"/>
            <w:bottom w:w="0" w:type="dxa"/>
            <w:right w:w="108" w:type="dxa"/>
          </w:tblCellMar>
        </w:tblPrEx>
        <w:trPr>
          <w:trHeight w:val="97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529CA1D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30</w:t>
            </w:r>
          </w:p>
        </w:tc>
        <w:tc>
          <w:tcPr>
            <w:tcW w:w="1218" w:type="dxa"/>
            <w:tcBorders>
              <w:top w:val="single" w:color="auto" w:sz="4" w:space="0"/>
              <w:left w:val="nil"/>
              <w:bottom w:val="single" w:color="auto" w:sz="4" w:space="0"/>
              <w:right w:val="single" w:color="auto" w:sz="4" w:space="0"/>
            </w:tcBorders>
            <w:noWrap w:val="0"/>
            <w:vAlign w:val="center"/>
          </w:tcPr>
          <w:p w14:paraId="7315B8C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癌胚抗原（酶免）</w:t>
            </w:r>
          </w:p>
        </w:tc>
        <w:tc>
          <w:tcPr>
            <w:tcW w:w="2997" w:type="dxa"/>
            <w:tcBorders>
              <w:top w:val="single" w:color="auto" w:sz="4" w:space="0"/>
              <w:left w:val="nil"/>
              <w:bottom w:val="single" w:color="auto" w:sz="4" w:space="0"/>
              <w:right w:val="single" w:color="auto" w:sz="4" w:space="0"/>
            </w:tcBorders>
            <w:noWrap w:val="0"/>
            <w:vAlign w:val="center"/>
          </w:tcPr>
          <w:p w14:paraId="53FFFE5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广谱肿瘤标志物，常见于肺癌、大肠癌、胰腺癌、胃癌、乳腺癌、甲状腺髓样癌等。</w:t>
            </w:r>
          </w:p>
        </w:tc>
        <w:tc>
          <w:tcPr>
            <w:tcW w:w="849" w:type="dxa"/>
            <w:tcBorders>
              <w:top w:val="single" w:color="auto" w:sz="4" w:space="0"/>
              <w:left w:val="nil"/>
              <w:bottom w:val="single" w:color="auto" w:sz="4" w:space="0"/>
              <w:right w:val="single" w:color="auto" w:sz="4" w:space="0"/>
            </w:tcBorders>
            <w:noWrap w:val="0"/>
            <w:vAlign w:val="center"/>
          </w:tcPr>
          <w:p w14:paraId="213B150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0EFCD592">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406CCD5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A4B131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650AD7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5159FE4B">
        <w:tblPrEx>
          <w:tblCellMar>
            <w:top w:w="0" w:type="dxa"/>
            <w:left w:w="108" w:type="dxa"/>
            <w:bottom w:w="0" w:type="dxa"/>
            <w:right w:w="108" w:type="dxa"/>
          </w:tblCellMar>
        </w:tblPrEx>
        <w:trPr>
          <w:trHeight w:val="118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1BEC66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31</w:t>
            </w:r>
          </w:p>
        </w:tc>
        <w:tc>
          <w:tcPr>
            <w:tcW w:w="1218" w:type="dxa"/>
            <w:tcBorders>
              <w:top w:val="single" w:color="auto" w:sz="4" w:space="0"/>
              <w:left w:val="nil"/>
              <w:bottom w:val="single" w:color="auto" w:sz="4" w:space="0"/>
              <w:right w:val="single" w:color="auto" w:sz="4" w:space="0"/>
            </w:tcBorders>
            <w:noWrap w:val="0"/>
            <w:vAlign w:val="center"/>
          </w:tcPr>
          <w:p w14:paraId="60AD8B4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前列腺特异性抗原（T-PSA）（发光法）</w:t>
            </w:r>
          </w:p>
        </w:tc>
        <w:tc>
          <w:tcPr>
            <w:tcW w:w="2997" w:type="dxa"/>
            <w:tcBorders>
              <w:top w:val="single" w:color="auto" w:sz="4" w:space="0"/>
              <w:left w:val="nil"/>
              <w:bottom w:val="single" w:color="auto" w:sz="4" w:space="0"/>
              <w:right w:val="single" w:color="auto" w:sz="4" w:space="0"/>
            </w:tcBorders>
            <w:noWrap w:val="0"/>
            <w:vAlign w:val="center"/>
          </w:tcPr>
          <w:p w14:paraId="6D3D519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主要用于前列腺癌的辅助诊断；其他相关肿瘤：某些妇科肿瘤、多囊卵巢增生症、乳腺癌。</w:t>
            </w:r>
          </w:p>
        </w:tc>
        <w:tc>
          <w:tcPr>
            <w:tcW w:w="849" w:type="dxa"/>
            <w:tcBorders>
              <w:top w:val="single" w:color="auto" w:sz="4" w:space="0"/>
              <w:left w:val="nil"/>
              <w:bottom w:val="single" w:color="auto" w:sz="4" w:space="0"/>
              <w:right w:val="single" w:color="auto" w:sz="4" w:space="0"/>
            </w:tcBorders>
            <w:noWrap w:val="0"/>
            <w:vAlign w:val="center"/>
          </w:tcPr>
          <w:p w14:paraId="2ECD34D0">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514AFB30">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12374859">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F85DC8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E7E4D77">
            <w:pPr>
              <w:widowControl/>
              <w:jc w:val="center"/>
              <w:rPr>
                <w:rFonts w:ascii="微软雅黑" w:hAnsi="微软雅黑" w:eastAsia="微软雅黑" w:cs="Arial"/>
                <w:kern w:val="0"/>
                <w:sz w:val="18"/>
                <w:szCs w:val="18"/>
              </w:rPr>
            </w:pPr>
          </w:p>
        </w:tc>
      </w:tr>
      <w:tr w14:paraId="2180118A">
        <w:tblPrEx>
          <w:tblCellMar>
            <w:top w:w="0" w:type="dxa"/>
            <w:left w:w="108" w:type="dxa"/>
            <w:bottom w:w="0" w:type="dxa"/>
            <w:right w:w="108" w:type="dxa"/>
          </w:tblCellMar>
        </w:tblPrEx>
        <w:trPr>
          <w:trHeight w:val="814"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25C7C4F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32</w:t>
            </w:r>
          </w:p>
        </w:tc>
        <w:tc>
          <w:tcPr>
            <w:tcW w:w="1218" w:type="dxa"/>
            <w:tcBorders>
              <w:top w:val="single" w:color="auto" w:sz="4" w:space="0"/>
              <w:left w:val="nil"/>
              <w:bottom w:val="single" w:color="auto" w:sz="4" w:space="0"/>
              <w:right w:val="single" w:color="auto" w:sz="4" w:space="0"/>
            </w:tcBorders>
            <w:noWrap w:val="0"/>
            <w:vAlign w:val="center"/>
          </w:tcPr>
          <w:p w14:paraId="3EC79B2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游离前列腺特异性抗原（F-PSA）（发光法）</w:t>
            </w:r>
          </w:p>
        </w:tc>
        <w:tc>
          <w:tcPr>
            <w:tcW w:w="2997" w:type="dxa"/>
            <w:tcBorders>
              <w:top w:val="single" w:color="auto" w:sz="4" w:space="0"/>
              <w:left w:val="nil"/>
              <w:bottom w:val="single" w:color="auto" w:sz="4" w:space="0"/>
              <w:right w:val="single" w:color="auto" w:sz="4" w:space="0"/>
            </w:tcBorders>
            <w:noWrap w:val="0"/>
            <w:vAlign w:val="center"/>
          </w:tcPr>
          <w:p w14:paraId="5F2840A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与前列腺特异性抗原配合检查用于前列腺癌和前列腺增生的鉴别</w:t>
            </w:r>
          </w:p>
        </w:tc>
        <w:tc>
          <w:tcPr>
            <w:tcW w:w="849" w:type="dxa"/>
            <w:tcBorders>
              <w:top w:val="single" w:color="auto" w:sz="4" w:space="0"/>
              <w:left w:val="nil"/>
              <w:bottom w:val="single" w:color="auto" w:sz="4" w:space="0"/>
              <w:right w:val="single" w:color="auto" w:sz="4" w:space="0"/>
            </w:tcBorders>
            <w:noWrap w:val="0"/>
            <w:vAlign w:val="center"/>
          </w:tcPr>
          <w:p w14:paraId="65CA3A79">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5CEE64A3">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4985A849">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575EB01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14A748B">
            <w:pPr>
              <w:widowControl/>
              <w:jc w:val="center"/>
              <w:rPr>
                <w:rFonts w:ascii="微软雅黑" w:hAnsi="微软雅黑" w:eastAsia="微软雅黑" w:cs="Arial"/>
                <w:kern w:val="0"/>
                <w:sz w:val="18"/>
                <w:szCs w:val="18"/>
              </w:rPr>
            </w:pPr>
          </w:p>
        </w:tc>
      </w:tr>
      <w:tr w14:paraId="2A2D90AD">
        <w:tblPrEx>
          <w:tblCellMar>
            <w:top w:w="0" w:type="dxa"/>
            <w:left w:w="108" w:type="dxa"/>
            <w:bottom w:w="0" w:type="dxa"/>
            <w:right w:w="108" w:type="dxa"/>
          </w:tblCellMar>
        </w:tblPrEx>
        <w:trPr>
          <w:trHeight w:val="829"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6064DFA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33</w:t>
            </w:r>
          </w:p>
        </w:tc>
        <w:tc>
          <w:tcPr>
            <w:tcW w:w="1218" w:type="dxa"/>
            <w:tcBorders>
              <w:top w:val="single" w:color="auto" w:sz="4" w:space="0"/>
              <w:left w:val="nil"/>
              <w:bottom w:val="single" w:color="auto" w:sz="4" w:space="0"/>
              <w:right w:val="single" w:color="auto" w:sz="4" w:space="0"/>
            </w:tcBorders>
            <w:noWrap w:val="0"/>
            <w:vAlign w:val="center"/>
          </w:tcPr>
          <w:p w14:paraId="4CE4D62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癌抗原125（CA125）（发光法）</w:t>
            </w:r>
          </w:p>
        </w:tc>
        <w:tc>
          <w:tcPr>
            <w:tcW w:w="2997" w:type="dxa"/>
            <w:tcBorders>
              <w:top w:val="single" w:color="auto" w:sz="4" w:space="0"/>
              <w:left w:val="nil"/>
              <w:bottom w:val="single" w:color="auto" w:sz="4" w:space="0"/>
              <w:right w:val="single" w:color="auto" w:sz="4" w:space="0"/>
            </w:tcBorders>
            <w:noWrap w:val="0"/>
            <w:vAlign w:val="center"/>
          </w:tcPr>
          <w:p w14:paraId="3BB44E9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用于卵巢良、恶性肿块鉴别诊断及肺癌等的辅助检验指标</w:t>
            </w:r>
          </w:p>
        </w:tc>
        <w:tc>
          <w:tcPr>
            <w:tcW w:w="849" w:type="dxa"/>
            <w:tcBorders>
              <w:top w:val="single" w:color="auto" w:sz="4" w:space="0"/>
              <w:left w:val="nil"/>
              <w:bottom w:val="single" w:color="auto" w:sz="4" w:space="0"/>
              <w:right w:val="single" w:color="auto" w:sz="4" w:space="0"/>
            </w:tcBorders>
            <w:noWrap w:val="0"/>
            <w:vAlign w:val="center"/>
          </w:tcPr>
          <w:p w14:paraId="1EA2FBC2">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319108D5">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786E64B0">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41A8C74">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5F12691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7FDF83E8">
        <w:tblPrEx>
          <w:tblCellMar>
            <w:top w:w="0" w:type="dxa"/>
            <w:left w:w="108" w:type="dxa"/>
            <w:bottom w:w="0" w:type="dxa"/>
            <w:right w:w="108" w:type="dxa"/>
          </w:tblCellMar>
        </w:tblPrEx>
        <w:trPr>
          <w:trHeight w:val="574"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BA15B7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34</w:t>
            </w:r>
          </w:p>
        </w:tc>
        <w:tc>
          <w:tcPr>
            <w:tcW w:w="1218" w:type="dxa"/>
            <w:tcBorders>
              <w:top w:val="single" w:color="auto" w:sz="4" w:space="0"/>
              <w:left w:val="nil"/>
              <w:bottom w:val="single" w:color="auto" w:sz="4" w:space="0"/>
              <w:right w:val="single" w:color="auto" w:sz="4" w:space="0"/>
            </w:tcBorders>
            <w:noWrap w:val="0"/>
            <w:vAlign w:val="center"/>
          </w:tcPr>
          <w:p w14:paraId="495E704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癌抗原15-3（CA15-3）（发光法）</w:t>
            </w:r>
          </w:p>
        </w:tc>
        <w:tc>
          <w:tcPr>
            <w:tcW w:w="2997" w:type="dxa"/>
            <w:tcBorders>
              <w:top w:val="single" w:color="auto" w:sz="4" w:space="0"/>
              <w:left w:val="nil"/>
              <w:bottom w:val="single" w:color="auto" w:sz="4" w:space="0"/>
              <w:right w:val="single" w:color="auto" w:sz="4" w:space="0"/>
            </w:tcBorders>
            <w:noWrap w:val="0"/>
            <w:vAlign w:val="center"/>
          </w:tcPr>
          <w:p w14:paraId="34E04F2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主要用于乳腺癌的辅助诊断指标</w:t>
            </w:r>
          </w:p>
        </w:tc>
        <w:tc>
          <w:tcPr>
            <w:tcW w:w="849" w:type="dxa"/>
            <w:tcBorders>
              <w:top w:val="single" w:color="auto" w:sz="4" w:space="0"/>
              <w:left w:val="nil"/>
              <w:bottom w:val="single" w:color="auto" w:sz="4" w:space="0"/>
              <w:right w:val="single" w:color="auto" w:sz="4" w:space="0"/>
            </w:tcBorders>
            <w:noWrap w:val="0"/>
            <w:vAlign w:val="center"/>
          </w:tcPr>
          <w:p w14:paraId="197F3479">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77F5C244">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76E14AE6">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0E62DA46">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F0E227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57CA6314">
        <w:tblPrEx>
          <w:tblCellMar>
            <w:top w:w="0" w:type="dxa"/>
            <w:left w:w="108" w:type="dxa"/>
            <w:bottom w:w="0" w:type="dxa"/>
            <w:right w:w="108" w:type="dxa"/>
          </w:tblCellMar>
        </w:tblPrEx>
        <w:trPr>
          <w:trHeight w:val="108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165FBAF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35</w:t>
            </w:r>
          </w:p>
        </w:tc>
        <w:tc>
          <w:tcPr>
            <w:tcW w:w="1218" w:type="dxa"/>
            <w:tcBorders>
              <w:top w:val="single" w:color="auto" w:sz="4" w:space="0"/>
              <w:left w:val="nil"/>
              <w:bottom w:val="single" w:color="auto" w:sz="4" w:space="0"/>
              <w:right w:val="single" w:color="auto" w:sz="4" w:space="0"/>
            </w:tcBorders>
            <w:noWrap w:val="0"/>
            <w:vAlign w:val="center"/>
          </w:tcPr>
          <w:p w14:paraId="1402E64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癌抗原19-9（CA19-9）（发光法）</w:t>
            </w:r>
          </w:p>
        </w:tc>
        <w:tc>
          <w:tcPr>
            <w:tcW w:w="2997" w:type="dxa"/>
            <w:tcBorders>
              <w:top w:val="single" w:color="auto" w:sz="4" w:space="0"/>
              <w:left w:val="nil"/>
              <w:bottom w:val="single" w:color="auto" w:sz="4" w:space="0"/>
              <w:right w:val="single" w:color="auto" w:sz="4" w:space="0"/>
            </w:tcBorders>
            <w:noWrap w:val="0"/>
            <w:vAlign w:val="center"/>
          </w:tcPr>
          <w:p w14:paraId="0FEAD247">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主要用于胰腺癌、胃、结直肠癌的辅助诊断；其他相关肿瘤：肝癌、胆囊癌、胆道癌等。</w:t>
            </w:r>
          </w:p>
        </w:tc>
        <w:tc>
          <w:tcPr>
            <w:tcW w:w="849" w:type="dxa"/>
            <w:tcBorders>
              <w:top w:val="single" w:color="auto" w:sz="4" w:space="0"/>
              <w:left w:val="nil"/>
              <w:bottom w:val="single" w:color="auto" w:sz="4" w:space="0"/>
              <w:right w:val="single" w:color="auto" w:sz="4" w:space="0"/>
            </w:tcBorders>
            <w:noWrap w:val="0"/>
            <w:vAlign w:val="center"/>
          </w:tcPr>
          <w:p w14:paraId="1A107945">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75643AD3">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5A8C3CE1">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0382477">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951420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19CCC92A">
        <w:tblPrEx>
          <w:tblCellMar>
            <w:top w:w="0" w:type="dxa"/>
            <w:left w:w="108" w:type="dxa"/>
            <w:bottom w:w="0" w:type="dxa"/>
            <w:right w:w="108" w:type="dxa"/>
          </w:tblCellMar>
        </w:tblPrEx>
        <w:trPr>
          <w:trHeight w:val="829"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798B386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36</w:t>
            </w:r>
          </w:p>
        </w:tc>
        <w:tc>
          <w:tcPr>
            <w:tcW w:w="1218" w:type="dxa"/>
            <w:tcBorders>
              <w:top w:val="single" w:color="auto" w:sz="4" w:space="0"/>
              <w:left w:val="nil"/>
              <w:bottom w:val="single" w:color="auto" w:sz="4" w:space="0"/>
              <w:right w:val="single" w:color="auto" w:sz="4" w:space="0"/>
            </w:tcBorders>
            <w:noWrap w:val="0"/>
            <w:vAlign w:val="center"/>
          </w:tcPr>
          <w:p w14:paraId="71A2F40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肺细胞角蛋白21-1(Cyfra 21-1)（发光法）</w:t>
            </w:r>
          </w:p>
        </w:tc>
        <w:tc>
          <w:tcPr>
            <w:tcW w:w="2997" w:type="dxa"/>
            <w:tcBorders>
              <w:top w:val="single" w:color="auto" w:sz="4" w:space="0"/>
              <w:left w:val="nil"/>
              <w:bottom w:val="single" w:color="auto" w:sz="4" w:space="0"/>
              <w:right w:val="single" w:color="auto" w:sz="4" w:space="0"/>
            </w:tcBorders>
            <w:noWrap w:val="0"/>
            <w:vAlign w:val="center"/>
          </w:tcPr>
          <w:p w14:paraId="026CBEC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主要用于非小细胞肺癌的辅助诊断指标</w:t>
            </w:r>
          </w:p>
        </w:tc>
        <w:tc>
          <w:tcPr>
            <w:tcW w:w="849" w:type="dxa"/>
            <w:tcBorders>
              <w:top w:val="single" w:color="auto" w:sz="4" w:space="0"/>
              <w:left w:val="nil"/>
              <w:bottom w:val="single" w:color="auto" w:sz="4" w:space="0"/>
              <w:right w:val="single" w:color="auto" w:sz="4" w:space="0"/>
            </w:tcBorders>
            <w:noWrap w:val="0"/>
            <w:vAlign w:val="center"/>
          </w:tcPr>
          <w:p w14:paraId="7EADD25C">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4263CDA2">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1FEFDE0C">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59F922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1F0F25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298286A0">
        <w:tblPrEx>
          <w:tblCellMar>
            <w:top w:w="0" w:type="dxa"/>
            <w:left w:w="108" w:type="dxa"/>
            <w:bottom w:w="0" w:type="dxa"/>
            <w:right w:w="108" w:type="dxa"/>
          </w:tblCellMar>
        </w:tblPrEx>
        <w:trPr>
          <w:trHeight w:val="115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0BA1786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37</w:t>
            </w:r>
          </w:p>
        </w:tc>
        <w:tc>
          <w:tcPr>
            <w:tcW w:w="1218" w:type="dxa"/>
            <w:tcBorders>
              <w:top w:val="single" w:color="auto" w:sz="4" w:space="0"/>
              <w:left w:val="nil"/>
              <w:bottom w:val="single" w:color="auto" w:sz="4" w:space="0"/>
              <w:right w:val="single" w:color="auto" w:sz="4" w:space="0"/>
            </w:tcBorders>
            <w:noWrap w:val="0"/>
            <w:vAlign w:val="center"/>
          </w:tcPr>
          <w:p w14:paraId="692C945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甲状腺功能</w:t>
            </w:r>
            <w:r>
              <w:rPr>
                <w:rFonts w:hint="eastAsia" w:ascii="微软雅黑" w:hAnsi="微软雅黑" w:eastAsia="微软雅黑" w:cs="Arial"/>
                <w:kern w:val="0"/>
                <w:sz w:val="18"/>
                <w:szCs w:val="18"/>
                <w:lang w:val="en-US" w:eastAsia="zh-CN"/>
              </w:rPr>
              <w:t>5</w:t>
            </w:r>
            <w:r>
              <w:rPr>
                <w:rFonts w:hint="eastAsia" w:ascii="微软雅黑" w:hAnsi="微软雅黑" w:eastAsia="微软雅黑" w:cs="Arial"/>
                <w:kern w:val="0"/>
                <w:sz w:val="18"/>
                <w:szCs w:val="18"/>
              </w:rPr>
              <w:t>项</w:t>
            </w:r>
          </w:p>
        </w:tc>
        <w:tc>
          <w:tcPr>
            <w:tcW w:w="2997" w:type="dxa"/>
            <w:tcBorders>
              <w:top w:val="single" w:color="auto" w:sz="4" w:space="0"/>
              <w:left w:val="nil"/>
              <w:bottom w:val="single" w:color="auto" w:sz="4" w:space="0"/>
              <w:right w:val="single" w:color="auto" w:sz="4" w:space="0"/>
            </w:tcBorders>
            <w:noWrap w:val="0"/>
            <w:vAlign w:val="center"/>
          </w:tcPr>
          <w:p w14:paraId="00BD93F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包括T3、T4、TSH三项，是反应甲状腺功能状态的传统组合，用于甲状腺功能亢进或甲状腺功能减低等筛查。</w:t>
            </w:r>
          </w:p>
        </w:tc>
        <w:tc>
          <w:tcPr>
            <w:tcW w:w="849" w:type="dxa"/>
            <w:tcBorders>
              <w:top w:val="single" w:color="auto" w:sz="4" w:space="0"/>
              <w:left w:val="nil"/>
              <w:bottom w:val="single" w:color="auto" w:sz="4" w:space="0"/>
              <w:right w:val="single" w:color="auto" w:sz="4" w:space="0"/>
            </w:tcBorders>
            <w:noWrap w:val="0"/>
            <w:vAlign w:val="center"/>
          </w:tcPr>
          <w:p w14:paraId="2AE4B8FC">
            <w:pPr>
              <w:widowControl/>
              <w:jc w:val="center"/>
              <w:rPr>
                <w:rFonts w:ascii="微软雅黑" w:hAnsi="微软雅黑" w:eastAsia="微软雅黑" w:cs="Arial"/>
                <w:kern w:val="0"/>
                <w:sz w:val="18"/>
                <w:szCs w:val="18"/>
                <w:lang w:val="en-US" w:eastAsia="zh-CN" w:bidi="ar-SA"/>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15DFD888">
            <w:pPr>
              <w:widowControl/>
              <w:jc w:val="center"/>
              <w:rPr>
                <w:rFonts w:ascii="微软雅黑" w:hAnsi="微软雅黑" w:eastAsia="微软雅黑" w:cs="Arial"/>
                <w:kern w:val="0"/>
                <w:sz w:val="18"/>
                <w:szCs w:val="18"/>
                <w:lang w:val="en-US" w:eastAsia="zh-CN" w:bidi="ar-SA"/>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5052FF20">
            <w:pPr>
              <w:widowControl/>
              <w:jc w:val="center"/>
              <w:rPr>
                <w:rFonts w:ascii="微软雅黑" w:hAnsi="微软雅黑" w:eastAsia="微软雅黑" w:cs="Arial"/>
                <w:kern w:val="0"/>
                <w:sz w:val="18"/>
                <w:szCs w:val="18"/>
                <w:lang w:val="en-US" w:eastAsia="zh-CN" w:bidi="ar-SA"/>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CB6085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331CDD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6DC9CCA8">
        <w:tblPrEx>
          <w:tblCellMar>
            <w:top w:w="0" w:type="dxa"/>
            <w:left w:w="108" w:type="dxa"/>
            <w:bottom w:w="0" w:type="dxa"/>
            <w:right w:w="108" w:type="dxa"/>
          </w:tblCellMar>
        </w:tblPrEx>
        <w:trPr>
          <w:trHeight w:val="183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3BBD4007">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38</w:t>
            </w:r>
          </w:p>
        </w:tc>
        <w:tc>
          <w:tcPr>
            <w:tcW w:w="1218" w:type="dxa"/>
            <w:tcBorders>
              <w:top w:val="single" w:color="auto" w:sz="4" w:space="0"/>
              <w:left w:val="nil"/>
              <w:bottom w:val="single" w:color="auto" w:sz="4" w:space="0"/>
              <w:right w:val="single" w:color="auto" w:sz="4" w:space="0"/>
            </w:tcBorders>
            <w:noWrap w:val="0"/>
            <w:vAlign w:val="center"/>
          </w:tcPr>
          <w:p w14:paraId="12E850D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血常规</w:t>
            </w:r>
          </w:p>
        </w:tc>
        <w:tc>
          <w:tcPr>
            <w:tcW w:w="2997" w:type="dxa"/>
            <w:tcBorders>
              <w:top w:val="single" w:color="auto" w:sz="4" w:space="0"/>
              <w:left w:val="nil"/>
              <w:bottom w:val="single" w:color="auto" w:sz="4" w:space="0"/>
              <w:right w:val="single" w:color="auto" w:sz="4" w:space="0"/>
            </w:tcBorders>
            <w:noWrap w:val="0"/>
            <w:vAlign w:val="center"/>
          </w:tcPr>
          <w:p w14:paraId="3026C95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通过血常规检查发现血液方面的问题，评价骨髓功能，有助于临床急慢性感染，病毒性疾病的判断；有助于了解有无贫血及贫血分类；有助于出血性疾病的辅助诊断。</w:t>
            </w:r>
          </w:p>
        </w:tc>
        <w:tc>
          <w:tcPr>
            <w:tcW w:w="849" w:type="dxa"/>
            <w:tcBorders>
              <w:top w:val="single" w:color="auto" w:sz="4" w:space="0"/>
              <w:left w:val="nil"/>
              <w:bottom w:val="single" w:color="auto" w:sz="4" w:space="0"/>
              <w:right w:val="single" w:color="auto" w:sz="4" w:space="0"/>
            </w:tcBorders>
            <w:noWrap w:val="0"/>
            <w:vAlign w:val="center"/>
          </w:tcPr>
          <w:p w14:paraId="0A4CB09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6CE3A09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7F819C4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5B1ABDC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BDEE23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171828F4">
        <w:tblPrEx>
          <w:tblCellMar>
            <w:top w:w="0" w:type="dxa"/>
            <w:left w:w="108" w:type="dxa"/>
            <w:bottom w:w="0" w:type="dxa"/>
            <w:right w:w="108" w:type="dxa"/>
          </w:tblCellMar>
        </w:tblPrEx>
        <w:trPr>
          <w:trHeight w:val="141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601D652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39</w:t>
            </w:r>
          </w:p>
        </w:tc>
        <w:tc>
          <w:tcPr>
            <w:tcW w:w="1218" w:type="dxa"/>
            <w:tcBorders>
              <w:top w:val="single" w:color="auto" w:sz="4" w:space="0"/>
              <w:left w:val="nil"/>
              <w:bottom w:val="single" w:color="auto" w:sz="4" w:space="0"/>
              <w:right w:val="single" w:color="auto" w:sz="4" w:space="0"/>
            </w:tcBorders>
            <w:noWrap w:val="0"/>
            <w:vAlign w:val="center"/>
          </w:tcPr>
          <w:p w14:paraId="249010F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血流变</w:t>
            </w:r>
          </w:p>
        </w:tc>
        <w:tc>
          <w:tcPr>
            <w:tcW w:w="2997" w:type="dxa"/>
            <w:tcBorders>
              <w:top w:val="single" w:color="auto" w:sz="4" w:space="0"/>
              <w:left w:val="nil"/>
              <w:bottom w:val="single" w:color="auto" w:sz="4" w:space="0"/>
              <w:right w:val="single" w:color="auto" w:sz="4" w:space="0"/>
            </w:tcBorders>
            <w:noWrap w:val="0"/>
            <w:vAlign w:val="center"/>
          </w:tcPr>
          <w:p w14:paraId="683CAD1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通过检测全血和血浆粘度、红细胞压积、聚集指数和变形指数等了解血液粘稠度、聚集性；对预测糖尿病合并症、心脑血管病及周围血管病有一定意义。</w:t>
            </w:r>
          </w:p>
        </w:tc>
        <w:tc>
          <w:tcPr>
            <w:tcW w:w="849" w:type="dxa"/>
            <w:tcBorders>
              <w:top w:val="single" w:color="auto" w:sz="4" w:space="0"/>
              <w:left w:val="nil"/>
              <w:bottom w:val="single" w:color="auto" w:sz="4" w:space="0"/>
              <w:right w:val="single" w:color="auto" w:sz="4" w:space="0"/>
            </w:tcBorders>
            <w:noWrap w:val="0"/>
            <w:vAlign w:val="center"/>
          </w:tcPr>
          <w:p w14:paraId="06C409B3">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720AD33D">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4DD5441C">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AD1F11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2D8E20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09F8C379">
        <w:tblPrEx>
          <w:tblCellMar>
            <w:top w:w="0" w:type="dxa"/>
            <w:left w:w="108" w:type="dxa"/>
            <w:bottom w:w="0" w:type="dxa"/>
            <w:right w:w="108" w:type="dxa"/>
          </w:tblCellMar>
        </w:tblPrEx>
        <w:trPr>
          <w:trHeight w:val="114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6F34627">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40</w:t>
            </w:r>
          </w:p>
        </w:tc>
        <w:tc>
          <w:tcPr>
            <w:tcW w:w="1218" w:type="dxa"/>
            <w:tcBorders>
              <w:top w:val="single" w:color="auto" w:sz="4" w:space="0"/>
              <w:left w:val="nil"/>
              <w:bottom w:val="single" w:color="auto" w:sz="4" w:space="0"/>
              <w:right w:val="single" w:color="auto" w:sz="4" w:space="0"/>
            </w:tcBorders>
            <w:noWrap w:val="0"/>
            <w:vAlign w:val="center"/>
          </w:tcPr>
          <w:p w14:paraId="7FB21BE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尿常规</w:t>
            </w:r>
          </w:p>
        </w:tc>
        <w:tc>
          <w:tcPr>
            <w:tcW w:w="2997" w:type="dxa"/>
            <w:tcBorders>
              <w:top w:val="single" w:color="auto" w:sz="4" w:space="0"/>
              <w:left w:val="nil"/>
              <w:bottom w:val="single" w:color="auto" w:sz="4" w:space="0"/>
              <w:right w:val="single" w:color="auto" w:sz="4" w:space="0"/>
            </w:tcBorders>
            <w:noWrap w:val="0"/>
            <w:vAlign w:val="center"/>
          </w:tcPr>
          <w:p w14:paraId="577F59A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通过尿常规检查，对泌尿系疾病的诊断、疗效观察及一些全身性疾病的异常表现有重要意义。</w:t>
            </w:r>
          </w:p>
        </w:tc>
        <w:tc>
          <w:tcPr>
            <w:tcW w:w="849" w:type="dxa"/>
            <w:tcBorders>
              <w:top w:val="single" w:color="auto" w:sz="4" w:space="0"/>
              <w:left w:val="nil"/>
              <w:bottom w:val="single" w:color="auto" w:sz="4" w:space="0"/>
              <w:right w:val="single" w:color="auto" w:sz="4" w:space="0"/>
            </w:tcBorders>
            <w:noWrap w:val="0"/>
            <w:vAlign w:val="center"/>
          </w:tcPr>
          <w:p w14:paraId="4181766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357F712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08E47D0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5FF55C7">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1E0716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1DA06ACF">
        <w:tblPrEx>
          <w:tblCellMar>
            <w:top w:w="0" w:type="dxa"/>
            <w:left w:w="108" w:type="dxa"/>
            <w:bottom w:w="0" w:type="dxa"/>
            <w:right w:w="108" w:type="dxa"/>
          </w:tblCellMar>
        </w:tblPrEx>
        <w:trPr>
          <w:trHeight w:val="73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66AC7A2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41</w:t>
            </w:r>
          </w:p>
        </w:tc>
        <w:tc>
          <w:tcPr>
            <w:tcW w:w="1218" w:type="dxa"/>
            <w:tcBorders>
              <w:top w:val="single" w:color="auto" w:sz="4" w:space="0"/>
              <w:left w:val="nil"/>
              <w:bottom w:val="single" w:color="auto" w:sz="4" w:space="0"/>
              <w:right w:val="single" w:color="auto" w:sz="4" w:space="0"/>
            </w:tcBorders>
            <w:noWrap w:val="0"/>
            <w:vAlign w:val="center"/>
          </w:tcPr>
          <w:p w14:paraId="337C965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便常规</w:t>
            </w:r>
          </w:p>
        </w:tc>
        <w:tc>
          <w:tcPr>
            <w:tcW w:w="2997" w:type="dxa"/>
            <w:tcBorders>
              <w:top w:val="single" w:color="auto" w:sz="4" w:space="0"/>
              <w:left w:val="nil"/>
              <w:bottom w:val="single" w:color="auto" w:sz="4" w:space="0"/>
              <w:right w:val="single" w:color="auto" w:sz="4" w:space="0"/>
            </w:tcBorders>
            <w:noWrap w:val="0"/>
            <w:vAlign w:val="center"/>
          </w:tcPr>
          <w:p w14:paraId="5DCACCB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了解消化道有无细菌、病毒及寄生虫感染。</w:t>
            </w:r>
          </w:p>
        </w:tc>
        <w:tc>
          <w:tcPr>
            <w:tcW w:w="849" w:type="dxa"/>
            <w:tcBorders>
              <w:top w:val="single" w:color="auto" w:sz="4" w:space="0"/>
              <w:left w:val="nil"/>
              <w:bottom w:val="single" w:color="auto" w:sz="4" w:space="0"/>
              <w:right w:val="single" w:color="auto" w:sz="4" w:space="0"/>
            </w:tcBorders>
            <w:noWrap w:val="0"/>
            <w:vAlign w:val="center"/>
          </w:tcPr>
          <w:p w14:paraId="62A06A7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5F86B95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318C68E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21966A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5B5B927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0D3037DC">
        <w:tblPrEx>
          <w:tblCellMar>
            <w:top w:w="0" w:type="dxa"/>
            <w:left w:w="108" w:type="dxa"/>
            <w:bottom w:w="0" w:type="dxa"/>
            <w:right w:w="108" w:type="dxa"/>
          </w:tblCellMar>
        </w:tblPrEx>
        <w:trPr>
          <w:trHeight w:val="67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3790DB5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42</w:t>
            </w:r>
          </w:p>
        </w:tc>
        <w:tc>
          <w:tcPr>
            <w:tcW w:w="1218" w:type="dxa"/>
            <w:tcBorders>
              <w:top w:val="single" w:color="auto" w:sz="4" w:space="0"/>
              <w:left w:val="nil"/>
              <w:bottom w:val="single" w:color="auto" w:sz="4" w:space="0"/>
              <w:right w:val="single" w:color="auto" w:sz="4" w:space="0"/>
            </w:tcBorders>
            <w:noWrap w:val="0"/>
            <w:vAlign w:val="center"/>
          </w:tcPr>
          <w:p w14:paraId="40E5A76F">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静脉采血</w:t>
            </w:r>
          </w:p>
        </w:tc>
        <w:tc>
          <w:tcPr>
            <w:tcW w:w="2997" w:type="dxa"/>
            <w:tcBorders>
              <w:top w:val="single" w:color="auto" w:sz="4" w:space="0"/>
              <w:left w:val="nil"/>
              <w:bottom w:val="single" w:color="auto" w:sz="4" w:space="0"/>
              <w:right w:val="single" w:color="auto" w:sz="4" w:space="0"/>
            </w:tcBorders>
            <w:noWrap w:val="0"/>
            <w:vAlign w:val="center"/>
          </w:tcPr>
          <w:p w14:paraId="6500D7D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含一次性采血针、真空管</w:t>
            </w:r>
          </w:p>
        </w:tc>
        <w:tc>
          <w:tcPr>
            <w:tcW w:w="849" w:type="dxa"/>
            <w:tcBorders>
              <w:top w:val="single" w:color="auto" w:sz="4" w:space="0"/>
              <w:left w:val="nil"/>
              <w:bottom w:val="single" w:color="auto" w:sz="4" w:space="0"/>
              <w:right w:val="single" w:color="auto" w:sz="4" w:space="0"/>
            </w:tcBorders>
            <w:noWrap w:val="0"/>
            <w:vAlign w:val="center"/>
          </w:tcPr>
          <w:p w14:paraId="3B2A6C21">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5A6A077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424C28E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4DF821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1C54F0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561B86D2">
        <w:tblPrEx>
          <w:tblCellMar>
            <w:top w:w="0" w:type="dxa"/>
            <w:left w:w="108" w:type="dxa"/>
            <w:bottom w:w="0" w:type="dxa"/>
            <w:right w:w="108" w:type="dxa"/>
          </w:tblCellMar>
        </w:tblPrEx>
        <w:trPr>
          <w:trHeight w:val="78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51CF10C5">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43</w:t>
            </w:r>
          </w:p>
        </w:tc>
        <w:tc>
          <w:tcPr>
            <w:tcW w:w="1218" w:type="dxa"/>
            <w:tcBorders>
              <w:top w:val="single" w:color="auto" w:sz="4" w:space="0"/>
              <w:left w:val="nil"/>
              <w:bottom w:val="single" w:color="auto" w:sz="4" w:space="0"/>
              <w:right w:val="single" w:color="auto" w:sz="4" w:space="0"/>
            </w:tcBorders>
            <w:noWrap w:val="0"/>
            <w:vAlign w:val="center"/>
          </w:tcPr>
          <w:p w14:paraId="14A39AA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尿液脱落细胞学检查</w:t>
            </w:r>
          </w:p>
        </w:tc>
        <w:tc>
          <w:tcPr>
            <w:tcW w:w="2997" w:type="dxa"/>
            <w:tcBorders>
              <w:top w:val="single" w:color="auto" w:sz="4" w:space="0"/>
              <w:left w:val="nil"/>
              <w:bottom w:val="single" w:color="auto" w:sz="4" w:space="0"/>
              <w:right w:val="single" w:color="auto" w:sz="4" w:space="0"/>
            </w:tcBorders>
            <w:noWrap w:val="0"/>
            <w:vAlign w:val="center"/>
          </w:tcPr>
          <w:p w14:paraId="4BFF9C8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用于筛查泌尿系肿瘤</w:t>
            </w:r>
          </w:p>
        </w:tc>
        <w:tc>
          <w:tcPr>
            <w:tcW w:w="849" w:type="dxa"/>
            <w:tcBorders>
              <w:top w:val="single" w:color="auto" w:sz="4" w:space="0"/>
              <w:left w:val="nil"/>
              <w:bottom w:val="single" w:color="auto" w:sz="4" w:space="0"/>
              <w:right w:val="single" w:color="auto" w:sz="4" w:space="0"/>
            </w:tcBorders>
            <w:noWrap w:val="0"/>
            <w:vAlign w:val="center"/>
          </w:tcPr>
          <w:p w14:paraId="3BEF20C3">
            <w:pPr>
              <w:widowControl/>
              <w:jc w:val="center"/>
              <w:rPr>
                <w:rFonts w:ascii="微软雅黑" w:hAnsi="微软雅黑" w:eastAsia="微软雅黑" w:cs="Arial"/>
                <w:kern w:val="0"/>
                <w:sz w:val="18"/>
                <w:szCs w:val="18"/>
              </w:rPr>
            </w:pPr>
          </w:p>
        </w:tc>
        <w:tc>
          <w:tcPr>
            <w:tcW w:w="876" w:type="dxa"/>
            <w:tcBorders>
              <w:top w:val="single" w:color="auto" w:sz="4" w:space="0"/>
              <w:left w:val="nil"/>
              <w:bottom w:val="single" w:color="auto" w:sz="4" w:space="0"/>
              <w:right w:val="single" w:color="auto" w:sz="4" w:space="0"/>
            </w:tcBorders>
            <w:noWrap w:val="0"/>
            <w:vAlign w:val="center"/>
          </w:tcPr>
          <w:p w14:paraId="06A7A86B">
            <w:pPr>
              <w:widowControl/>
              <w:jc w:val="center"/>
              <w:rPr>
                <w:rFonts w:ascii="微软雅黑" w:hAnsi="微软雅黑" w:eastAsia="微软雅黑" w:cs="Arial"/>
                <w:kern w:val="0"/>
                <w:sz w:val="18"/>
                <w:szCs w:val="18"/>
              </w:rPr>
            </w:pPr>
          </w:p>
        </w:tc>
        <w:tc>
          <w:tcPr>
            <w:tcW w:w="840" w:type="dxa"/>
            <w:tcBorders>
              <w:top w:val="single" w:color="auto" w:sz="4" w:space="0"/>
              <w:left w:val="nil"/>
              <w:bottom w:val="single" w:color="auto" w:sz="4" w:space="0"/>
              <w:right w:val="single" w:color="auto" w:sz="4" w:space="0"/>
            </w:tcBorders>
            <w:noWrap w:val="0"/>
            <w:vAlign w:val="center"/>
          </w:tcPr>
          <w:p w14:paraId="16836A6A">
            <w:pPr>
              <w:widowControl/>
              <w:jc w:val="center"/>
              <w:rPr>
                <w:rFonts w:ascii="微软雅黑" w:hAnsi="微软雅黑" w:eastAsia="微软雅黑" w:cs="Arial"/>
                <w:kern w:val="0"/>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682939B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394B688">
            <w:pPr>
              <w:widowControl/>
              <w:jc w:val="center"/>
              <w:rPr>
                <w:rFonts w:ascii="微软雅黑" w:hAnsi="微软雅黑" w:eastAsia="微软雅黑" w:cs="Arial"/>
                <w:kern w:val="0"/>
                <w:sz w:val="18"/>
                <w:szCs w:val="18"/>
              </w:rPr>
            </w:pPr>
          </w:p>
        </w:tc>
      </w:tr>
      <w:tr w14:paraId="1C2A49F5">
        <w:tblPrEx>
          <w:tblCellMar>
            <w:top w:w="0" w:type="dxa"/>
            <w:left w:w="108" w:type="dxa"/>
            <w:bottom w:w="0" w:type="dxa"/>
            <w:right w:w="108" w:type="dxa"/>
          </w:tblCellMar>
        </w:tblPrEx>
        <w:trPr>
          <w:trHeight w:val="555"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00EF0E1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44</w:t>
            </w:r>
          </w:p>
        </w:tc>
        <w:tc>
          <w:tcPr>
            <w:tcW w:w="1218" w:type="dxa"/>
            <w:tcBorders>
              <w:top w:val="single" w:color="auto" w:sz="4" w:space="0"/>
              <w:left w:val="nil"/>
              <w:bottom w:val="single" w:color="auto" w:sz="4" w:space="0"/>
              <w:right w:val="single" w:color="auto" w:sz="4" w:space="0"/>
            </w:tcBorders>
            <w:noWrap w:val="0"/>
            <w:vAlign w:val="center"/>
          </w:tcPr>
          <w:p w14:paraId="5981CA4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免费早餐</w:t>
            </w:r>
          </w:p>
        </w:tc>
        <w:tc>
          <w:tcPr>
            <w:tcW w:w="2997" w:type="dxa"/>
            <w:tcBorders>
              <w:top w:val="single" w:color="auto" w:sz="4" w:space="0"/>
              <w:left w:val="nil"/>
              <w:bottom w:val="single" w:color="auto" w:sz="4" w:space="0"/>
              <w:right w:val="single" w:color="auto" w:sz="4" w:space="0"/>
            </w:tcBorders>
            <w:noWrap w:val="0"/>
            <w:vAlign w:val="center"/>
          </w:tcPr>
          <w:p w14:paraId="2E7457F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鸡蛋、牛奶等营养丰富的早餐</w:t>
            </w:r>
          </w:p>
        </w:tc>
        <w:tc>
          <w:tcPr>
            <w:tcW w:w="849" w:type="dxa"/>
            <w:tcBorders>
              <w:top w:val="single" w:color="auto" w:sz="4" w:space="0"/>
              <w:left w:val="nil"/>
              <w:bottom w:val="single" w:color="auto" w:sz="4" w:space="0"/>
              <w:right w:val="single" w:color="auto" w:sz="4" w:space="0"/>
            </w:tcBorders>
            <w:noWrap w:val="0"/>
            <w:vAlign w:val="center"/>
          </w:tcPr>
          <w:p w14:paraId="175E8BF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7A14CA8A">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0572B0B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EFF7C8D">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3BD644E">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r w14:paraId="4EDCC245">
        <w:tblPrEx>
          <w:tblCellMar>
            <w:top w:w="0" w:type="dxa"/>
            <w:left w:w="108" w:type="dxa"/>
            <w:bottom w:w="0" w:type="dxa"/>
            <w:right w:w="108" w:type="dxa"/>
          </w:tblCellMar>
        </w:tblPrEx>
        <w:trPr>
          <w:trHeight w:val="66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7EA5CE10">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45</w:t>
            </w:r>
          </w:p>
        </w:tc>
        <w:tc>
          <w:tcPr>
            <w:tcW w:w="1218" w:type="dxa"/>
            <w:tcBorders>
              <w:top w:val="single" w:color="auto" w:sz="4" w:space="0"/>
              <w:left w:val="nil"/>
              <w:bottom w:val="single" w:color="auto" w:sz="4" w:space="0"/>
              <w:right w:val="single" w:color="auto" w:sz="4" w:space="0"/>
            </w:tcBorders>
            <w:noWrap w:val="0"/>
            <w:vAlign w:val="center"/>
          </w:tcPr>
          <w:p w14:paraId="79E2E644">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体检报告打印</w:t>
            </w:r>
          </w:p>
        </w:tc>
        <w:tc>
          <w:tcPr>
            <w:tcW w:w="2997" w:type="dxa"/>
            <w:tcBorders>
              <w:top w:val="single" w:color="auto" w:sz="4" w:space="0"/>
              <w:left w:val="nil"/>
              <w:bottom w:val="single" w:color="auto" w:sz="4" w:space="0"/>
              <w:right w:val="single" w:color="auto" w:sz="4" w:space="0"/>
            </w:tcBorders>
            <w:noWrap w:val="0"/>
            <w:vAlign w:val="center"/>
          </w:tcPr>
          <w:p w14:paraId="3A2C17EC">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需出纸质报告的必选项目</w:t>
            </w:r>
          </w:p>
        </w:tc>
        <w:tc>
          <w:tcPr>
            <w:tcW w:w="849" w:type="dxa"/>
            <w:tcBorders>
              <w:top w:val="single" w:color="auto" w:sz="4" w:space="0"/>
              <w:left w:val="nil"/>
              <w:bottom w:val="single" w:color="auto" w:sz="4" w:space="0"/>
              <w:right w:val="single" w:color="auto" w:sz="4" w:space="0"/>
            </w:tcBorders>
            <w:noWrap w:val="0"/>
            <w:vAlign w:val="center"/>
          </w:tcPr>
          <w:p w14:paraId="3EF5C266">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76" w:type="dxa"/>
            <w:tcBorders>
              <w:top w:val="single" w:color="auto" w:sz="4" w:space="0"/>
              <w:left w:val="nil"/>
              <w:bottom w:val="single" w:color="auto" w:sz="4" w:space="0"/>
              <w:right w:val="single" w:color="auto" w:sz="4" w:space="0"/>
            </w:tcBorders>
            <w:noWrap w:val="0"/>
            <w:vAlign w:val="center"/>
          </w:tcPr>
          <w:p w14:paraId="6E5B6DD3">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840" w:type="dxa"/>
            <w:tcBorders>
              <w:top w:val="single" w:color="auto" w:sz="4" w:space="0"/>
              <w:left w:val="nil"/>
              <w:bottom w:val="single" w:color="auto" w:sz="4" w:space="0"/>
              <w:right w:val="single" w:color="auto" w:sz="4" w:space="0"/>
            </w:tcBorders>
            <w:noWrap w:val="0"/>
            <w:vAlign w:val="center"/>
          </w:tcPr>
          <w:p w14:paraId="0A9C381B">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CBD6E79">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CFC23D8">
            <w:pPr>
              <w:widowControl/>
              <w:jc w:val="center"/>
              <w:rPr>
                <w:rFonts w:ascii="微软雅黑" w:hAnsi="微软雅黑" w:eastAsia="微软雅黑" w:cs="Arial"/>
                <w:kern w:val="0"/>
                <w:sz w:val="18"/>
                <w:szCs w:val="18"/>
              </w:rPr>
            </w:pPr>
            <w:r>
              <w:rPr>
                <w:rFonts w:hint="eastAsia" w:ascii="微软雅黑" w:hAnsi="微软雅黑" w:eastAsia="微软雅黑" w:cs="Arial"/>
                <w:kern w:val="0"/>
                <w:sz w:val="18"/>
                <w:szCs w:val="18"/>
              </w:rPr>
              <w:t>√</w:t>
            </w:r>
          </w:p>
        </w:tc>
      </w:tr>
    </w:tbl>
    <w:p w14:paraId="706D6A72">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p>
    <w:p w14:paraId="4BA6BE3E">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2.3相关服务需求</w:t>
      </w:r>
    </w:p>
    <w:p w14:paraId="639F06AF">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2.3.1提供年度我院体检人员体检分析报告。</w:t>
      </w:r>
    </w:p>
    <w:p w14:paraId="6745F158">
      <w:pPr>
        <w:pStyle w:val="12"/>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2.3.2提供电话或网络预约体检、邮寄体检报告、专家咨询讲座、就医绿色通道等多种便利服务。</w:t>
      </w:r>
    </w:p>
    <w:p w14:paraId="6BFEE35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CA7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before="100" w:beforeAutospacing="1"/>
      <w:ind w:firstLine="420"/>
    </w:pPr>
  </w:style>
  <w:style w:type="paragraph" w:styleId="3">
    <w:name w:val="Body Text Indent"/>
    <w:basedOn w:val="1"/>
    <w:qFormat/>
    <w:uiPriority w:val="0"/>
    <w:pPr>
      <w:spacing w:line="360" w:lineRule="auto"/>
      <w:ind w:firstLine="570"/>
    </w:pPr>
    <w:rPr>
      <w:sz w:val="24"/>
    </w:rPr>
  </w:style>
  <w:style w:type="paragraph" w:styleId="4">
    <w:name w:val="Normal Indent"/>
    <w:basedOn w:val="1"/>
    <w:next w:val="1"/>
    <w:qFormat/>
    <w:uiPriority w:val="0"/>
    <w:pPr>
      <w:autoSpaceDE w:val="0"/>
      <w:autoSpaceDN w:val="0"/>
      <w:adjustRightInd w:val="0"/>
      <w:ind w:firstLine="420"/>
      <w:jc w:val="left"/>
    </w:pPr>
    <w:rPr>
      <w:rFonts w:ascii="宋体"/>
      <w:sz w:val="24"/>
    </w:rPr>
  </w:style>
  <w:style w:type="paragraph" w:styleId="5">
    <w:name w:val="List 2"/>
    <w:basedOn w:val="1"/>
    <w:qFormat/>
    <w:uiPriority w:val="0"/>
    <w:pPr>
      <w:ind w:left="100" w:leftChars="200" w:hanging="200" w:hangingChars="200"/>
    </w:pPr>
  </w:style>
  <w:style w:type="paragraph" w:styleId="6">
    <w:name w:val="toc 2"/>
    <w:basedOn w:val="1"/>
    <w:next w:val="1"/>
    <w:qFormat/>
    <w:uiPriority w:val="39"/>
    <w:pPr>
      <w:tabs>
        <w:tab w:val="right" w:leader="dot" w:pos="8937"/>
      </w:tabs>
      <w:spacing w:line="312" w:lineRule="auto"/>
      <w:ind w:left="420" w:leftChars="200"/>
    </w:pPr>
  </w:style>
  <w:style w:type="paragraph" w:customStyle="1" w:styleId="9">
    <w:name w:val="列出段落1"/>
    <w:basedOn w:val="1"/>
    <w:qFormat/>
    <w:uiPriority w:val="34"/>
    <w:pPr>
      <w:ind w:firstLine="420" w:firstLineChars="200"/>
    </w:pPr>
    <w:rPr>
      <w:rFonts w:ascii="Calibri" w:hAnsi="Calibri"/>
      <w:szCs w:val="22"/>
    </w:rPr>
  </w:style>
  <w:style w:type="paragraph" w:styleId="10">
    <w:name w:val="List Paragraph"/>
    <w:basedOn w:val="1"/>
    <w:qFormat/>
    <w:uiPriority w:val="1"/>
    <w:pPr>
      <w:ind w:firstLine="420" w:firstLineChars="200"/>
    </w:pPr>
  </w:style>
  <w:style w:type="paragraph" w:customStyle="1" w:styleId="11">
    <w:name w:val="正文自用"/>
    <w:basedOn w:val="1"/>
    <w:qFormat/>
    <w:uiPriority w:val="0"/>
    <w:pPr>
      <w:ind w:left="76" w:leftChars="97"/>
    </w:pPr>
    <w:rPr>
      <w:rFonts w:ascii="微软雅黑" w:hAnsi="微软雅黑" w:eastAsia="微软雅黑" w:cs="宋体"/>
      <w:kern w:val="0"/>
      <w:sz w:val="24"/>
    </w:rPr>
  </w:style>
  <w:style w:type="paragraph" w:customStyle="1" w:styleId="12">
    <w:name w:val="PwC Normal"/>
    <w:basedOn w:val="1"/>
    <w:qFormat/>
    <w:uiPriority w:val="99"/>
    <w:pPr>
      <w:spacing w:before="180" w:after="180" w:line="240" w:lineRule="atLeas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2025-07-09T05:36:52Z</dcterms:created>
  <dc:creator>Luna</dc:creator>
  <cp:lastModifiedBy>Luna</cp:lastModifiedBy>
  <dcterms:modified xsi:type="dcterms:W3CDTF">2025-07-09T05:37:50Z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eyJoZGlkIjoiMDU4MWRkZDVlYzU1YTFjMjhlMGU0YTU1YzE5NWNiY2QifQ==</vt:lpwstr>
  </property>
  <property fmtid="{D5CDD505-2E9C-101B-9397-08002B2CF9AE}" pid="4" name="ICV">
    <vt:lpwstr>1491DBF9FFBA40C196DAB9AE7E7F1FBF_12</vt:lpwstr>
  </property>
</Properties>
</file>