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4"/>
        <w:tabs>
          <w:tab w:val="left" w:pos="1630"/>
        </w:tabs>
        <w:spacing w:line="460" w:lineRule="exact"/>
        <w:ind w:left="8"/>
        <w:jc w:val="center"/>
        <w:rPr>
          <w:rFonts w:hint="eastAsia"/>
          <w:sz w:val="33"/>
        </w:rPr>
      </w:pPr>
      <w:r>
        <w:rPr>
          <w:b/>
          <w:bCs/>
        </w:rPr>
        <w:t>采购需求</w:t>
      </w:r>
    </w:p>
    <w:p>
      <w:pPr>
        <w:pStyle w:val="2"/>
        <w:spacing w:before="1"/>
        <w:ind w:left="121"/>
        <w:rPr>
          <w:rFonts w:hint="eastAsia"/>
          <w:b/>
          <w:bCs/>
        </w:rPr>
      </w:pPr>
      <w:r>
        <w:rPr>
          <w:b/>
          <w:bCs/>
        </w:rPr>
        <w:t>一、采购标的</w:t>
      </w:r>
    </w:p>
    <w:p>
      <w:pPr>
        <w:pStyle w:val="10"/>
        <w:tabs>
          <w:tab w:val="left" w:pos="470"/>
          <w:tab w:val="left" w:pos="7040"/>
        </w:tabs>
        <w:spacing w:before="154" w:line="338" w:lineRule="auto"/>
        <w:ind w:left="121" w:right="1830" w:firstLine="269" w:firstLineChars="100"/>
        <w:rPr>
          <w:rFonts w:hint="eastAsia"/>
          <w:sz w:val="24"/>
          <w:lang w:eastAsia="zh-CN"/>
        </w:rPr>
      </w:pPr>
      <w:r>
        <w:rPr>
          <w:rFonts w:ascii="Arial" w:hAnsi="Arial" w:eastAsia="Arial" w:cs="Arial"/>
          <w:spacing w:val="-2"/>
          <w:w w:val="114"/>
          <w:sz w:val="24"/>
          <w:szCs w:val="24"/>
          <w:lang w:eastAsia="zh-CN"/>
        </w:rPr>
        <w:t>1.</w:t>
      </w:r>
      <w:r>
        <w:rPr>
          <w:sz w:val="24"/>
          <w:lang w:eastAsia="zh-CN"/>
        </w:rPr>
        <w:t xml:space="preserve">采购标的（货物需求一览表或简要服务内容及数量） </w:t>
      </w:r>
    </w:p>
    <w:tbl>
      <w:tblPr>
        <w:tblStyle w:val="8"/>
        <w:tblW w:w="6502"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184"/>
        <w:gridCol w:w="252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exact"/>
          <w:jc w:val="center"/>
        </w:trPr>
        <w:tc>
          <w:tcPr>
            <w:tcW w:w="792" w:type="dxa"/>
            <w:tcBorders>
              <w:top w:val="single" w:color="auto" w:sz="4" w:space="0"/>
              <w:left w:val="single" w:color="auto" w:sz="4" w:space="0"/>
              <w:bottom w:val="single" w:color="auto" w:sz="4" w:space="0"/>
              <w:right w:val="single" w:color="auto" w:sz="4" w:space="0"/>
            </w:tcBorders>
            <w:vAlign w:val="center"/>
          </w:tcPr>
          <w:p>
            <w:pPr>
              <w:jc w:val="center"/>
              <w:rPr>
                <w:rFonts w:hint="eastAsia"/>
                <w:b/>
                <w:bCs/>
                <w:sz w:val="24"/>
                <w:szCs w:val="24"/>
              </w:rPr>
            </w:pPr>
            <w:r>
              <w:rPr>
                <w:rFonts w:hint="eastAsia"/>
                <w:b/>
                <w:bCs/>
                <w:sz w:val="24"/>
                <w:szCs w:val="24"/>
              </w:rPr>
              <w:t>包号</w:t>
            </w:r>
          </w:p>
        </w:tc>
        <w:tc>
          <w:tcPr>
            <w:tcW w:w="31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b/>
                <w:bCs/>
                <w:sz w:val="24"/>
                <w:szCs w:val="24"/>
              </w:rPr>
            </w:pPr>
            <w:r>
              <w:rPr>
                <w:rFonts w:hint="eastAsia"/>
                <w:b/>
                <w:bCs/>
                <w:sz w:val="24"/>
                <w:szCs w:val="24"/>
              </w:rPr>
              <w:t>采购内容</w:t>
            </w:r>
          </w:p>
        </w:tc>
        <w:tc>
          <w:tcPr>
            <w:tcW w:w="25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b/>
                <w:bCs/>
                <w:sz w:val="24"/>
                <w:szCs w:val="24"/>
                <w:lang w:eastAsia="zh-CN"/>
              </w:rPr>
            </w:pPr>
            <w:r>
              <w:rPr>
                <w:rFonts w:hint="eastAsia"/>
                <w:b/>
                <w:bCs/>
                <w:sz w:val="24"/>
                <w:szCs w:val="24"/>
              </w:rPr>
              <w:t>数量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jc w:val="center"/>
              <w:rPr>
                <w:rFonts w:hint="eastAsia"/>
                <w:sz w:val="24"/>
                <w:szCs w:val="24"/>
              </w:rPr>
            </w:pPr>
            <w:r>
              <w:rPr>
                <w:rFonts w:hint="eastAsia"/>
                <w:sz w:val="24"/>
                <w:szCs w:val="24"/>
              </w:rPr>
              <w:t>1</w:t>
            </w:r>
          </w:p>
        </w:tc>
        <w:tc>
          <w:tcPr>
            <w:tcW w:w="31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sz w:val="24"/>
                <w:szCs w:val="24"/>
              </w:rPr>
            </w:pPr>
            <w:bookmarkStart w:id="28" w:name="_GoBack"/>
            <w:r>
              <w:rPr>
                <w:rFonts w:hint="eastAsia"/>
                <w:sz w:val="24"/>
                <w:szCs w:val="24"/>
                <w:lang w:eastAsia="zh-CN"/>
              </w:rPr>
              <w:t>数智运营管理平台</w:t>
            </w:r>
            <w:bookmarkEnd w:id="28"/>
          </w:p>
        </w:tc>
        <w:tc>
          <w:tcPr>
            <w:tcW w:w="2526" w:type="dxa"/>
            <w:tcBorders>
              <w:top w:val="single" w:color="auto" w:sz="4" w:space="0"/>
              <w:left w:val="single" w:color="auto" w:sz="4" w:space="0"/>
              <w:bottom w:val="single" w:color="auto" w:sz="4" w:space="0"/>
              <w:right w:val="single" w:color="auto" w:sz="4" w:space="0"/>
            </w:tcBorders>
            <w:vAlign w:val="center"/>
          </w:tcPr>
          <w:p>
            <w:pPr>
              <w:pStyle w:val="5"/>
              <w:jc w:val="center"/>
              <w:rPr>
                <w:rFonts w:hint="eastAsia" w:asciiTheme="minorEastAsia" w:hAnsiTheme="minorEastAsia" w:eastAsiaTheme="minorEastAsia" w:cstheme="minorEastAsia"/>
                <w:sz w:val="24"/>
                <w:szCs w:val="24"/>
                <w:lang w:eastAsia="zh-CN"/>
              </w:rPr>
            </w:pPr>
            <w:r>
              <w:rPr>
                <w:rFonts w:hint="eastAsia"/>
                <w:bCs/>
                <w:color w:val="000000"/>
                <w:sz w:val="24"/>
                <w:szCs w:val="24"/>
                <w:lang w:eastAsia="zh-CN"/>
              </w:rPr>
              <w:t>详见“技术需求”</w:t>
            </w:r>
          </w:p>
        </w:tc>
      </w:tr>
    </w:tbl>
    <w:p>
      <w:pPr>
        <w:pStyle w:val="10"/>
        <w:tabs>
          <w:tab w:val="left" w:pos="470"/>
        </w:tabs>
        <w:spacing w:before="44" w:line="886" w:lineRule="exact"/>
        <w:ind w:left="121" w:right="5876" w:firstLine="0"/>
        <w:rPr>
          <w:rFonts w:hint="eastAsia"/>
          <w:sz w:val="24"/>
        </w:rPr>
      </w:pPr>
      <w:r>
        <w:rPr>
          <w:b/>
          <w:bCs/>
          <w:sz w:val="24"/>
        </w:rPr>
        <w:t>二、商务要求</w:t>
      </w:r>
    </w:p>
    <w:p>
      <w:pPr>
        <w:pStyle w:val="10"/>
        <w:tabs>
          <w:tab w:val="left" w:pos="470"/>
        </w:tabs>
        <w:spacing w:before="10" w:line="360" w:lineRule="auto"/>
        <w:ind w:left="0" w:firstLine="240" w:firstLineChars="100"/>
        <w:rPr>
          <w:rFonts w:hint="eastAsia"/>
          <w:sz w:val="24"/>
          <w:szCs w:val="24"/>
          <w:lang w:eastAsia="zh-CN"/>
        </w:rPr>
      </w:pPr>
      <w:r>
        <w:rPr>
          <w:rFonts w:hint="eastAsia"/>
          <w:sz w:val="24"/>
          <w:szCs w:val="24"/>
        </w:rPr>
        <w:t>1.</w:t>
      </w:r>
      <w:r>
        <w:rPr>
          <w:rFonts w:hint="eastAsia"/>
          <w:sz w:val="24"/>
          <w:szCs w:val="24"/>
          <w:lang w:eastAsia="zh-CN"/>
        </w:rPr>
        <w:t>实施的期限和地点：</w:t>
      </w:r>
    </w:p>
    <w:p>
      <w:pPr>
        <w:pStyle w:val="6"/>
        <w:spacing w:line="360" w:lineRule="auto"/>
        <w:ind w:left="4080" w:leftChars="109" w:hanging="3840" w:hangingChars="1600"/>
        <w:jc w:val="both"/>
        <w:outlineLvl w:val="9"/>
        <w:rPr>
          <w:rFonts w:hint="eastAsia"/>
          <w:b w:val="0"/>
          <w:sz w:val="24"/>
          <w:szCs w:val="24"/>
          <w:lang w:eastAsia="zh-CN"/>
        </w:rPr>
      </w:pPr>
      <w:bookmarkStart w:id="0" w:name="_Toc24278"/>
      <w:bookmarkStart w:id="1" w:name="_Toc23382"/>
      <w:bookmarkStart w:id="2" w:name="_Toc8925"/>
      <w:bookmarkStart w:id="3" w:name="_Toc14802"/>
      <w:bookmarkStart w:id="4" w:name="_Toc256196753"/>
      <w:bookmarkStart w:id="5" w:name="_Toc27223"/>
      <w:r>
        <w:rPr>
          <w:rFonts w:hint="eastAsia"/>
          <w:b w:val="0"/>
          <w:sz w:val="24"/>
          <w:szCs w:val="24"/>
          <w:lang w:eastAsia="zh-CN"/>
        </w:rPr>
        <w:t>1.1采购项目（标的）实施的时间：</w:t>
      </w:r>
      <w:bookmarkEnd w:id="0"/>
      <w:bookmarkEnd w:id="1"/>
      <w:bookmarkEnd w:id="2"/>
      <w:bookmarkEnd w:id="3"/>
      <w:bookmarkEnd w:id="4"/>
      <w:r>
        <w:rPr>
          <w:rFonts w:hint="eastAsia"/>
          <w:b w:val="0"/>
          <w:sz w:val="24"/>
          <w:szCs w:val="24"/>
          <w:lang w:eastAsia="zh-CN"/>
        </w:rPr>
        <w:t>按照小汤山医院要求</w:t>
      </w:r>
      <w:bookmarkEnd w:id="5"/>
    </w:p>
    <w:p>
      <w:pPr>
        <w:pStyle w:val="6"/>
        <w:tabs>
          <w:tab w:val="left" w:pos="0"/>
        </w:tabs>
        <w:spacing w:line="360" w:lineRule="auto"/>
        <w:ind w:firstLine="240" w:firstLineChars="100"/>
        <w:jc w:val="both"/>
        <w:outlineLvl w:val="9"/>
        <w:rPr>
          <w:rFonts w:hint="eastAsia"/>
          <w:b w:val="0"/>
          <w:sz w:val="24"/>
          <w:szCs w:val="24"/>
          <w:lang w:eastAsia="zh-CN"/>
        </w:rPr>
      </w:pPr>
      <w:bookmarkStart w:id="6" w:name="_Toc8853"/>
      <w:bookmarkStart w:id="7" w:name="_Toc30936"/>
      <w:bookmarkStart w:id="8" w:name="_Toc6107"/>
      <w:bookmarkStart w:id="9" w:name="_Toc194115436"/>
      <w:bookmarkStart w:id="10" w:name="_Toc19535"/>
      <w:bookmarkStart w:id="11" w:name="_Toc5869"/>
      <w:r>
        <w:rPr>
          <w:rFonts w:hint="eastAsia"/>
          <w:b w:val="0"/>
          <w:sz w:val="24"/>
          <w:szCs w:val="24"/>
          <w:lang w:eastAsia="zh-CN"/>
        </w:rPr>
        <w:t>1.2采购项目（标的）实施的地点：</w:t>
      </w:r>
      <w:bookmarkEnd w:id="6"/>
      <w:bookmarkEnd w:id="7"/>
      <w:bookmarkEnd w:id="8"/>
      <w:bookmarkEnd w:id="9"/>
      <w:bookmarkEnd w:id="10"/>
      <w:r>
        <w:rPr>
          <w:rFonts w:hint="eastAsia"/>
          <w:b w:val="0"/>
          <w:sz w:val="24"/>
          <w:szCs w:val="24"/>
          <w:lang w:eastAsia="zh-CN"/>
        </w:rPr>
        <w:t>北京小汤山医院指定地点</w:t>
      </w:r>
      <w:bookmarkEnd w:id="11"/>
    </w:p>
    <w:p>
      <w:pPr>
        <w:pStyle w:val="10"/>
        <w:tabs>
          <w:tab w:val="left" w:pos="470"/>
        </w:tabs>
        <w:spacing w:before="0" w:line="360" w:lineRule="auto"/>
        <w:ind w:left="121" w:firstLine="98" w:firstLineChars="41"/>
        <w:rPr>
          <w:rFonts w:hint="eastAsia"/>
          <w:sz w:val="24"/>
          <w:szCs w:val="24"/>
          <w:lang w:eastAsia="zh-CN"/>
        </w:rPr>
      </w:pPr>
      <w:r>
        <w:rPr>
          <w:rFonts w:hint="eastAsia"/>
          <w:sz w:val="24"/>
          <w:szCs w:val="24"/>
          <w:lang w:eastAsia="zh-CN"/>
        </w:rPr>
        <w:t>2.付款条件（进度和方式）：</w:t>
      </w:r>
    </w:p>
    <w:p>
      <w:pPr>
        <w:pStyle w:val="10"/>
        <w:tabs>
          <w:tab w:val="left" w:pos="470"/>
        </w:tabs>
        <w:spacing w:before="0" w:line="360" w:lineRule="auto"/>
        <w:ind w:left="121" w:firstLine="98" w:firstLineChars="41"/>
        <w:rPr>
          <w:rFonts w:hint="eastAsia"/>
          <w:lang w:eastAsia="zh-CN"/>
        </w:rPr>
      </w:pPr>
      <w:r>
        <w:rPr>
          <w:rFonts w:hint="eastAsia"/>
          <w:sz w:val="24"/>
          <w:szCs w:val="24"/>
          <w:lang w:eastAsia="zh-CN"/>
        </w:rPr>
        <w:t>以最终合同签订为准。</w:t>
      </w:r>
    </w:p>
    <w:p>
      <w:pPr>
        <w:pStyle w:val="3"/>
        <w:spacing w:line="360" w:lineRule="auto"/>
        <w:ind w:firstLine="240" w:firstLineChars="100"/>
        <w:rPr>
          <w:rFonts w:hint="eastAsia"/>
        </w:rPr>
      </w:pPr>
    </w:p>
    <w:p>
      <w:pPr>
        <w:pStyle w:val="10"/>
        <w:tabs>
          <w:tab w:val="left" w:pos="470"/>
        </w:tabs>
        <w:spacing w:before="0" w:line="360" w:lineRule="auto"/>
        <w:ind w:left="119" w:right="7155" w:firstLine="0"/>
        <w:jc w:val="both"/>
        <w:rPr>
          <w:rFonts w:hint="eastAsia"/>
          <w:sz w:val="24"/>
          <w:lang w:eastAsia="zh-CN"/>
        </w:rPr>
      </w:pPr>
      <w:r>
        <w:rPr>
          <w:b/>
          <w:bCs/>
          <w:sz w:val="24"/>
          <w:lang w:eastAsia="zh-CN"/>
        </w:rPr>
        <w:t>三、技术要求</w:t>
      </w:r>
    </w:p>
    <w:p>
      <w:pPr>
        <w:pStyle w:val="10"/>
        <w:tabs>
          <w:tab w:val="left" w:pos="470"/>
        </w:tabs>
        <w:spacing w:before="0" w:line="360" w:lineRule="auto"/>
        <w:ind w:left="0" w:firstLine="0"/>
        <w:jc w:val="both"/>
        <w:rPr>
          <w:rFonts w:hint="eastAsia"/>
          <w:sz w:val="24"/>
          <w:lang w:eastAsia="zh-CN"/>
        </w:rPr>
      </w:pPr>
      <w:r>
        <w:rPr>
          <w:rFonts w:hint="eastAsia"/>
          <w:sz w:val="24"/>
          <w:lang w:eastAsia="zh-CN"/>
        </w:rPr>
        <w:t>1.基本要求</w:t>
      </w:r>
    </w:p>
    <w:p>
      <w:pPr>
        <w:spacing w:line="360" w:lineRule="auto"/>
        <w:ind w:firstLine="480" w:firstLineChars="200"/>
        <w:jc w:val="both"/>
        <w:rPr>
          <w:rFonts w:hint="eastAsia"/>
          <w:sz w:val="24"/>
          <w:highlight w:val="none"/>
          <w:lang w:eastAsia="zh-CN"/>
        </w:rPr>
      </w:pPr>
      <w:r>
        <w:rPr>
          <w:rFonts w:hint="eastAsia"/>
          <w:sz w:val="24"/>
          <w:lang w:eastAsia="zh-CN"/>
        </w:rPr>
        <w:t>1.1采购标的需实现的</w:t>
      </w:r>
      <w:r>
        <w:rPr>
          <w:rFonts w:hint="eastAsia"/>
          <w:sz w:val="24"/>
          <w:highlight w:val="none"/>
          <w:lang w:eastAsia="zh-CN"/>
        </w:rPr>
        <w:t>功能或者目标</w:t>
      </w:r>
    </w:p>
    <w:p>
      <w:pPr>
        <w:pStyle w:val="10"/>
        <w:tabs>
          <w:tab w:val="left" w:pos="1101"/>
        </w:tabs>
        <w:spacing w:before="0" w:line="360" w:lineRule="auto"/>
        <w:ind w:left="0" w:firstLine="480" w:firstLineChars="200"/>
        <w:jc w:val="both"/>
        <w:rPr>
          <w:rFonts w:hint="eastAsia"/>
          <w:sz w:val="24"/>
          <w:lang w:eastAsia="zh-CN"/>
        </w:rPr>
      </w:pPr>
      <w:r>
        <w:rPr>
          <w:rFonts w:hint="eastAsia" w:asciiTheme="minorEastAsia" w:hAnsiTheme="minorEastAsia" w:eastAsiaTheme="minorEastAsia" w:cstheme="minorEastAsia"/>
          <w:sz w:val="24"/>
          <w:highlight w:val="none"/>
          <w:lang w:eastAsia="zh-CN"/>
        </w:rPr>
        <w:t>本次招标采购是为北京小汤山医院提供</w:t>
      </w:r>
      <w:r>
        <w:rPr>
          <w:rFonts w:hint="eastAsia"/>
          <w:sz w:val="24"/>
          <w:szCs w:val="24"/>
          <w:highlight w:val="none"/>
          <w:lang w:eastAsia="zh-CN"/>
        </w:rPr>
        <w:t>数智运营管理平台建设服务</w:t>
      </w:r>
      <w:r>
        <w:rPr>
          <w:rFonts w:hint="eastAsia" w:asciiTheme="minorEastAsia" w:hAnsiTheme="minorEastAsia" w:eastAsiaTheme="minorEastAsia" w:cstheme="minorEastAsia"/>
          <w:sz w:val="24"/>
          <w:highlight w:val="none"/>
          <w:lang w:eastAsia="zh-CN"/>
        </w:rPr>
        <w:t>。</w:t>
      </w:r>
      <w:r>
        <w:rPr>
          <w:rFonts w:hint="eastAsia"/>
          <w:sz w:val="24"/>
          <w:highlight w:val="none"/>
          <w:lang w:eastAsia="zh-CN"/>
        </w:rPr>
        <w:t>供应商应根据招标文件所提出的技术规格和服</w:t>
      </w:r>
      <w:r>
        <w:rPr>
          <w:rFonts w:hint="eastAsia"/>
          <w:sz w:val="24"/>
          <w:lang w:eastAsia="zh-CN"/>
        </w:rPr>
        <w:t>务要求以先进的技术、优良的服务和优惠的价格，充分显示自己的竞争实力。</w:t>
      </w:r>
    </w:p>
    <w:p>
      <w:pPr>
        <w:spacing w:line="360" w:lineRule="auto"/>
        <w:ind w:firstLine="480" w:firstLineChars="200"/>
        <w:contextualSpacing/>
        <w:rPr>
          <w:rFonts w:hint="eastAsia"/>
          <w:sz w:val="24"/>
          <w:lang w:eastAsia="zh-CN"/>
        </w:rPr>
      </w:pPr>
      <w:r>
        <w:rPr>
          <w:sz w:val="24"/>
          <w:lang w:eastAsia="zh-CN"/>
        </w:rPr>
        <w:t>1.2 需执行的国家相关标准、行业标准、地方标准或者其他标准、规范</w:t>
      </w:r>
    </w:p>
    <w:p>
      <w:pPr>
        <w:spacing w:line="360" w:lineRule="auto"/>
        <w:ind w:firstLine="480" w:firstLineChars="200"/>
        <w:contextualSpacing/>
        <w:rPr>
          <w:rFonts w:hint="eastAsia"/>
          <w:sz w:val="24"/>
          <w:lang w:eastAsia="zh-CN"/>
        </w:rPr>
      </w:pPr>
      <w:r>
        <w:rPr>
          <w:rFonts w:hint="eastAsia"/>
          <w:sz w:val="24"/>
          <w:lang w:eastAsia="zh-CN"/>
        </w:rPr>
        <w:t>供应商应保证所提供的服务符合国家相关法律法规的要求。</w:t>
      </w:r>
    </w:p>
    <w:p>
      <w:pPr>
        <w:spacing w:line="360" w:lineRule="auto"/>
        <w:contextualSpacing/>
        <w:rPr>
          <w:rFonts w:hint="eastAsia"/>
          <w:i/>
          <w:iCs/>
          <w:sz w:val="24"/>
          <w:lang w:eastAsia="zh-CN"/>
        </w:rPr>
      </w:pPr>
      <w:r>
        <w:rPr>
          <w:rFonts w:hint="eastAsia"/>
          <w:sz w:val="24"/>
          <w:lang w:eastAsia="zh-CN"/>
        </w:rPr>
        <w:t>2</w:t>
      </w:r>
      <w:r>
        <w:rPr>
          <w:sz w:val="24"/>
          <w:lang w:eastAsia="zh-CN"/>
        </w:rPr>
        <w:t xml:space="preserve"> 验收标准</w:t>
      </w:r>
    </w:p>
    <w:p>
      <w:pPr>
        <w:pStyle w:val="6"/>
        <w:spacing w:line="360" w:lineRule="auto"/>
        <w:ind w:firstLine="480" w:firstLineChars="200"/>
        <w:jc w:val="both"/>
        <w:outlineLvl w:val="9"/>
        <w:rPr>
          <w:rFonts w:hint="eastAsia"/>
          <w:b w:val="0"/>
          <w:sz w:val="24"/>
          <w:szCs w:val="24"/>
          <w:lang w:eastAsia="zh-CN"/>
        </w:rPr>
      </w:pPr>
      <w:bookmarkStart w:id="12" w:name="_Toc470473059"/>
      <w:bookmarkStart w:id="13" w:name="_Toc28575"/>
      <w:bookmarkStart w:id="14" w:name="_Toc28937"/>
      <w:r>
        <w:rPr>
          <w:rFonts w:hint="eastAsia"/>
          <w:b w:val="0"/>
          <w:sz w:val="24"/>
          <w:szCs w:val="24"/>
          <w:lang w:eastAsia="zh-CN"/>
        </w:rPr>
        <w:t>2.</w:t>
      </w:r>
      <w:r>
        <w:rPr>
          <w:b w:val="0"/>
          <w:sz w:val="24"/>
          <w:szCs w:val="24"/>
          <w:lang w:eastAsia="zh-CN"/>
        </w:rPr>
        <w:t>1</w:t>
      </w:r>
      <w:r>
        <w:rPr>
          <w:rFonts w:hint="eastAsia"/>
          <w:b w:val="0"/>
          <w:sz w:val="24"/>
          <w:szCs w:val="24"/>
          <w:lang w:eastAsia="zh-CN"/>
        </w:rPr>
        <w:t>符合采购人服务范围要求。</w:t>
      </w:r>
      <w:bookmarkEnd w:id="12"/>
      <w:bookmarkEnd w:id="13"/>
      <w:bookmarkEnd w:id="14"/>
    </w:p>
    <w:p>
      <w:pPr>
        <w:pStyle w:val="6"/>
        <w:spacing w:line="360" w:lineRule="auto"/>
        <w:ind w:firstLine="480" w:firstLineChars="200"/>
        <w:jc w:val="both"/>
        <w:outlineLvl w:val="9"/>
        <w:rPr>
          <w:rFonts w:hint="eastAsia"/>
          <w:b w:val="0"/>
          <w:sz w:val="24"/>
          <w:szCs w:val="24"/>
          <w:lang w:eastAsia="zh-CN"/>
        </w:rPr>
      </w:pPr>
      <w:bookmarkStart w:id="15" w:name="_Toc17149"/>
      <w:bookmarkStart w:id="16" w:name="_Toc205914359"/>
      <w:bookmarkStart w:id="17" w:name="_Toc19147"/>
      <w:r>
        <w:rPr>
          <w:rFonts w:hint="eastAsia"/>
          <w:b w:val="0"/>
          <w:sz w:val="24"/>
          <w:szCs w:val="24"/>
          <w:lang w:eastAsia="zh-CN"/>
        </w:rPr>
        <w:t>2.</w:t>
      </w:r>
      <w:r>
        <w:rPr>
          <w:b w:val="0"/>
          <w:sz w:val="24"/>
          <w:szCs w:val="24"/>
          <w:lang w:eastAsia="zh-CN"/>
        </w:rPr>
        <w:t>2</w:t>
      </w:r>
      <w:r>
        <w:rPr>
          <w:rFonts w:hint="eastAsia"/>
          <w:b w:val="0"/>
          <w:sz w:val="24"/>
          <w:szCs w:val="24"/>
          <w:lang w:eastAsia="zh-CN"/>
        </w:rPr>
        <w:t>供应商配置的硬件设备符合采购人要求。</w:t>
      </w:r>
      <w:bookmarkEnd w:id="15"/>
      <w:bookmarkEnd w:id="16"/>
      <w:bookmarkEnd w:id="17"/>
    </w:p>
    <w:p>
      <w:pPr>
        <w:pStyle w:val="6"/>
        <w:spacing w:line="360" w:lineRule="auto"/>
        <w:ind w:firstLine="480" w:firstLineChars="200"/>
        <w:jc w:val="both"/>
        <w:outlineLvl w:val="9"/>
        <w:rPr>
          <w:rFonts w:hint="eastAsia"/>
          <w:b w:val="0"/>
          <w:sz w:val="24"/>
          <w:szCs w:val="24"/>
          <w:lang w:eastAsia="zh-CN"/>
        </w:rPr>
      </w:pPr>
      <w:bookmarkStart w:id="18" w:name="_Toc11828"/>
      <w:bookmarkStart w:id="19" w:name="_Toc16786"/>
      <w:bookmarkStart w:id="20" w:name="_Toc1206476396"/>
      <w:r>
        <w:rPr>
          <w:rFonts w:hint="eastAsia"/>
          <w:b w:val="0"/>
          <w:sz w:val="24"/>
          <w:szCs w:val="24"/>
          <w:lang w:eastAsia="zh-CN"/>
        </w:rPr>
        <w:t>2.</w:t>
      </w:r>
      <w:r>
        <w:rPr>
          <w:b w:val="0"/>
          <w:sz w:val="24"/>
          <w:szCs w:val="24"/>
          <w:lang w:eastAsia="zh-CN"/>
        </w:rPr>
        <w:t>3</w:t>
      </w:r>
      <w:r>
        <w:rPr>
          <w:rFonts w:hint="eastAsia"/>
          <w:b w:val="0"/>
          <w:sz w:val="24"/>
          <w:szCs w:val="24"/>
          <w:lang w:eastAsia="zh-CN"/>
        </w:rPr>
        <w:t>完成采购人要求的工作内容。</w:t>
      </w:r>
      <w:bookmarkEnd w:id="18"/>
      <w:bookmarkEnd w:id="19"/>
      <w:bookmarkEnd w:id="20"/>
    </w:p>
    <w:p>
      <w:pPr>
        <w:pStyle w:val="6"/>
        <w:spacing w:line="360" w:lineRule="auto"/>
        <w:ind w:firstLine="480" w:firstLineChars="200"/>
        <w:jc w:val="both"/>
        <w:outlineLvl w:val="9"/>
        <w:rPr>
          <w:rFonts w:hint="eastAsia"/>
          <w:b w:val="0"/>
          <w:sz w:val="24"/>
          <w:szCs w:val="24"/>
          <w:lang w:eastAsia="zh-CN"/>
        </w:rPr>
      </w:pPr>
      <w:bookmarkStart w:id="21" w:name="_Toc433"/>
      <w:bookmarkStart w:id="22" w:name="_Toc708192598"/>
      <w:bookmarkStart w:id="23" w:name="_Toc30492"/>
      <w:r>
        <w:rPr>
          <w:rFonts w:hint="eastAsia"/>
          <w:b w:val="0"/>
          <w:sz w:val="24"/>
          <w:szCs w:val="24"/>
          <w:lang w:eastAsia="zh-CN"/>
        </w:rPr>
        <w:t>2.</w:t>
      </w:r>
      <w:r>
        <w:rPr>
          <w:b w:val="0"/>
          <w:sz w:val="24"/>
          <w:szCs w:val="24"/>
          <w:lang w:eastAsia="zh-CN"/>
        </w:rPr>
        <w:t>4</w:t>
      </w:r>
      <w:r>
        <w:rPr>
          <w:rFonts w:hint="eastAsia"/>
          <w:b w:val="0"/>
          <w:sz w:val="24"/>
          <w:szCs w:val="24"/>
          <w:lang w:eastAsia="zh-CN"/>
        </w:rPr>
        <w:t>达到采购人要求的服务和质量标准。</w:t>
      </w:r>
      <w:bookmarkEnd w:id="21"/>
      <w:bookmarkEnd w:id="22"/>
      <w:bookmarkEnd w:id="23"/>
    </w:p>
    <w:p>
      <w:pPr>
        <w:pStyle w:val="6"/>
        <w:spacing w:line="360" w:lineRule="auto"/>
        <w:ind w:firstLine="480" w:firstLineChars="200"/>
        <w:jc w:val="both"/>
        <w:outlineLvl w:val="9"/>
        <w:rPr>
          <w:rFonts w:hint="eastAsia"/>
          <w:b w:val="0"/>
          <w:sz w:val="24"/>
          <w:szCs w:val="24"/>
          <w:lang w:eastAsia="zh-CN"/>
        </w:rPr>
      </w:pPr>
      <w:bookmarkStart w:id="24" w:name="_Toc1238622912"/>
      <w:bookmarkStart w:id="25" w:name="_Toc23531"/>
      <w:bookmarkStart w:id="26" w:name="_Toc13166"/>
      <w:r>
        <w:rPr>
          <w:rFonts w:hint="eastAsia"/>
          <w:b w:val="0"/>
          <w:sz w:val="24"/>
          <w:szCs w:val="24"/>
          <w:lang w:eastAsia="zh-CN"/>
        </w:rPr>
        <w:t>2</w:t>
      </w:r>
      <w:r>
        <w:rPr>
          <w:b w:val="0"/>
          <w:sz w:val="24"/>
          <w:szCs w:val="24"/>
          <w:lang w:eastAsia="zh-CN"/>
        </w:rPr>
        <w:t>.5</w:t>
      </w:r>
      <w:r>
        <w:rPr>
          <w:rFonts w:hint="eastAsia"/>
          <w:b w:val="0"/>
          <w:sz w:val="24"/>
          <w:szCs w:val="24"/>
          <w:lang w:eastAsia="zh-CN"/>
        </w:rPr>
        <w:t>所有指标项通过采购人测试验收。</w:t>
      </w:r>
      <w:bookmarkEnd w:id="24"/>
      <w:bookmarkEnd w:id="25"/>
      <w:bookmarkEnd w:id="26"/>
    </w:p>
    <w:p>
      <w:pPr>
        <w:spacing w:line="360" w:lineRule="auto"/>
        <w:contextualSpacing/>
        <w:rPr>
          <w:rFonts w:hint="eastAsia"/>
          <w:sz w:val="24"/>
          <w:lang w:eastAsia="zh-CN"/>
        </w:rPr>
      </w:pPr>
      <w:r>
        <w:rPr>
          <w:rFonts w:hint="eastAsia"/>
          <w:sz w:val="24"/>
          <w:lang w:eastAsia="zh-CN"/>
        </w:rPr>
        <w:t>3</w:t>
      </w:r>
      <w:r>
        <w:rPr>
          <w:sz w:val="24"/>
          <w:lang w:eastAsia="zh-CN"/>
        </w:rPr>
        <w:t xml:space="preserve">. </w:t>
      </w:r>
      <w:r>
        <w:rPr>
          <w:rFonts w:hint="eastAsia"/>
          <w:sz w:val="24"/>
          <w:lang w:eastAsia="zh-CN"/>
        </w:rPr>
        <w:t>服务内容及要求</w:t>
      </w:r>
    </w:p>
    <w:p>
      <w:pPr>
        <w:widowControl/>
        <w:spacing w:line="360" w:lineRule="auto"/>
        <w:ind w:firstLine="480" w:firstLineChars="200"/>
        <w:contextualSpacing/>
        <w:rPr>
          <w:rFonts w:hint="eastAsia"/>
          <w:sz w:val="24"/>
          <w:lang w:eastAsia="zh-CN"/>
        </w:rPr>
      </w:pPr>
      <w:r>
        <w:rPr>
          <w:rFonts w:hint="eastAsia"/>
          <w:sz w:val="24"/>
          <w:lang w:eastAsia="zh-CN"/>
        </w:rPr>
        <w:t>3</w:t>
      </w:r>
      <w:r>
        <w:rPr>
          <w:sz w:val="24"/>
          <w:lang w:eastAsia="zh-CN"/>
        </w:rPr>
        <w:t>.1采购标的需满足的性能、质量、安全等要求；</w:t>
      </w:r>
    </w:p>
    <w:p>
      <w:pPr>
        <w:widowControl/>
        <w:spacing w:line="360" w:lineRule="auto"/>
        <w:ind w:firstLine="480" w:firstLineChars="200"/>
        <w:contextualSpacing/>
        <w:rPr>
          <w:rFonts w:hint="eastAsia"/>
          <w:sz w:val="24"/>
          <w:lang w:eastAsia="zh-CN"/>
        </w:rPr>
      </w:pPr>
      <w:r>
        <w:rPr>
          <w:rFonts w:hint="eastAsia"/>
          <w:sz w:val="24"/>
          <w:lang w:eastAsia="zh-CN"/>
        </w:rPr>
        <w:t>详见</w:t>
      </w:r>
      <w:r>
        <w:rPr>
          <w:sz w:val="24"/>
          <w:lang w:eastAsia="zh-CN"/>
        </w:rPr>
        <w:t>其他技术、服务等要求</w:t>
      </w:r>
    </w:p>
    <w:p>
      <w:pPr>
        <w:widowControl/>
        <w:spacing w:line="360" w:lineRule="auto"/>
        <w:contextualSpacing/>
        <w:rPr>
          <w:rFonts w:hint="eastAsia"/>
          <w:sz w:val="24"/>
          <w:lang w:eastAsia="zh-CN"/>
        </w:rPr>
      </w:pPr>
      <w:r>
        <w:rPr>
          <w:rFonts w:hint="eastAsia"/>
          <w:sz w:val="24"/>
          <w:lang w:eastAsia="zh-CN"/>
        </w:rPr>
        <w:t>3</w:t>
      </w:r>
      <w:r>
        <w:rPr>
          <w:sz w:val="24"/>
          <w:lang w:eastAsia="zh-CN"/>
        </w:rPr>
        <w:t>.2采购标的需满足的服务标准、期限、效率等要求；</w:t>
      </w:r>
    </w:p>
    <w:p>
      <w:pPr>
        <w:widowControl/>
        <w:spacing w:line="360" w:lineRule="auto"/>
        <w:ind w:firstLine="480" w:firstLineChars="200"/>
        <w:contextualSpacing/>
        <w:rPr>
          <w:rFonts w:hint="eastAsia"/>
          <w:sz w:val="24"/>
          <w:lang w:eastAsia="zh-CN"/>
        </w:rPr>
      </w:pPr>
      <w:r>
        <w:rPr>
          <w:rFonts w:hint="eastAsia"/>
          <w:sz w:val="24"/>
          <w:lang w:eastAsia="zh-CN"/>
        </w:rPr>
        <w:t>详见</w:t>
      </w:r>
      <w:r>
        <w:rPr>
          <w:sz w:val="24"/>
          <w:lang w:eastAsia="zh-CN"/>
        </w:rPr>
        <w:t>其他技术、服务等要求</w:t>
      </w:r>
    </w:p>
    <w:p>
      <w:pPr>
        <w:tabs>
          <w:tab w:val="left" w:pos="900"/>
        </w:tabs>
        <w:spacing w:before="120" w:beforeLines="50" w:line="360" w:lineRule="auto"/>
        <w:ind w:left="480" w:hanging="480" w:hangingChars="200"/>
        <w:rPr>
          <w:rFonts w:hint="eastAsia"/>
          <w:b/>
          <w:bCs/>
          <w:sz w:val="24"/>
          <w:lang w:eastAsia="zh-CN"/>
        </w:rPr>
      </w:pPr>
      <w:r>
        <w:rPr>
          <w:rFonts w:hint="eastAsia"/>
          <w:sz w:val="24"/>
          <w:lang w:eastAsia="zh-CN"/>
        </w:rPr>
        <w:t>3</w:t>
      </w:r>
      <w:r>
        <w:rPr>
          <w:sz w:val="24"/>
          <w:lang w:eastAsia="zh-CN"/>
        </w:rPr>
        <w:t>.3为落实政府采购政策需满足的要求为落实政府采购政策需满足的要求</w:t>
      </w:r>
      <w:r>
        <w:rPr>
          <w:rFonts w:hint="eastAsia"/>
          <w:b/>
          <w:bCs/>
          <w:sz w:val="24"/>
          <w:lang w:eastAsia="zh-CN"/>
        </w:rPr>
        <w:t>（专门面向中小企业采购或预留份额的情况不享受政策优惠扣除）</w:t>
      </w:r>
    </w:p>
    <w:p>
      <w:pPr>
        <w:tabs>
          <w:tab w:val="left" w:pos="900"/>
        </w:tabs>
        <w:spacing w:before="120" w:beforeLines="50" w:line="360" w:lineRule="auto"/>
        <w:rPr>
          <w:rFonts w:hint="eastAsia"/>
          <w:sz w:val="24"/>
          <w:lang w:eastAsia="zh-CN"/>
        </w:rPr>
      </w:pPr>
      <w:r>
        <w:rPr>
          <w:rFonts w:hint="eastAsia"/>
          <w:sz w:val="24"/>
          <w:lang w:eastAsia="zh-CN"/>
        </w:rPr>
        <w:t>1）促进中小企业发展政策：根据《政府采购促进中小企业发展管理办法》的通知（财库〔</w:t>
      </w:r>
      <w:r>
        <w:rPr>
          <w:sz w:val="24"/>
          <w:lang w:eastAsia="zh-CN"/>
        </w:rPr>
        <w:t>2020</w:t>
      </w:r>
      <w:r>
        <w:rPr>
          <w:rFonts w:hint="eastAsia"/>
          <w:sz w:val="24"/>
          <w:lang w:eastAsia="zh-CN"/>
        </w:rPr>
        <w:t>〕</w:t>
      </w:r>
      <w:r>
        <w:rPr>
          <w:sz w:val="24"/>
          <w:lang w:eastAsia="zh-CN"/>
        </w:rPr>
        <w:t>46</w:t>
      </w:r>
      <w:r>
        <w:rPr>
          <w:rFonts w:hint="eastAsia"/>
          <w:sz w:val="24"/>
          <w:lang w:eastAsia="zh-CN"/>
        </w:rPr>
        <w:t>号）规定，本项目供应商所投产品为中小企业制造或提供服务由中小企业承接的，</w:t>
      </w:r>
      <w:r>
        <w:rPr>
          <w:rFonts w:hint="eastAsia"/>
          <w:b/>
          <w:bCs/>
          <w:sz w:val="24"/>
          <w:lang w:eastAsia="zh-CN"/>
        </w:rPr>
        <w:t>供应商应出具招标文件要求的《中小企业声明函》给予证明，否则评标时不予认可</w:t>
      </w:r>
      <w:r>
        <w:rPr>
          <w:rFonts w:hint="eastAsia"/>
          <w:sz w:val="24"/>
          <w:lang w:eastAsia="zh-CN"/>
        </w:rPr>
        <w:t>。</w:t>
      </w:r>
      <w:r>
        <w:rPr>
          <w:rFonts w:hint="eastAsia"/>
          <w:b/>
          <w:bCs/>
          <w:sz w:val="24"/>
          <w:lang w:eastAsia="zh-CN"/>
        </w:rPr>
        <w:t>供应商应对提交的中小企业声明函的真实性负责，</w:t>
      </w:r>
      <w:r>
        <w:rPr>
          <w:rFonts w:hint="eastAsia"/>
          <w:sz w:val="24"/>
          <w:lang w:eastAsia="zh-CN"/>
        </w:rPr>
        <w:t>提交的中小企业声明函不真实的，应承担相应的法律责任。</w:t>
      </w:r>
    </w:p>
    <w:p>
      <w:pPr>
        <w:tabs>
          <w:tab w:val="left" w:pos="900"/>
        </w:tabs>
        <w:spacing w:before="120" w:beforeLines="50" w:line="360" w:lineRule="auto"/>
        <w:rPr>
          <w:rFonts w:hint="eastAsia"/>
          <w:sz w:val="24"/>
          <w:lang w:eastAsia="zh-CN"/>
        </w:rPr>
      </w:pPr>
      <w:r>
        <w:rPr>
          <w:rFonts w:hint="eastAsia"/>
          <w:sz w:val="24"/>
          <w:lang w:eastAsia="zh-CN"/>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pPr>
        <w:tabs>
          <w:tab w:val="left" w:pos="900"/>
        </w:tabs>
        <w:spacing w:before="120" w:beforeLines="50" w:line="360" w:lineRule="auto"/>
        <w:rPr>
          <w:rFonts w:hint="eastAsia"/>
          <w:sz w:val="24"/>
          <w:lang w:eastAsia="zh-CN"/>
        </w:rPr>
      </w:pPr>
      <w:r>
        <w:rPr>
          <w:rFonts w:hint="eastAsia"/>
          <w:sz w:val="24"/>
          <w:lang w:eastAsia="zh-CN"/>
        </w:rPr>
        <w:t>3）促进残疾人就业政府采购政策：根据《三部门联合发布关于促进残疾人就业政府采购政策的通知》（财库〔</w:t>
      </w:r>
      <w:r>
        <w:rPr>
          <w:sz w:val="24"/>
          <w:lang w:eastAsia="zh-CN"/>
        </w:rPr>
        <w:t>2017</w:t>
      </w:r>
      <w:r>
        <w:rPr>
          <w:rFonts w:hint="eastAsia"/>
          <w:sz w:val="24"/>
          <w:lang w:eastAsia="zh-CN"/>
        </w:rPr>
        <w:t>〕</w:t>
      </w:r>
      <w:r>
        <w:rPr>
          <w:sz w:val="24"/>
          <w:lang w:eastAsia="zh-CN"/>
        </w:rPr>
        <w:t>141</w:t>
      </w:r>
      <w:r>
        <w:rPr>
          <w:rFonts w:hint="eastAsia"/>
          <w:sz w:val="24"/>
          <w:lang w:eastAsia="zh-CN"/>
        </w:rPr>
        <w:t>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pPr>
        <w:tabs>
          <w:tab w:val="left" w:pos="900"/>
        </w:tabs>
        <w:spacing w:before="120" w:beforeLines="50" w:line="360" w:lineRule="auto"/>
        <w:rPr>
          <w:rFonts w:hint="eastAsia"/>
          <w:sz w:val="24"/>
          <w:lang w:eastAsia="zh-CN"/>
        </w:rPr>
      </w:pPr>
      <w:r>
        <w:rPr>
          <w:rFonts w:hint="eastAsia"/>
          <w:sz w:val="24"/>
          <w:lang w:eastAsia="zh-CN"/>
        </w:rPr>
        <w:t>4）鼓励节能、环保政策：依据《财政部发展改革委生态环境部市场监管总局关于调整优化节能产品、环境标志产品政府采购执行机制的通知（财库（</w:t>
      </w:r>
      <w:r>
        <w:rPr>
          <w:sz w:val="24"/>
          <w:lang w:eastAsia="zh-CN"/>
        </w:rPr>
        <w:t>2019</w:t>
      </w:r>
      <w:r>
        <w:rPr>
          <w:rFonts w:hint="eastAsia"/>
          <w:sz w:val="24"/>
          <w:lang w:eastAsia="zh-CN"/>
        </w:rPr>
        <w:t>）</w:t>
      </w:r>
      <w:r>
        <w:rPr>
          <w:sz w:val="24"/>
          <w:lang w:eastAsia="zh-CN"/>
        </w:rPr>
        <w:t>9</w:t>
      </w:r>
      <w:r>
        <w:rPr>
          <w:rFonts w:hint="eastAsia"/>
          <w:sz w:val="24"/>
          <w:lang w:eastAsia="zh-CN"/>
        </w:rPr>
        <w:t>号）》执行。</w:t>
      </w:r>
    </w:p>
    <w:p>
      <w:pPr>
        <w:tabs>
          <w:tab w:val="left" w:pos="900"/>
        </w:tabs>
        <w:spacing w:line="360" w:lineRule="auto"/>
        <w:jc w:val="both"/>
        <w:rPr>
          <w:rFonts w:hint="eastAsia"/>
          <w:sz w:val="24"/>
          <w:szCs w:val="24"/>
          <w:lang w:eastAsia="zh-CN"/>
        </w:rPr>
      </w:pPr>
      <w:r>
        <w:rPr>
          <w:rFonts w:hint="eastAsia"/>
          <w:sz w:val="24"/>
          <w:lang w:eastAsia="zh-CN"/>
        </w:rPr>
        <w:t>3</w:t>
      </w:r>
      <w:r>
        <w:rPr>
          <w:sz w:val="24"/>
          <w:lang w:eastAsia="zh-CN"/>
        </w:rPr>
        <w:t>.4采购标的的其他技术、服务等要求；</w:t>
      </w:r>
    </w:p>
    <w:p>
      <w:pPr>
        <w:pStyle w:val="10"/>
        <w:numPr>
          <w:ilvl w:val="0"/>
          <w:numId w:val="1"/>
        </w:numPr>
        <w:spacing w:before="0" w:line="360" w:lineRule="auto"/>
        <w:ind w:lef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项目背景</w:t>
      </w:r>
    </w:p>
    <w:p>
      <w:pPr>
        <w:pStyle w:val="10"/>
        <w:spacing w:before="0" w:line="360" w:lineRule="auto"/>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2021年10月14日，国家卫健委、国家中医药管理局联合印发《公立医院高质量发展促进行动（2021-2025年）》，提出实施医院管理提升行动。提升医院管理精细化水平，建立基于数据循证的医院运营管理决策支持系统。以大数据方法对医院病种组合指数、成本产出、医生绩效等进行从定性到定量评价，提高效率、节约费用。</w:t>
      </w:r>
    </w:p>
    <w:p>
      <w:pPr>
        <w:pStyle w:val="10"/>
        <w:spacing w:before="0" w:line="360" w:lineRule="auto"/>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2024年6月28日，国家卫健委、国家中医药管理局联合印发《关于2024—2025年持续开展“公立医疗机构经济管理年”活动的通知》，活动要求继续坚持“规范管理、提质增效、强化监管”的主题，聚焦发展和安全，持续加强以业财融合为核心的运营管理体系建设，推动公立医疗机构内部流程管理精细化、规范化和信息化，以高水平经济管理支撑保障高质量发展。其中重点任务中第一条为：大力推进公立医疗机构运营管理信息化建设，建立健全以业财融合为核心的运营管理信息集成平台，强化人工智能、大数据、云计算等现代信息技术应用，加快内部各类信息系统互通互联、各类数据共享共用，充分发挥信息化在业务管理与经济管理融合发展中的重要支撑作用，显著提升运营管理精细化水平和效率效益。到2025年底，努力实现全国50%三级公立医院具备和应用运营管理信息集成平台；力争到2027年底，实现全国三级公立医院全覆盖，全国二级公立医院覆盖率明显提升。</w:t>
      </w:r>
    </w:p>
    <w:p>
      <w:pPr>
        <w:pStyle w:val="10"/>
        <w:spacing w:before="0" w:line="360" w:lineRule="auto"/>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医院于2023年至2024年逐步建设了资产管理、预算管理、支出管理、合同管理、绩效管理、供应链管理等运营相关管理系统，在医院运行中全面提升了医院管理的精细化水平。但在运营管理工作中还存在着诸多痛点亟待解决，例如：①存在大量的数据孤岛，在运营数据分析工作中需要大量的人力对不同系统间的数据进行处理、整合；②运营数据直接在临床应用系统进行统计，随着临床应用系统的不断迭代，数据存在着发生变化、统计不准确的情况；③全院基础字典数据未标准化管理，对数据的汇总分析工作产生了大量额外工作；④数据使用的便利度和灵活度不足，临时性的数据分析需要依赖代码开发；⑤未对数据进行资产化管理，指标算法未标准化，会导致不同的数据使用科室获取到不一致的数据。</w:t>
      </w:r>
    </w:p>
    <w:p>
      <w:pPr>
        <w:pStyle w:val="10"/>
        <w:spacing w:before="0" w:line="360" w:lineRule="auto"/>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针对医院运营管理数据利用中的痛点问题，需要通过开展全面的运营数据治理工作、建设运营数据中心和数据分析平台，来提升医院精细化管理水平，充分发挥数据要素的价值。</w:t>
      </w:r>
    </w:p>
    <w:p>
      <w:pPr>
        <w:pStyle w:val="10"/>
        <w:spacing w:before="0" w:line="360" w:lineRule="auto"/>
        <w:ind w:left="0" w:firstLine="480" w:firstLineChars="200"/>
        <w:rPr>
          <w:rFonts w:hint="eastAsia"/>
          <w:color w:val="000000"/>
          <w:sz w:val="24"/>
          <w:szCs w:val="24"/>
          <w:highlight w:val="none"/>
          <w:lang w:val="en-US" w:eastAsia="zh-CN"/>
        </w:rPr>
      </w:pPr>
      <w:r>
        <w:rPr>
          <w:rFonts w:hint="eastAsia"/>
          <w:color w:val="000000"/>
          <w:sz w:val="24"/>
          <w:szCs w:val="24"/>
          <w:highlight w:val="none"/>
          <w:lang w:val="en-US" w:eastAsia="zh-CN"/>
        </w:rPr>
        <w:t>项目情况：</w:t>
      </w:r>
    </w:p>
    <w:p>
      <w:pPr>
        <w:pStyle w:val="10"/>
        <w:spacing w:before="0" w:line="360" w:lineRule="auto"/>
        <w:ind w:left="0" w:firstLine="480" w:firstLineChars="200"/>
        <w:rPr>
          <w:rFonts w:hint="eastAsia" w:asciiTheme="minorEastAsia" w:hAnsiTheme="minorEastAsia" w:eastAsiaTheme="minorEastAsia" w:cstheme="minorEastAsia"/>
          <w:sz w:val="24"/>
          <w:szCs w:val="24"/>
          <w:lang w:eastAsia="zh-CN"/>
        </w:rPr>
      </w:pPr>
      <w:r>
        <w:rPr>
          <w:rFonts w:hint="eastAsia"/>
          <w:color w:val="000000"/>
          <w:sz w:val="24"/>
          <w:szCs w:val="24"/>
          <w:highlight w:val="none"/>
          <w:lang w:eastAsia="zh-CN"/>
        </w:rPr>
        <w:t>数智运营管理平台的建设需以国家行业标准为基础，整合HIS、EMR、财务等多源数据，构建标准化、可扩展的指标体系和数据中心，支持数据的动态采集、智能分析和可视化展示；通过运营报表、数据可视化大屏及移动应用实现多维度监控、实时预警和移动决策，并引入大模型技术优化资源配置与风险预测。平台需具备高性能、完善的数据治理体系及权限管控，确保数据安全与业务灵活性，最终为医院提供覆盖医疗质量、运营效率、成本控制等核心场景的一体化数据支撑，助力精细化管理和科学决策。</w:t>
      </w:r>
    </w:p>
    <w:p>
      <w:pPr>
        <w:pStyle w:val="10"/>
        <w:numPr>
          <w:ilvl w:val="0"/>
          <w:numId w:val="1"/>
        </w:numPr>
        <w:spacing w:before="0" w:line="360" w:lineRule="auto"/>
        <w:ind w:lef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项目目标及要求</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指标体系建设：数智运营管理平台的数据指标体系建设需以国家行业标准为基准，覆盖医疗质量、运营效率、财务成本、资源利用及患者服务等核心维度，构建标准化、多层级、可扩展的指标体系。通过统一指标口径与元数据管理，实现数据动态采集、智能分析与可视化展示，支持从医院整体到科室个人的精细化运营决策，同时需具备灵活扩展能力以适应政策与业务变化，并依托严格的数据治理确保指标准确性，最终为医院提升服务质量、优化资源配置、控制运营成本提供全面数据支撑。</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数据仓库建设：数智运营管理平台的数据仓库建设需整合HIS、EMR、财务等多源异构数据，采用分层架构（ODS/DWD/DWS/ADS）实现从原始数据到主题域（诊疗、财务、资源等）的标准化加工，支持批流一体处理；通过分布式存储、列式优化等技术保障高性能查询，同时建立完善的数据治理体系（权限管控、质量监控），最终构建安全可靠、可扩展的统一数据底座，为医院运营指标计算、多维分析和智能决策提供高质量数据支撑。</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运营报表开发：医院运营报表需覆盖综合监控、科室绩效、DRG分析等核心场景，通过多维度交互、实时预警及移动化推送，实现数据驱动的精准决策；技术上依托数据仓库，结合BI工具与权限管控，确保报表高效、安全、易用。</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数据可视化大屏开发：医疗数据大屏需聚焦核心运营场景，通过专业可视化设计实现关键指标的实时监控与智能预警，具备多维度钻取、多屏联动等交互能力，最终成为医院管理的"数字作战指挥室"，需特别注重医疗行业特性和决策场景的贴合度</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5.移动应用开发：医疗运营移动端需聚焦"实时监控+移动决策"核心场景，通过智能化、场景化的设计，在确保数据安全的前提下，为不同角色提供个性化的数据服务，成为医院管理者"口袋里的运营指挥中心"。</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大模型应用开发：大模型应用将重塑医院运营分析模式，其核心价值在于降低分析门槛、发现深层关联、预判运营风险、优化资源配置，需要通过“场景驱动、小步快跑”的方式选择特定场景实现经济运行预测、预警等功能。</w:t>
      </w:r>
    </w:p>
    <w:p>
      <w:pPr>
        <w:pStyle w:val="10"/>
        <w:numPr>
          <w:ilvl w:val="0"/>
          <w:numId w:val="1"/>
        </w:numPr>
        <w:spacing w:before="0" w:line="360" w:lineRule="auto"/>
        <w:ind w:lef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功能要求</w:t>
      </w:r>
    </w:p>
    <w:tbl>
      <w:tblPr>
        <w:tblStyle w:val="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701"/>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spacing w:line="360" w:lineRule="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01" w:type="dxa"/>
          </w:tcPr>
          <w:p>
            <w:pPr>
              <w:spacing w:line="360" w:lineRule="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功能</w:t>
            </w:r>
          </w:p>
        </w:tc>
        <w:tc>
          <w:tcPr>
            <w:tcW w:w="5670" w:type="dxa"/>
          </w:tcPr>
          <w:p>
            <w:pPr>
              <w:tabs>
                <w:tab w:val="left" w:pos="1681"/>
              </w:tabs>
              <w:spacing w:line="360" w:lineRule="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描述</w:t>
            </w:r>
            <w:r>
              <w:rPr>
                <w:rFonts w:hint="eastAsia" w:asciiTheme="minorEastAsia" w:hAnsiTheme="minorEastAsia" w:eastAsiaTheme="minorEastAsia" w:cstheme="minorEastAsia"/>
                <w:kern w:val="2"/>
                <w:sz w:val="24"/>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Align w:val="center"/>
          </w:tcPr>
          <w:p>
            <w:pPr>
              <w:spacing w:line="360" w:lineRule="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w:t>
            </w:r>
          </w:p>
        </w:tc>
        <w:tc>
          <w:tcPr>
            <w:tcW w:w="1701" w:type="dxa"/>
            <w:vAlign w:val="center"/>
          </w:tcPr>
          <w:p>
            <w:pPr>
              <w:spacing w:line="360" w:lineRule="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平台基础设计及指标体系建设</w:t>
            </w:r>
          </w:p>
        </w:tc>
        <w:tc>
          <w:tcPr>
            <w:tcW w:w="5670" w:type="dxa"/>
            <w:vAlign w:val="center"/>
          </w:tcPr>
          <w:p>
            <w:pPr>
              <w:spacing w:line="360" w:lineRule="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1.对院内现有运营相关信息系统的基础数据治理进行方案设计，制定核算单元、各类字典、统计口径的标准</w:t>
            </w:r>
          </w:p>
          <w:p>
            <w:pPr>
              <w:spacing w:line="360" w:lineRule="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2.指标制定:指标计算逻辑设计、指标下钻层级设计</w:t>
            </w:r>
          </w:p>
          <w:p>
            <w:pPr>
              <w:spacing w:line="360" w:lineRule="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3.集成设计:数据集成接口设计、数据同步频率设计</w:t>
            </w:r>
          </w:p>
          <w:p>
            <w:pPr>
              <w:spacing w:line="360" w:lineRule="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4.用户授权体系设计：对用户权限控制、数据访问权限控制进行设计</w:t>
            </w:r>
          </w:p>
          <w:p>
            <w:pPr>
              <w:spacing w:line="360" w:lineRule="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5.指标列表见附件1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Align w:val="center"/>
          </w:tcPr>
          <w:p>
            <w:pPr>
              <w:spacing w:line="360" w:lineRule="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w:t>
            </w:r>
          </w:p>
        </w:tc>
        <w:tc>
          <w:tcPr>
            <w:tcW w:w="1701" w:type="dxa"/>
            <w:vAlign w:val="center"/>
          </w:tcPr>
          <w:p>
            <w:pPr>
              <w:spacing w:line="360" w:lineRule="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数据中心建设</w:t>
            </w:r>
          </w:p>
        </w:tc>
        <w:tc>
          <w:tcPr>
            <w:tcW w:w="5670" w:type="dxa"/>
            <w:vAlign w:val="center"/>
          </w:tcPr>
          <w:p>
            <w:pPr>
              <w:spacing w:line="360" w:lineRule="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1.数据中心搭建:数据中心部署、数据结构开发（基础数据表大于等于50张）</w:t>
            </w:r>
          </w:p>
          <w:p>
            <w:pPr>
              <w:spacing w:line="360" w:lineRule="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2.数据治理:接口开发、数据抽取工具部署、数据抽取清洗任务开发</w:t>
            </w:r>
          </w:p>
          <w:p>
            <w:pPr>
              <w:spacing w:line="360" w:lineRule="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3.数据验证:数据完整性验证、数据规范性验证、数据中心性能验证、数据可追溯性验证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Align w:val="center"/>
          </w:tcPr>
          <w:p>
            <w:pPr>
              <w:spacing w:line="360" w:lineRule="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w:t>
            </w:r>
          </w:p>
        </w:tc>
        <w:tc>
          <w:tcPr>
            <w:tcW w:w="1701" w:type="dxa"/>
            <w:vAlign w:val="center"/>
          </w:tcPr>
          <w:p>
            <w:pPr>
              <w:spacing w:line="360" w:lineRule="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运营管理报表开发</w:t>
            </w:r>
          </w:p>
        </w:tc>
        <w:tc>
          <w:tcPr>
            <w:tcW w:w="5670" w:type="dxa"/>
            <w:vAlign w:val="center"/>
          </w:tcPr>
          <w:p>
            <w:pPr>
              <w:spacing w:line="360" w:lineRule="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1.每日实时报表开发，包含门诊、住院、体检的基础运行数据</w:t>
            </w:r>
          </w:p>
          <w:p>
            <w:pPr>
              <w:spacing w:line="360" w:lineRule="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2.历史数据报表开发，包含每日、周度、月度、年度等各维度数据</w:t>
            </w:r>
          </w:p>
          <w:p>
            <w:pPr>
              <w:spacing w:line="360" w:lineRule="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3.报表下钻功能开发，报表需包含按照科室、人员等不同分类各种维度下钻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Align w:val="center"/>
          </w:tcPr>
          <w:p>
            <w:pPr>
              <w:spacing w:line="360" w:lineRule="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4</w:t>
            </w:r>
          </w:p>
        </w:tc>
        <w:tc>
          <w:tcPr>
            <w:tcW w:w="1701" w:type="dxa"/>
            <w:vAlign w:val="center"/>
          </w:tcPr>
          <w:p>
            <w:pPr>
              <w:spacing w:line="360" w:lineRule="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数据可视化大屏开发</w:t>
            </w:r>
          </w:p>
        </w:tc>
        <w:tc>
          <w:tcPr>
            <w:tcW w:w="5670" w:type="dxa"/>
            <w:vAlign w:val="center"/>
          </w:tcPr>
          <w:p>
            <w:pPr>
              <w:spacing w:line="360" w:lineRule="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1.基础运行数据:交班数据大屏开发/验证、绩效考核数据大屏开发，提供全院级、科室级数据展示功能</w:t>
            </w:r>
          </w:p>
          <w:p>
            <w:pPr>
              <w:spacing w:line="360" w:lineRule="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2.运营分析数据:运营数据大屏开发、运营数据含收入、成本、预算、效率等主题，并提供全院级、科室级数据展示功能</w:t>
            </w:r>
          </w:p>
          <w:p>
            <w:pPr>
              <w:spacing w:line="360" w:lineRule="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3.国考市考指标监控大屏开发</w:t>
            </w:r>
          </w:p>
          <w:p>
            <w:pPr>
              <w:spacing w:line="360" w:lineRule="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4.数据可视化大屏采用可自由配置的基础布局，包含如柱状图、饼图、折线图、标签、看板、热力图、词云等多种控件，支持控件间的联动操控和层级钻取分析。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Align w:val="center"/>
          </w:tcPr>
          <w:p>
            <w:pPr>
              <w:spacing w:line="360" w:lineRule="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w:t>
            </w:r>
          </w:p>
        </w:tc>
        <w:tc>
          <w:tcPr>
            <w:tcW w:w="1701" w:type="dxa"/>
            <w:vAlign w:val="center"/>
          </w:tcPr>
          <w:p>
            <w:pPr>
              <w:spacing w:line="360" w:lineRule="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移动应用开发</w:t>
            </w:r>
          </w:p>
        </w:tc>
        <w:tc>
          <w:tcPr>
            <w:tcW w:w="5670" w:type="dxa"/>
            <w:vAlign w:val="center"/>
          </w:tcPr>
          <w:p>
            <w:pPr>
              <w:spacing w:line="360" w:lineRule="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1.基础运行数据、运营分析数据需根据使用人员角色，提供不同的移动端展示主题，系统可集成至钉钉、企业微信平台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Align w:val="center"/>
          </w:tcPr>
          <w:p>
            <w:pPr>
              <w:spacing w:line="360" w:lineRule="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6</w:t>
            </w:r>
          </w:p>
        </w:tc>
        <w:tc>
          <w:tcPr>
            <w:tcW w:w="1701" w:type="dxa"/>
            <w:vAlign w:val="center"/>
          </w:tcPr>
          <w:p>
            <w:pPr>
              <w:spacing w:line="360" w:lineRule="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大模型应用开发</w:t>
            </w:r>
          </w:p>
        </w:tc>
        <w:tc>
          <w:tcPr>
            <w:tcW w:w="5670" w:type="dxa"/>
            <w:vAlign w:val="center"/>
          </w:tcPr>
          <w:p>
            <w:pPr>
              <w:spacing w:line="360" w:lineRule="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1.通过本地化大模型获取运营分析平台内的运营数据，通过智能体对数据进行分析</w:t>
            </w:r>
          </w:p>
          <w:p>
            <w:pPr>
              <w:spacing w:line="360" w:lineRule="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2.大模型调优：设计至少5个经典运营管理场景，对大模型进行本地化训练，对特定运营场景提供决策支持</w:t>
            </w:r>
          </w:p>
        </w:tc>
      </w:tr>
    </w:tbl>
    <w:p>
      <w:pPr>
        <w:spacing w:line="360" w:lineRule="auto"/>
        <w:rPr>
          <w:rFonts w:hint="eastAsia" w:asciiTheme="minorEastAsia" w:hAnsiTheme="minorEastAsia" w:eastAsiaTheme="minorEastAsia" w:cstheme="minorEastAsia"/>
          <w:sz w:val="24"/>
          <w:szCs w:val="24"/>
          <w:lang w:eastAsia="zh-CN"/>
        </w:rPr>
      </w:pPr>
    </w:p>
    <w:p>
      <w:pPr>
        <w:pStyle w:val="10"/>
        <w:numPr>
          <w:ilvl w:val="0"/>
          <w:numId w:val="1"/>
        </w:numPr>
        <w:spacing w:before="0" w:line="360" w:lineRule="auto"/>
        <w:ind w:lef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其他技术要求</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（一）软件平台</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1.建设系统的各个模块均为B/S架构，无并发站点限制。</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2.建设系统中移动端需在医院现有企业微信平台上建设。</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3.建设系统支持Linux、Unix、Windows等多操作系统，支持Oracle、Mysql、SQLServer等主要数据库。</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（二）易用性</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软件系统应将实用性与先进性相结合，易于理解掌握、操作简单、提示清晰、逻辑性强、直观简洁等。</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（三）安全性</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具备系统级安全、应用级安全(工作站的权限验证)、操作员的权限验证、数据安全管理机制及备份与恢复等，系统需达到等保2.0三级标准。</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系统级安全：保证系统7*24不间断运行，及数据的安全，权限的安全。</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应用级安全：系统具有抵御外界环境和人为操作失误的能力；有足够的防护措施，防止非法用户侵入；保证不因操作人员的误操作导致系统的崩溃等。</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（四）系统性能</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 一般操作响应时间</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页面加载时间：系统常规页面（如仪表盘、报表列表、菜单导航等）应在≤2秒内完成加载（基于标准网络环境）。</w:t>
      </w:r>
    </w:p>
    <w:p>
      <w:pPr>
        <w:spacing w:line="360" w:lineRule="auto"/>
        <w:rPr>
          <w:rFonts w:hint="eastAsia" w:asciiTheme="minorEastAsia" w:hAnsiTheme="minorEastAsia" w:eastAsiaTheme="minorEastAsia" w:cstheme="minorEastAsia"/>
          <w:sz w:val="24"/>
          <w:szCs w:val="24"/>
          <w:lang w:eastAsia="zh-CN"/>
        </w:rPr>
      </w:pP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交互操作响应：用户点击、筛选、翻页等基础操作的响应时间应≤1秒。</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 统计查询响应时间</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简单查询（单表/轻量级聚合，数据量≤100万行）：结果返回时间应≤3秒。</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复杂查询（多表关联、跨库聚合、高阶计算，数据量≤1亿行）：结果返回时间应≤10秒（支持异步）。</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 并发支持能力</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并发用户数：系统需支持≥500个并发用户同时在线操作（无显著性能下降）。</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峰值并发查询：在100+并发查询场景下，90%的请求响应时间应符合上述统计查询要求。</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资源扩展性：支持动态扩展计算/内存资源，以应对突发性高并发。</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（五）灵活性、扩展性</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系统提供灵活的、开放的软件平台，医院可根据自身业务特点和管理要求自行配置。</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（六）标准化</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系统应满足国际、国家和相关行业标准。</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（七）合法性</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系统必须保证与我国现行的有关法律、法规、规章制度相一致，并能满足各级卫生行政部门对信息的要求。</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（八）基本要求</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操作系统、数据库的选择要求安全、稳定、可靠，并提供技术培训、技术支持与技术服务。</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（九）简化流程</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信息化软件不仅是将单位传统的手工工作计算机化，必须利用管理信息系统的优势，使得医院的管理更加科学化、信息化、规范化、标准化。</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（十）操作系统要求</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服务器可以采用符合OSF的POSIX标准的Unix、Linux、Windows等操作系统。工作站可以采用与服务器相同的操作系统或基于Windows的操作系统。</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（十一）数据库管理系统要求</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1.面向对象的关系数据库或大型关系数据库。</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2.支持主流厂商的硬件及操作系统平台。</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3.支持Unix、Linux 、Windows操作系统，支持B/S的体系结构。</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4.支持关系模型，支持分布式处理。</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5.支持主流的网络协议（TCP/IP、IPX/SPX、NETBIOS及混合协议等）。</w:t>
      </w:r>
    </w:p>
    <w:p>
      <w:pPr>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lang w:eastAsia="zh-CN"/>
        </w:rPr>
        <w:t>五、项目团队要</w:t>
      </w:r>
      <w:r>
        <w:rPr>
          <w:rFonts w:hint="eastAsia" w:asciiTheme="minorEastAsia" w:hAnsiTheme="minorEastAsia" w:eastAsiaTheme="minorEastAsia" w:cstheme="minorEastAsia"/>
          <w:sz w:val="24"/>
          <w:szCs w:val="24"/>
          <w:highlight w:val="none"/>
          <w:lang w:eastAsia="zh-CN"/>
        </w:rPr>
        <w:t>求</w:t>
      </w:r>
    </w:p>
    <w:p>
      <w:pPr>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（一）项目管理团队要求</w:t>
      </w:r>
    </w:p>
    <w:p>
      <w:p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项目管理团队必须任命项目总负责人，项目总负责人负责项目整体协调和资源配置。</w:t>
      </w:r>
    </w:p>
    <w:p>
      <w:pPr>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（二）实施团队要求</w:t>
      </w:r>
    </w:p>
    <w:p>
      <w:p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项目实施团队必须包括系统设计人员、实施人员、开发人员、测试人员，包括人员均须提供大学本科或以上毕业证书，所学专业包括信息管理学科、计算机学科、财务管理学科、医学信息学专业。</w:t>
      </w:r>
    </w:p>
    <w:p>
      <w:pPr>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lang w:eastAsia="zh-CN"/>
        </w:rPr>
        <w:t>六、售后服务</w:t>
      </w:r>
      <w:r>
        <w:rPr>
          <w:rFonts w:hint="eastAsia" w:asciiTheme="minorEastAsia" w:hAnsiTheme="minorEastAsia" w:eastAsiaTheme="minorEastAsia" w:cstheme="minorEastAsia"/>
          <w:sz w:val="24"/>
          <w:szCs w:val="24"/>
          <w:highlight w:val="none"/>
          <w:lang w:eastAsia="zh-CN"/>
        </w:rPr>
        <w:t>要求</w:t>
      </w:r>
    </w:p>
    <w:p>
      <w:p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1.所提供应用软件系统均需提供从验收合格后起3年免费升级和维护，投标人需要提供详细的维护服务方案。</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2.软件故障报修的响应时间：1小时，若电话中无法解决，8小时内到达现场进行维护。</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3.应提供应用软件系统扩充、升级方面的技术支持服务。</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4.在实施及免费维护期内，应满足所提供软件的功能模块客户化需求。</w:t>
      </w:r>
    </w:p>
    <w:p>
      <w:pPr>
        <w:rPr>
          <w:rFonts w:hint="eastAsia" w:ascii="微软雅黑" w:hAnsi="微软雅黑" w:eastAsia="微软雅黑"/>
          <w:b/>
          <w:bCs/>
        </w:rPr>
      </w:pPr>
      <w:r>
        <w:rPr>
          <w:rFonts w:hint="eastAsia" w:ascii="微软雅黑" w:hAnsi="微软雅黑" w:eastAsia="微软雅黑"/>
          <w:b/>
          <w:bCs/>
        </w:rPr>
        <w:t>附件1：指标列表</w:t>
      </w:r>
    </w:p>
    <w:tbl>
      <w:tblPr>
        <w:tblStyle w:val="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3574"/>
        <w:gridCol w:w="850"/>
        <w:gridCol w:w="851"/>
        <w:gridCol w:w="850"/>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7" w:type="dxa"/>
            <w:gridSpan w:val="2"/>
            <w:vMerge w:val="restart"/>
          </w:tcPr>
          <w:p>
            <w:pPr>
              <w:spacing w:line="480" w:lineRule="auto"/>
              <w:jc w:val="center"/>
              <w:rPr>
                <w:rFonts w:hint="eastAsia" w:ascii="微软雅黑" w:hAnsi="微软雅黑" w:eastAsia="微软雅黑"/>
                <w:b/>
                <w:bCs/>
                <w:kern w:val="2"/>
              </w:rPr>
            </w:pPr>
            <w:r>
              <w:rPr>
                <w:rFonts w:hint="eastAsia" w:ascii="微软雅黑" w:hAnsi="微软雅黑" w:eastAsia="微软雅黑"/>
                <w:b/>
                <w:bCs/>
                <w:kern w:val="2"/>
              </w:rPr>
              <w:t>指标项目</w:t>
            </w:r>
          </w:p>
        </w:tc>
        <w:tc>
          <w:tcPr>
            <w:tcW w:w="3339" w:type="dxa"/>
            <w:gridSpan w:val="4"/>
          </w:tcPr>
          <w:p>
            <w:pPr>
              <w:jc w:val="center"/>
              <w:rPr>
                <w:rFonts w:hint="eastAsia" w:ascii="微软雅黑" w:hAnsi="微软雅黑" w:eastAsia="微软雅黑"/>
                <w:b/>
                <w:bCs/>
                <w:kern w:val="2"/>
              </w:rPr>
            </w:pPr>
            <w:r>
              <w:rPr>
                <w:rFonts w:hint="eastAsia" w:ascii="微软雅黑" w:hAnsi="微软雅黑" w:eastAsia="微软雅黑"/>
                <w:b/>
                <w:bCs/>
                <w:kern w:val="2"/>
              </w:rPr>
              <w:t>数据更新频次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7" w:type="dxa"/>
            <w:gridSpan w:val="2"/>
            <w:vMerge w:val="continue"/>
          </w:tcPr>
          <w:p>
            <w:pPr>
              <w:rPr>
                <w:rFonts w:hint="eastAsia" w:ascii="微软雅黑" w:hAnsi="微软雅黑" w:eastAsia="微软雅黑"/>
                <w:b/>
                <w:bCs/>
                <w:kern w:val="2"/>
              </w:rPr>
            </w:pPr>
          </w:p>
        </w:tc>
        <w:tc>
          <w:tcPr>
            <w:tcW w:w="850" w:type="dxa"/>
          </w:tcPr>
          <w:p>
            <w:pPr>
              <w:rPr>
                <w:rFonts w:hint="eastAsia" w:ascii="微软雅黑" w:hAnsi="微软雅黑" w:eastAsia="微软雅黑"/>
                <w:b/>
                <w:bCs/>
                <w:kern w:val="2"/>
              </w:rPr>
            </w:pPr>
            <w:r>
              <w:rPr>
                <w:rFonts w:hint="eastAsia" w:ascii="微软雅黑" w:hAnsi="微软雅黑" w:eastAsia="微软雅黑"/>
                <w:b/>
                <w:bCs/>
                <w:kern w:val="2"/>
              </w:rPr>
              <w:t>每日</w:t>
            </w:r>
          </w:p>
        </w:tc>
        <w:tc>
          <w:tcPr>
            <w:tcW w:w="851" w:type="dxa"/>
          </w:tcPr>
          <w:p>
            <w:pPr>
              <w:rPr>
                <w:rFonts w:hint="eastAsia" w:ascii="微软雅黑" w:hAnsi="微软雅黑" w:eastAsia="微软雅黑"/>
                <w:b/>
                <w:bCs/>
                <w:kern w:val="2"/>
              </w:rPr>
            </w:pPr>
            <w:r>
              <w:rPr>
                <w:rFonts w:hint="eastAsia" w:ascii="微软雅黑" w:hAnsi="微软雅黑" w:eastAsia="微软雅黑"/>
                <w:b/>
                <w:bCs/>
                <w:kern w:val="2"/>
              </w:rPr>
              <w:t>月度</w:t>
            </w:r>
          </w:p>
        </w:tc>
        <w:tc>
          <w:tcPr>
            <w:tcW w:w="850" w:type="dxa"/>
          </w:tcPr>
          <w:p>
            <w:pPr>
              <w:rPr>
                <w:rFonts w:hint="eastAsia" w:ascii="微软雅黑" w:hAnsi="微软雅黑" w:eastAsia="微软雅黑"/>
                <w:b/>
                <w:bCs/>
                <w:kern w:val="2"/>
              </w:rPr>
            </w:pPr>
            <w:r>
              <w:rPr>
                <w:rFonts w:hint="eastAsia" w:ascii="微软雅黑" w:hAnsi="微软雅黑" w:eastAsia="微软雅黑"/>
                <w:b/>
                <w:bCs/>
                <w:kern w:val="2"/>
              </w:rPr>
              <w:t>季度</w:t>
            </w:r>
          </w:p>
        </w:tc>
        <w:tc>
          <w:tcPr>
            <w:tcW w:w="788" w:type="dxa"/>
          </w:tcPr>
          <w:p>
            <w:pPr>
              <w:rPr>
                <w:rFonts w:hint="eastAsia" w:ascii="微软雅黑" w:hAnsi="微软雅黑" w:eastAsia="微软雅黑"/>
                <w:b/>
                <w:bCs/>
                <w:kern w:val="2"/>
              </w:rPr>
            </w:pPr>
            <w:r>
              <w:rPr>
                <w:rFonts w:hint="eastAsia" w:ascii="微软雅黑" w:hAnsi="微软雅黑" w:eastAsia="微软雅黑"/>
                <w:b/>
                <w:bCs/>
                <w:kern w:val="2"/>
              </w:rPr>
              <w:t>年度</w:t>
            </w:r>
          </w:p>
        </w:tc>
      </w:tr>
      <w:tr>
        <w:tblPrEx>
          <w:tblLayout w:type="fixed"/>
          <w:tblCellMar>
            <w:top w:w="0" w:type="dxa"/>
            <w:left w:w="108" w:type="dxa"/>
            <w:bottom w:w="0" w:type="dxa"/>
            <w:right w:w="108" w:type="dxa"/>
          </w:tblCellMar>
        </w:tblPrEx>
        <w:tc>
          <w:tcPr>
            <w:tcW w:w="1383" w:type="dxa"/>
            <w:vMerge w:val="restart"/>
            <w:vAlign w:val="center"/>
          </w:tcPr>
          <w:p>
            <w:pPr>
              <w:rPr>
                <w:rFonts w:hint="eastAsia" w:ascii="微软雅黑" w:hAnsi="微软雅黑" w:eastAsia="微软雅黑"/>
                <w:kern w:val="2"/>
              </w:rPr>
            </w:pPr>
            <w:r>
              <w:rPr>
                <w:rFonts w:hint="eastAsia" w:ascii="微软雅黑" w:hAnsi="微软雅黑" w:eastAsia="微软雅黑"/>
                <w:b/>
                <w:bCs/>
                <w:color w:val="000000"/>
                <w:kern w:val="2"/>
              </w:rPr>
              <w:t>住院指标</w:t>
            </w:r>
          </w:p>
        </w:tc>
        <w:tc>
          <w:tcPr>
            <w:tcW w:w="3574" w:type="dxa"/>
            <w:vAlign w:val="center"/>
          </w:tcPr>
          <w:p>
            <w:pPr>
              <w:rPr>
                <w:rFonts w:hint="eastAsia" w:ascii="微软雅黑" w:hAnsi="微软雅黑" w:eastAsia="微软雅黑"/>
                <w:kern w:val="2"/>
              </w:rPr>
            </w:pPr>
            <w:bookmarkStart w:id="27" w:name="_Hlk195191574"/>
            <w:r>
              <w:rPr>
                <w:rFonts w:hint="eastAsia" w:ascii="微软雅黑" w:hAnsi="微软雅黑" w:eastAsia="微软雅黑"/>
                <w:kern w:val="2"/>
              </w:rPr>
              <w:t>床位数</w:t>
            </w:r>
            <w:bookmarkEnd w:id="27"/>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入院人次</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出院人次</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在院人数</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1" w:type="dxa"/>
            <w:vAlign w:val="center"/>
          </w:tcPr>
          <w:p>
            <w:pPr>
              <w:jc w:val="center"/>
              <w:rPr>
                <w:rFonts w:hint="eastAsia" w:ascii="微软雅黑" w:hAnsi="微软雅黑" w:eastAsia="微软雅黑"/>
                <w:kern w:val="2"/>
              </w:rPr>
            </w:pPr>
          </w:p>
        </w:tc>
        <w:tc>
          <w:tcPr>
            <w:tcW w:w="850" w:type="dxa"/>
            <w:vAlign w:val="center"/>
          </w:tcPr>
          <w:p>
            <w:pPr>
              <w:jc w:val="center"/>
              <w:rPr>
                <w:rFonts w:hint="eastAsia" w:ascii="微软雅黑" w:hAnsi="微软雅黑" w:eastAsia="微软雅黑"/>
                <w:kern w:val="2"/>
              </w:rPr>
            </w:pPr>
          </w:p>
        </w:tc>
        <w:tc>
          <w:tcPr>
            <w:tcW w:w="788" w:type="dxa"/>
            <w:vAlign w:val="center"/>
          </w:tcPr>
          <w:p>
            <w:pPr>
              <w:jc w:val="center"/>
              <w:rPr>
                <w:rFonts w:hint="eastAsia" w:ascii="微软雅黑" w:hAnsi="微软雅黑" w:eastAsia="微软雅黑"/>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空床数</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1" w:type="dxa"/>
            <w:vAlign w:val="center"/>
          </w:tcPr>
          <w:p>
            <w:pPr>
              <w:jc w:val="center"/>
              <w:rPr>
                <w:rFonts w:hint="eastAsia" w:ascii="微软雅黑" w:hAnsi="微软雅黑" w:eastAsia="微软雅黑"/>
                <w:kern w:val="2"/>
              </w:rPr>
            </w:pPr>
          </w:p>
        </w:tc>
        <w:tc>
          <w:tcPr>
            <w:tcW w:w="850" w:type="dxa"/>
            <w:vAlign w:val="center"/>
          </w:tcPr>
          <w:p>
            <w:pPr>
              <w:jc w:val="center"/>
              <w:rPr>
                <w:rFonts w:hint="eastAsia" w:ascii="微软雅黑" w:hAnsi="微软雅黑" w:eastAsia="微软雅黑"/>
                <w:kern w:val="2"/>
              </w:rPr>
            </w:pPr>
          </w:p>
        </w:tc>
        <w:tc>
          <w:tcPr>
            <w:tcW w:w="788" w:type="dxa"/>
            <w:vAlign w:val="center"/>
          </w:tcPr>
          <w:p>
            <w:pPr>
              <w:jc w:val="center"/>
              <w:rPr>
                <w:rFonts w:hint="eastAsia" w:ascii="微软雅黑" w:hAnsi="微软雅黑" w:eastAsia="微软雅黑"/>
                <w:kern w:val="2"/>
              </w:rPr>
            </w:pPr>
          </w:p>
        </w:tc>
      </w:tr>
      <w:tr>
        <w:tblPrEx>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床位使用率</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平均住院日</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占用总床日数</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一级护理数</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特级护理数</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lang w:eastAsia="zh-CN"/>
              </w:rPr>
            </w:pPr>
            <w:r>
              <w:rPr>
                <w:rFonts w:hint="eastAsia" w:ascii="微软雅黑" w:hAnsi="微软雅黑" w:eastAsia="微软雅黑"/>
                <w:kern w:val="2"/>
                <w:lang w:eastAsia="zh-CN"/>
              </w:rPr>
              <w:t>出院总收入（按出院结算口径）</w:t>
            </w:r>
          </w:p>
        </w:tc>
        <w:tc>
          <w:tcPr>
            <w:tcW w:w="850" w:type="dxa"/>
            <w:vAlign w:val="center"/>
          </w:tcPr>
          <w:p>
            <w:pPr>
              <w:jc w:val="center"/>
              <w:rPr>
                <w:rFonts w:hint="eastAsia" w:ascii="微软雅黑" w:hAnsi="微软雅黑" w:eastAsia="微软雅黑"/>
                <w:color w:val="000000"/>
                <w:kern w:val="2"/>
                <w:lang w:eastAsia="zh-CN"/>
              </w:rPr>
            </w:pP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出院患者药品收入</w:t>
            </w:r>
          </w:p>
        </w:tc>
        <w:tc>
          <w:tcPr>
            <w:tcW w:w="850" w:type="dxa"/>
            <w:vAlign w:val="center"/>
          </w:tcPr>
          <w:p>
            <w:pPr>
              <w:jc w:val="center"/>
              <w:rPr>
                <w:rFonts w:hint="eastAsia" w:ascii="微软雅黑" w:hAnsi="微软雅黑" w:eastAsia="微软雅黑"/>
                <w:color w:val="000000"/>
                <w:kern w:val="2"/>
              </w:rPr>
            </w:pP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kern w:val="2"/>
              </w:rPr>
              <w:t>√</w:t>
            </w:r>
          </w:p>
        </w:tc>
      </w:tr>
      <w:tr>
        <w:tblPrEx>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出院例均费用</w:t>
            </w:r>
          </w:p>
        </w:tc>
        <w:tc>
          <w:tcPr>
            <w:tcW w:w="850" w:type="dxa"/>
            <w:vAlign w:val="center"/>
          </w:tcPr>
          <w:p>
            <w:pPr>
              <w:jc w:val="center"/>
              <w:rPr>
                <w:rFonts w:hint="eastAsia" w:ascii="微软雅黑" w:hAnsi="微软雅黑" w:eastAsia="微软雅黑"/>
                <w:color w:val="000000"/>
                <w:kern w:val="2"/>
              </w:rPr>
            </w:pP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出院例均费用/CMI</w:t>
            </w:r>
          </w:p>
        </w:tc>
        <w:tc>
          <w:tcPr>
            <w:tcW w:w="850" w:type="dxa"/>
            <w:vAlign w:val="center"/>
          </w:tcPr>
          <w:p>
            <w:pPr>
              <w:jc w:val="center"/>
              <w:rPr>
                <w:rFonts w:hint="eastAsia" w:ascii="微软雅黑" w:hAnsi="微软雅黑" w:eastAsia="微软雅黑"/>
                <w:color w:val="000000"/>
                <w:kern w:val="2"/>
              </w:rPr>
            </w:pP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出院例均药品费用</w:t>
            </w:r>
          </w:p>
        </w:tc>
        <w:tc>
          <w:tcPr>
            <w:tcW w:w="850" w:type="dxa"/>
            <w:vAlign w:val="center"/>
          </w:tcPr>
          <w:p>
            <w:pPr>
              <w:jc w:val="center"/>
              <w:rPr>
                <w:rFonts w:hint="eastAsia" w:ascii="微软雅黑" w:hAnsi="微软雅黑" w:eastAsia="微软雅黑"/>
                <w:color w:val="000000"/>
                <w:kern w:val="2"/>
              </w:rPr>
            </w:pP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出院药占比</w:t>
            </w:r>
          </w:p>
        </w:tc>
        <w:tc>
          <w:tcPr>
            <w:tcW w:w="850" w:type="dxa"/>
            <w:vAlign w:val="center"/>
          </w:tcPr>
          <w:p>
            <w:pPr>
              <w:jc w:val="center"/>
              <w:rPr>
                <w:rFonts w:hint="eastAsia" w:ascii="微软雅黑" w:hAnsi="微软雅黑" w:eastAsia="微软雅黑"/>
                <w:color w:val="000000"/>
                <w:kern w:val="2"/>
              </w:rPr>
            </w:pP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在院药占比（科室）</w:t>
            </w:r>
          </w:p>
        </w:tc>
        <w:tc>
          <w:tcPr>
            <w:tcW w:w="850" w:type="dxa"/>
            <w:vAlign w:val="center"/>
          </w:tcPr>
          <w:p>
            <w:pPr>
              <w:jc w:val="center"/>
              <w:rPr>
                <w:rFonts w:hint="eastAsia" w:ascii="微软雅黑" w:hAnsi="微软雅黑" w:eastAsia="微软雅黑"/>
                <w:color w:val="000000"/>
                <w:kern w:val="2"/>
              </w:rPr>
            </w:pPr>
          </w:p>
        </w:tc>
        <w:tc>
          <w:tcPr>
            <w:tcW w:w="851" w:type="dxa"/>
            <w:vAlign w:val="center"/>
          </w:tcPr>
          <w:p>
            <w:pPr>
              <w:jc w:val="center"/>
              <w:rPr>
                <w:rFonts w:hint="eastAsia" w:ascii="微软雅黑" w:hAnsi="微软雅黑" w:eastAsia="微软雅黑"/>
                <w:kern w:val="2"/>
              </w:rPr>
            </w:pPr>
          </w:p>
        </w:tc>
        <w:tc>
          <w:tcPr>
            <w:tcW w:w="850" w:type="dxa"/>
            <w:vAlign w:val="center"/>
          </w:tcPr>
          <w:p>
            <w:pPr>
              <w:jc w:val="center"/>
              <w:rPr>
                <w:rFonts w:hint="eastAsia" w:ascii="微软雅黑" w:hAnsi="微软雅黑" w:eastAsia="微软雅黑"/>
                <w:kern w:val="2"/>
              </w:rPr>
            </w:pPr>
          </w:p>
        </w:tc>
        <w:tc>
          <w:tcPr>
            <w:tcW w:w="788" w:type="dxa"/>
            <w:vAlign w:val="center"/>
          </w:tcPr>
          <w:p>
            <w:pPr>
              <w:jc w:val="center"/>
              <w:rPr>
                <w:rFonts w:hint="eastAsia" w:ascii="微软雅黑" w:hAnsi="微软雅黑" w:eastAsia="微软雅黑"/>
                <w:kern w:val="2"/>
              </w:rPr>
            </w:pPr>
          </w:p>
        </w:tc>
      </w:tr>
      <w:tr>
        <w:tblPrEx>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出院科室执行收入</w:t>
            </w:r>
          </w:p>
        </w:tc>
        <w:tc>
          <w:tcPr>
            <w:tcW w:w="850" w:type="dxa"/>
            <w:vAlign w:val="center"/>
          </w:tcPr>
          <w:p>
            <w:pPr>
              <w:jc w:val="center"/>
              <w:rPr>
                <w:rFonts w:hint="eastAsia" w:ascii="微软雅黑" w:hAnsi="微软雅黑" w:eastAsia="微软雅黑"/>
                <w:color w:val="000000"/>
                <w:kern w:val="2"/>
              </w:rPr>
            </w:pP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lang w:eastAsia="zh-CN"/>
              </w:rPr>
            </w:pPr>
            <w:r>
              <w:rPr>
                <w:rFonts w:hint="eastAsia" w:ascii="微软雅黑" w:hAnsi="微软雅黑" w:eastAsia="微软雅黑"/>
                <w:kern w:val="2"/>
                <w:lang w:eastAsia="zh-CN"/>
              </w:rPr>
              <w:t>出院科室开单收入（科室/主诊两个层面）</w:t>
            </w:r>
          </w:p>
        </w:tc>
        <w:tc>
          <w:tcPr>
            <w:tcW w:w="850" w:type="dxa"/>
            <w:vAlign w:val="center"/>
          </w:tcPr>
          <w:p>
            <w:pPr>
              <w:jc w:val="center"/>
              <w:rPr>
                <w:rFonts w:hint="eastAsia" w:ascii="微软雅黑" w:hAnsi="微软雅黑" w:eastAsia="微软雅黑"/>
                <w:color w:val="000000"/>
                <w:kern w:val="2"/>
                <w:lang w:eastAsia="zh-CN"/>
              </w:rPr>
            </w:pP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入院患者收入（按患者入院科室）</w:t>
            </w:r>
          </w:p>
        </w:tc>
        <w:tc>
          <w:tcPr>
            <w:tcW w:w="850" w:type="dxa"/>
            <w:vAlign w:val="center"/>
          </w:tcPr>
          <w:p>
            <w:pPr>
              <w:jc w:val="center"/>
              <w:rPr>
                <w:rFonts w:hint="eastAsia" w:ascii="微软雅黑" w:hAnsi="微软雅黑" w:eastAsia="微软雅黑"/>
                <w:color w:val="000000"/>
                <w:kern w:val="2"/>
              </w:rPr>
            </w:pP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restart"/>
            <w:vAlign w:val="center"/>
          </w:tcPr>
          <w:p>
            <w:pPr>
              <w:rPr>
                <w:rFonts w:hint="eastAsia" w:ascii="微软雅黑" w:hAnsi="微软雅黑" w:eastAsia="微软雅黑"/>
                <w:kern w:val="2"/>
              </w:rPr>
            </w:pPr>
            <w:r>
              <w:rPr>
                <w:rFonts w:hint="eastAsia" w:ascii="微软雅黑" w:hAnsi="微软雅黑" w:eastAsia="微软雅黑"/>
                <w:b/>
                <w:bCs/>
                <w:color w:val="000000"/>
                <w:kern w:val="2"/>
              </w:rPr>
              <w:t>门诊指标</w:t>
            </w:r>
          </w:p>
        </w:tc>
        <w:tc>
          <w:tcPr>
            <w:tcW w:w="3574" w:type="dxa"/>
            <w:vAlign w:val="center"/>
          </w:tcPr>
          <w:p>
            <w:pPr>
              <w:rPr>
                <w:rFonts w:hint="eastAsia" w:ascii="微软雅黑" w:hAnsi="微软雅黑" w:eastAsia="微软雅黑"/>
                <w:kern w:val="2"/>
                <w:lang w:eastAsia="zh-CN"/>
              </w:rPr>
            </w:pPr>
            <w:r>
              <w:rPr>
                <w:rFonts w:hint="eastAsia" w:ascii="微软雅黑" w:hAnsi="微软雅黑" w:eastAsia="微软雅黑"/>
                <w:kern w:val="2"/>
                <w:lang w:eastAsia="zh-CN"/>
              </w:rPr>
              <w:t>门诊人次（分医生个人/科室汇总）</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lang w:eastAsia="zh-CN"/>
              </w:rPr>
            </w:pPr>
            <w:r>
              <w:rPr>
                <w:rFonts w:hint="eastAsia" w:ascii="微软雅黑" w:hAnsi="微软雅黑" w:eastAsia="微软雅黑"/>
                <w:kern w:val="2"/>
                <w:lang w:eastAsia="zh-CN"/>
              </w:rPr>
              <w:t>互联网门诊量（分医生个人/科室汇总）</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急诊人次</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出诊单元数</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单元诊疗量</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lang w:eastAsia="zh-CN"/>
              </w:rPr>
            </w:pPr>
            <w:r>
              <w:rPr>
                <w:rFonts w:hint="eastAsia" w:ascii="微软雅黑" w:hAnsi="微软雅黑" w:eastAsia="微软雅黑"/>
                <w:kern w:val="2"/>
                <w:lang w:eastAsia="zh-CN"/>
              </w:rPr>
              <w:t>门诊开单收入（医师/所在科室两层面）</w:t>
            </w:r>
          </w:p>
        </w:tc>
        <w:tc>
          <w:tcPr>
            <w:tcW w:w="850" w:type="dxa"/>
            <w:vAlign w:val="center"/>
          </w:tcPr>
          <w:p>
            <w:pPr>
              <w:jc w:val="center"/>
              <w:rPr>
                <w:rFonts w:hint="eastAsia" w:ascii="微软雅黑" w:hAnsi="微软雅黑" w:eastAsia="微软雅黑"/>
                <w:color w:val="000000"/>
                <w:kern w:val="2"/>
                <w:lang w:eastAsia="zh-CN"/>
              </w:rPr>
            </w:pP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门诊开单药品收入</w:t>
            </w:r>
          </w:p>
        </w:tc>
        <w:tc>
          <w:tcPr>
            <w:tcW w:w="850" w:type="dxa"/>
            <w:vAlign w:val="center"/>
          </w:tcPr>
          <w:p>
            <w:pPr>
              <w:jc w:val="center"/>
              <w:rPr>
                <w:rFonts w:hint="eastAsia" w:ascii="微软雅黑" w:hAnsi="微软雅黑" w:eastAsia="微软雅黑"/>
                <w:color w:val="000000"/>
                <w:kern w:val="2"/>
              </w:rPr>
            </w:pP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门诊次均费用</w:t>
            </w:r>
          </w:p>
        </w:tc>
        <w:tc>
          <w:tcPr>
            <w:tcW w:w="850" w:type="dxa"/>
            <w:vAlign w:val="center"/>
          </w:tcPr>
          <w:p>
            <w:pPr>
              <w:jc w:val="center"/>
              <w:rPr>
                <w:rFonts w:hint="eastAsia" w:ascii="微软雅黑" w:hAnsi="微软雅黑" w:eastAsia="微软雅黑"/>
                <w:color w:val="000000"/>
                <w:kern w:val="2"/>
              </w:rPr>
            </w:pP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门诊次均药品费用</w:t>
            </w:r>
          </w:p>
        </w:tc>
        <w:tc>
          <w:tcPr>
            <w:tcW w:w="850" w:type="dxa"/>
            <w:vAlign w:val="center"/>
          </w:tcPr>
          <w:p>
            <w:pPr>
              <w:jc w:val="center"/>
              <w:rPr>
                <w:rFonts w:hint="eastAsia" w:ascii="微软雅黑" w:hAnsi="微软雅黑" w:eastAsia="微软雅黑"/>
                <w:color w:val="000000"/>
                <w:kern w:val="2"/>
              </w:rPr>
            </w:pP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门诊药占比</w:t>
            </w:r>
          </w:p>
        </w:tc>
        <w:tc>
          <w:tcPr>
            <w:tcW w:w="850" w:type="dxa"/>
            <w:vAlign w:val="center"/>
          </w:tcPr>
          <w:p>
            <w:pPr>
              <w:jc w:val="center"/>
              <w:rPr>
                <w:rFonts w:hint="eastAsia" w:ascii="微软雅黑" w:hAnsi="微软雅黑" w:eastAsia="微软雅黑"/>
                <w:color w:val="000000"/>
                <w:kern w:val="2"/>
              </w:rPr>
            </w:pP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门诊执行收入</w:t>
            </w:r>
          </w:p>
        </w:tc>
        <w:tc>
          <w:tcPr>
            <w:tcW w:w="850" w:type="dxa"/>
            <w:vAlign w:val="center"/>
          </w:tcPr>
          <w:p>
            <w:pPr>
              <w:jc w:val="center"/>
              <w:rPr>
                <w:rFonts w:hint="eastAsia" w:ascii="微软雅黑" w:hAnsi="微软雅黑" w:eastAsia="微软雅黑"/>
                <w:color w:val="000000"/>
                <w:kern w:val="2"/>
              </w:rPr>
            </w:pP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门诊就诊等待时长</w:t>
            </w:r>
          </w:p>
        </w:tc>
        <w:tc>
          <w:tcPr>
            <w:tcW w:w="850" w:type="dxa"/>
            <w:vAlign w:val="center"/>
          </w:tcPr>
          <w:p>
            <w:pPr>
              <w:jc w:val="center"/>
              <w:rPr>
                <w:rFonts w:hint="eastAsia" w:ascii="微软雅黑" w:hAnsi="微软雅黑" w:eastAsia="微软雅黑"/>
                <w:color w:val="000000"/>
                <w:kern w:val="2"/>
              </w:rPr>
            </w:pP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急诊执行收入</w:t>
            </w:r>
          </w:p>
        </w:tc>
        <w:tc>
          <w:tcPr>
            <w:tcW w:w="850" w:type="dxa"/>
            <w:vAlign w:val="center"/>
          </w:tcPr>
          <w:p>
            <w:pPr>
              <w:jc w:val="center"/>
              <w:rPr>
                <w:rFonts w:hint="eastAsia" w:ascii="微软雅黑" w:hAnsi="微软雅黑" w:eastAsia="微软雅黑"/>
                <w:color w:val="000000"/>
                <w:kern w:val="2"/>
              </w:rPr>
            </w:pP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restart"/>
            <w:vAlign w:val="center"/>
          </w:tcPr>
          <w:p>
            <w:pPr>
              <w:rPr>
                <w:rFonts w:hint="eastAsia" w:ascii="微软雅黑" w:hAnsi="微软雅黑" w:eastAsia="微软雅黑"/>
                <w:kern w:val="2"/>
                <w:lang w:eastAsia="zh-CN"/>
              </w:rPr>
            </w:pPr>
            <w:r>
              <w:rPr>
                <w:rFonts w:hint="eastAsia" w:ascii="微软雅黑" w:hAnsi="微软雅黑" w:eastAsia="微软雅黑"/>
                <w:b/>
                <w:bCs/>
                <w:color w:val="000000"/>
                <w:kern w:val="2"/>
                <w:lang w:eastAsia="zh-CN"/>
              </w:rPr>
              <w:t>手术工作量指标（院内绩效考核）</w:t>
            </w: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手术申请台次</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手术完成台次</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手术完成人次</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各级别手术台次</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主刀医生手术台次</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科室医均手术台次</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总气管镜台次</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无痛气管镜占比</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胃镜申请台次</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r>
      <w:tr>
        <w:tblPrEx>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肠镜申请台次</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胃镜执行台次</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肠镜执行台次</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restart"/>
            <w:vAlign w:val="center"/>
          </w:tcPr>
          <w:p>
            <w:pPr>
              <w:rPr>
                <w:rFonts w:hint="eastAsia" w:ascii="微软雅黑" w:hAnsi="微软雅黑" w:eastAsia="微软雅黑"/>
                <w:kern w:val="2"/>
              </w:rPr>
            </w:pPr>
            <w:r>
              <w:rPr>
                <w:rFonts w:hint="eastAsia" w:ascii="微软雅黑" w:hAnsi="微软雅黑" w:eastAsia="微软雅黑"/>
                <w:b/>
                <w:bCs/>
                <w:color w:val="000000"/>
                <w:kern w:val="2"/>
              </w:rPr>
              <w:t>会诊服务量指标</w:t>
            </w: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申请会诊量</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执行会诊量</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restart"/>
            <w:vAlign w:val="center"/>
          </w:tcPr>
          <w:p>
            <w:pPr>
              <w:rPr>
                <w:rFonts w:hint="eastAsia" w:ascii="微软雅黑" w:hAnsi="微软雅黑" w:eastAsia="微软雅黑"/>
                <w:kern w:val="2"/>
              </w:rPr>
            </w:pPr>
            <w:r>
              <w:rPr>
                <w:rFonts w:hint="eastAsia" w:ascii="微软雅黑" w:hAnsi="微软雅黑" w:eastAsia="微软雅黑"/>
                <w:b/>
                <w:bCs/>
                <w:color w:val="000000"/>
                <w:kern w:val="2"/>
              </w:rPr>
              <w:t>科室收入基础表</w:t>
            </w:r>
          </w:p>
        </w:tc>
        <w:tc>
          <w:tcPr>
            <w:tcW w:w="3574" w:type="dxa"/>
            <w:vAlign w:val="center"/>
          </w:tcPr>
          <w:p>
            <w:pPr>
              <w:rPr>
                <w:rFonts w:hint="eastAsia" w:ascii="微软雅黑" w:hAnsi="微软雅黑" w:eastAsia="微软雅黑"/>
                <w:kern w:val="2"/>
                <w:lang w:eastAsia="zh-CN"/>
              </w:rPr>
            </w:pPr>
            <w:r>
              <w:rPr>
                <w:rFonts w:hint="eastAsia" w:ascii="微软雅黑" w:hAnsi="微软雅黑" w:eastAsia="微软雅黑"/>
                <w:kern w:val="2"/>
                <w:lang w:eastAsia="zh-CN"/>
              </w:rPr>
              <w:t>科室住院收入按收费项目分类统计表（按结算）</w:t>
            </w:r>
          </w:p>
        </w:tc>
        <w:tc>
          <w:tcPr>
            <w:tcW w:w="850" w:type="dxa"/>
            <w:vAlign w:val="center"/>
          </w:tcPr>
          <w:p>
            <w:pPr>
              <w:jc w:val="center"/>
              <w:rPr>
                <w:rFonts w:hint="eastAsia" w:ascii="微软雅黑" w:hAnsi="微软雅黑" w:eastAsia="微软雅黑"/>
                <w:kern w:val="2"/>
                <w:lang w:eastAsia="zh-CN"/>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lang w:eastAsia="zh-CN"/>
              </w:rPr>
            </w:pPr>
            <w:r>
              <w:rPr>
                <w:rFonts w:hint="eastAsia" w:ascii="微软雅黑" w:hAnsi="微软雅黑" w:eastAsia="微软雅黑"/>
                <w:kern w:val="2"/>
                <w:lang w:eastAsia="zh-CN"/>
              </w:rPr>
              <w:t>科室住院收入按收费项目分类统计表（按开单）</w:t>
            </w:r>
          </w:p>
        </w:tc>
        <w:tc>
          <w:tcPr>
            <w:tcW w:w="850" w:type="dxa"/>
            <w:vAlign w:val="center"/>
          </w:tcPr>
          <w:p>
            <w:pPr>
              <w:jc w:val="center"/>
              <w:rPr>
                <w:rFonts w:hint="eastAsia" w:ascii="微软雅黑" w:hAnsi="微软雅黑" w:eastAsia="微软雅黑"/>
                <w:kern w:val="2"/>
                <w:lang w:eastAsia="zh-CN"/>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lang w:eastAsia="zh-CN"/>
              </w:rPr>
            </w:pPr>
            <w:r>
              <w:rPr>
                <w:rFonts w:hint="eastAsia" w:ascii="微软雅黑" w:hAnsi="微软雅黑" w:eastAsia="微软雅黑"/>
                <w:kern w:val="2"/>
                <w:lang w:eastAsia="zh-CN"/>
              </w:rPr>
              <w:t>科室住院收入按收费项目分类统计表（按执行）</w:t>
            </w:r>
          </w:p>
        </w:tc>
        <w:tc>
          <w:tcPr>
            <w:tcW w:w="850" w:type="dxa"/>
            <w:vAlign w:val="center"/>
          </w:tcPr>
          <w:p>
            <w:pPr>
              <w:jc w:val="center"/>
              <w:rPr>
                <w:rFonts w:hint="eastAsia" w:ascii="微软雅黑" w:hAnsi="微软雅黑" w:eastAsia="微软雅黑"/>
                <w:kern w:val="2"/>
                <w:lang w:eastAsia="zh-CN"/>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lang w:eastAsia="zh-CN"/>
              </w:rPr>
            </w:pPr>
            <w:r>
              <w:rPr>
                <w:rFonts w:hint="eastAsia" w:ascii="微软雅黑" w:hAnsi="微软雅黑" w:eastAsia="微软雅黑"/>
                <w:kern w:val="2"/>
                <w:lang w:eastAsia="zh-CN"/>
              </w:rPr>
              <w:t>科室收入按收费项目分类统计表（按医生科室开单）</w:t>
            </w:r>
          </w:p>
        </w:tc>
        <w:tc>
          <w:tcPr>
            <w:tcW w:w="850" w:type="dxa"/>
            <w:vAlign w:val="center"/>
          </w:tcPr>
          <w:p>
            <w:pPr>
              <w:jc w:val="center"/>
              <w:rPr>
                <w:rFonts w:hint="eastAsia" w:ascii="微软雅黑" w:hAnsi="微软雅黑" w:eastAsia="微软雅黑"/>
                <w:kern w:val="2"/>
                <w:lang w:eastAsia="zh-CN"/>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lang w:eastAsia="zh-CN"/>
              </w:rPr>
            </w:pPr>
            <w:r>
              <w:rPr>
                <w:rFonts w:hint="eastAsia" w:ascii="微软雅黑" w:hAnsi="微软雅黑" w:eastAsia="微软雅黑"/>
                <w:kern w:val="2"/>
                <w:lang w:eastAsia="zh-CN"/>
              </w:rPr>
              <w:t>科室收入按收费项目分类统计表（按医生科室执行）</w:t>
            </w:r>
          </w:p>
        </w:tc>
        <w:tc>
          <w:tcPr>
            <w:tcW w:w="850" w:type="dxa"/>
            <w:vAlign w:val="center"/>
          </w:tcPr>
          <w:p>
            <w:pPr>
              <w:jc w:val="center"/>
              <w:rPr>
                <w:rFonts w:hint="eastAsia" w:ascii="微软雅黑" w:hAnsi="微软雅黑" w:eastAsia="微软雅黑"/>
                <w:kern w:val="2"/>
                <w:lang w:eastAsia="zh-CN"/>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Layout w:type="fixed"/>
          <w:tblCellMar>
            <w:top w:w="0" w:type="dxa"/>
            <w:left w:w="108" w:type="dxa"/>
            <w:bottom w:w="0" w:type="dxa"/>
            <w:right w:w="108" w:type="dxa"/>
          </w:tblCellMar>
        </w:tblPrEx>
        <w:tc>
          <w:tcPr>
            <w:tcW w:w="1383" w:type="dxa"/>
            <w:vMerge w:val="restart"/>
            <w:vAlign w:val="center"/>
          </w:tcPr>
          <w:p>
            <w:pPr>
              <w:rPr>
                <w:rFonts w:hint="eastAsia" w:ascii="微软雅黑" w:hAnsi="微软雅黑" w:eastAsia="微软雅黑"/>
                <w:kern w:val="2"/>
                <w:lang w:eastAsia="zh-CN"/>
              </w:rPr>
            </w:pPr>
            <w:r>
              <w:rPr>
                <w:rFonts w:hint="eastAsia" w:ascii="微软雅黑" w:hAnsi="微软雅黑" w:eastAsia="微软雅黑"/>
                <w:b/>
                <w:bCs/>
                <w:color w:val="000000"/>
                <w:kern w:val="2"/>
                <w:lang w:eastAsia="zh-CN"/>
              </w:rPr>
              <w:t>收入指标（开单口径）</w:t>
            </w:r>
          </w:p>
        </w:tc>
        <w:tc>
          <w:tcPr>
            <w:tcW w:w="3574" w:type="dxa"/>
            <w:vAlign w:val="center"/>
          </w:tcPr>
          <w:p>
            <w:pPr>
              <w:rPr>
                <w:rFonts w:hint="eastAsia" w:ascii="微软雅黑" w:hAnsi="微软雅黑" w:eastAsia="微软雅黑"/>
                <w:kern w:val="2"/>
                <w:lang w:eastAsia="zh-CN"/>
              </w:rPr>
            </w:pPr>
            <w:r>
              <w:rPr>
                <w:rFonts w:hint="eastAsia" w:ascii="微软雅黑" w:hAnsi="微软雅黑" w:eastAsia="微软雅黑"/>
                <w:kern w:val="2"/>
                <w:lang w:eastAsia="zh-CN"/>
              </w:rPr>
              <w:t>开单总收入（门诊开单+住院开单）</w:t>
            </w:r>
          </w:p>
        </w:tc>
        <w:tc>
          <w:tcPr>
            <w:tcW w:w="850" w:type="dxa"/>
            <w:vAlign w:val="center"/>
          </w:tcPr>
          <w:p>
            <w:pPr>
              <w:jc w:val="center"/>
              <w:rPr>
                <w:rFonts w:hint="eastAsia" w:ascii="微软雅黑" w:hAnsi="微软雅黑" w:eastAsia="微软雅黑"/>
                <w:kern w:val="2"/>
                <w:lang w:eastAsia="zh-CN"/>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药品收入</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耗材收入</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检查化验收入</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科室可支配收入</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科室医疗服务性收入</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药占比</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耗占比</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可支配收入占比</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医疗服务性收入占比</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Layout w:type="fixed"/>
          <w:tblCellMar>
            <w:top w:w="0" w:type="dxa"/>
            <w:left w:w="108" w:type="dxa"/>
            <w:bottom w:w="0" w:type="dxa"/>
            <w:right w:w="108" w:type="dxa"/>
          </w:tblCellMar>
        </w:tblPrEx>
        <w:tc>
          <w:tcPr>
            <w:tcW w:w="1383" w:type="dxa"/>
            <w:vMerge w:val="restart"/>
            <w:vAlign w:val="center"/>
          </w:tcPr>
          <w:p>
            <w:pPr>
              <w:rPr>
                <w:rFonts w:hint="eastAsia" w:ascii="微软雅黑" w:hAnsi="微软雅黑" w:eastAsia="微软雅黑"/>
                <w:kern w:val="2"/>
                <w:lang w:eastAsia="zh-CN"/>
              </w:rPr>
            </w:pPr>
            <w:r>
              <w:rPr>
                <w:rFonts w:hint="eastAsia" w:ascii="微软雅黑" w:hAnsi="微软雅黑" w:eastAsia="微软雅黑"/>
                <w:b/>
                <w:bCs/>
                <w:color w:val="000000"/>
                <w:kern w:val="2"/>
                <w:lang w:eastAsia="zh-CN"/>
              </w:rPr>
              <w:t>收入指标（执行口径）</w:t>
            </w:r>
          </w:p>
        </w:tc>
        <w:tc>
          <w:tcPr>
            <w:tcW w:w="3574" w:type="dxa"/>
            <w:vAlign w:val="center"/>
          </w:tcPr>
          <w:p>
            <w:pPr>
              <w:rPr>
                <w:rFonts w:hint="eastAsia" w:ascii="微软雅黑" w:hAnsi="微软雅黑" w:eastAsia="微软雅黑"/>
                <w:kern w:val="2"/>
                <w:lang w:eastAsia="zh-CN"/>
              </w:rPr>
            </w:pPr>
            <w:r>
              <w:rPr>
                <w:rFonts w:hint="eastAsia" w:ascii="微软雅黑" w:hAnsi="微软雅黑" w:eastAsia="微软雅黑"/>
                <w:kern w:val="2"/>
                <w:lang w:eastAsia="zh-CN"/>
              </w:rPr>
              <w:t>执行总收入（门诊执行+住院执行）</w:t>
            </w:r>
          </w:p>
        </w:tc>
        <w:tc>
          <w:tcPr>
            <w:tcW w:w="850" w:type="dxa"/>
            <w:vAlign w:val="center"/>
          </w:tcPr>
          <w:p>
            <w:pPr>
              <w:jc w:val="center"/>
              <w:rPr>
                <w:rFonts w:hint="eastAsia" w:ascii="微软雅黑" w:hAnsi="微软雅黑" w:eastAsia="微软雅黑"/>
                <w:kern w:val="2"/>
                <w:lang w:eastAsia="zh-CN"/>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药品收入</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耗材收入</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检查化验收入</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科室可支配收入</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科室医疗服务性收入</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药占比</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耗占比</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可支配收入占比</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医疗服务性收入占比</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Layout w:type="fixed"/>
          <w:tblCellMar>
            <w:top w:w="0" w:type="dxa"/>
            <w:left w:w="108" w:type="dxa"/>
            <w:bottom w:w="0" w:type="dxa"/>
            <w:right w:w="108" w:type="dxa"/>
          </w:tblCellMar>
        </w:tblPrEx>
        <w:tc>
          <w:tcPr>
            <w:tcW w:w="1383" w:type="dxa"/>
            <w:vMerge w:val="restart"/>
            <w:vAlign w:val="center"/>
          </w:tcPr>
          <w:p>
            <w:pPr>
              <w:rPr>
                <w:rFonts w:hint="eastAsia" w:ascii="微软雅黑" w:hAnsi="微软雅黑" w:eastAsia="微软雅黑"/>
                <w:kern w:val="2"/>
              </w:rPr>
            </w:pPr>
            <w:r>
              <w:rPr>
                <w:rFonts w:hint="eastAsia" w:ascii="微软雅黑" w:hAnsi="微软雅黑" w:eastAsia="微软雅黑"/>
                <w:b/>
                <w:bCs/>
                <w:color w:val="000000"/>
                <w:kern w:val="2"/>
              </w:rPr>
              <w:t>绩效指标</w:t>
            </w:r>
          </w:p>
        </w:tc>
        <w:tc>
          <w:tcPr>
            <w:tcW w:w="3574" w:type="dxa"/>
            <w:vAlign w:val="center"/>
          </w:tcPr>
          <w:p>
            <w:pPr>
              <w:rPr>
                <w:rFonts w:hint="eastAsia" w:ascii="微软雅黑" w:hAnsi="微软雅黑" w:eastAsia="微软雅黑"/>
                <w:kern w:val="2"/>
                <w:lang w:eastAsia="zh-CN"/>
              </w:rPr>
            </w:pPr>
            <w:r>
              <w:rPr>
                <w:rFonts w:hint="eastAsia" w:ascii="微软雅黑" w:hAnsi="微软雅黑" w:eastAsia="微软雅黑"/>
                <w:kern w:val="2"/>
                <w:lang w:eastAsia="zh-CN"/>
              </w:rPr>
              <w:t>门诊次均费用/住院次均费用（可按收费项目分类下钻）</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b/>
                <w:bCs/>
                <w:color w:val="000000"/>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床位使用率</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b/>
                <w:bCs/>
                <w:color w:val="000000"/>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平均住院日</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b/>
                <w:bCs/>
                <w:color w:val="000000"/>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收入成本率=科室成本/科室收入</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r>
      <w:tr>
        <w:tblPrEx>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b/>
                <w:bCs/>
                <w:color w:val="000000"/>
                <w:kern w:val="2"/>
              </w:rPr>
            </w:pPr>
          </w:p>
        </w:tc>
        <w:tc>
          <w:tcPr>
            <w:tcW w:w="3574" w:type="dxa"/>
            <w:vAlign w:val="center"/>
          </w:tcPr>
          <w:p>
            <w:pPr>
              <w:rPr>
                <w:rFonts w:hint="eastAsia" w:ascii="微软雅黑" w:hAnsi="微软雅黑" w:eastAsia="微软雅黑"/>
                <w:kern w:val="2"/>
                <w:lang w:eastAsia="zh-CN"/>
              </w:rPr>
            </w:pPr>
            <w:r>
              <w:rPr>
                <w:rFonts w:hint="eastAsia" w:ascii="微软雅黑" w:hAnsi="微软雅黑" w:eastAsia="微软雅黑"/>
                <w:kern w:val="2"/>
                <w:lang w:eastAsia="zh-CN"/>
              </w:rPr>
              <w:t>人均服务量（门诊量+住院床日数x3）/科室人数</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b/>
                <w:bCs/>
                <w:color w:val="000000"/>
                <w:kern w:val="2"/>
              </w:rPr>
            </w:pPr>
          </w:p>
        </w:tc>
        <w:tc>
          <w:tcPr>
            <w:tcW w:w="3574" w:type="dxa"/>
            <w:vAlign w:val="center"/>
          </w:tcPr>
          <w:p>
            <w:pPr>
              <w:rPr>
                <w:rFonts w:hint="eastAsia" w:ascii="微软雅黑" w:hAnsi="微软雅黑" w:eastAsia="微软雅黑"/>
                <w:kern w:val="2"/>
                <w:lang w:eastAsia="zh-CN"/>
              </w:rPr>
            </w:pPr>
            <w:r>
              <w:rPr>
                <w:rFonts w:hint="eastAsia" w:ascii="微软雅黑" w:hAnsi="微软雅黑" w:eastAsia="微软雅黑"/>
                <w:kern w:val="2"/>
                <w:lang w:eastAsia="zh-CN"/>
              </w:rPr>
              <w:t>每名执业医师日均住院工作负担</w:t>
            </w:r>
          </w:p>
        </w:tc>
        <w:tc>
          <w:tcPr>
            <w:tcW w:w="850" w:type="dxa"/>
            <w:vAlign w:val="center"/>
          </w:tcPr>
          <w:p>
            <w:pPr>
              <w:jc w:val="center"/>
              <w:rPr>
                <w:rFonts w:hint="eastAsia" w:ascii="微软雅黑" w:hAnsi="微软雅黑" w:eastAsia="微软雅黑"/>
                <w:kern w:val="2"/>
                <w:lang w:eastAsia="zh-CN"/>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r>
      <w:tr>
        <w:tblPrEx>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b/>
                <w:bCs/>
                <w:color w:val="000000"/>
                <w:kern w:val="2"/>
              </w:rPr>
            </w:pPr>
          </w:p>
        </w:tc>
        <w:tc>
          <w:tcPr>
            <w:tcW w:w="3574" w:type="dxa"/>
            <w:vAlign w:val="center"/>
          </w:tcPr>
          <w:p>
            <w:pPr>
              <w:rPr>
                <w:rFonts w:hint="eastAsia" w:ascii="微软雅黑" w:hAnsi="微软雅黑" w:eastAsia="微软雅黑"/>
                <w:kern w:val="2"/>
                <w:lang w:eastAsia="zh-CN"/>
              </w:rPr>
            </w:pPr>
            <w:r>
              <w:rPr>
                <w:rFonts w:hint="eastAsia" w:ascii="微软雅黑" w:hAnsi="微软雅黑" w:eastAsia="微软雅黑"/>
                <w:kern w:val="2"/>
                <w:lang w:eastAsia="zh-CN"/>
              </w:rPr>
              <w:t>专业技术人员占比（含收入占比）</w:t>
            </w:r>
          </w:p>
        </w:tc>
        <w:tc>
          <w:tcPr>
            <w:tcW w:w="850" w:type="dxa"/>
            <w:vAlign w:val="center"/>
          </w:tcPr>
          <w:p>
            <w:pPr>
              <w:jc w:val="center"/>
              <w:rPr>
                <w:rFonts w:hint="eastAsia" w:ascii="微软雅黑" w:hAnsi="微软雅黑" w:eastAsia="微软雅黑"/>
                <w:kern w:val="2"/>
                <w:lang w:eastAsia="zh-CN"/>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r>
      <w:tr>
        <w:tblPrEx>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b/>
                <w:bCs/>
                <w:color w:val="000000"/>
                <w:kern w:val="2"/>
              </w:rPr>
            </w:pPr>
          </w:p>
        </w:tc>
        <w:tc>
          <w:tcPr>
            <w:tcW w:w="3574" w:type="dxa"/>
            <w:vAlign w:val="center"/>
          </w:tcPr>
          <w:p>
            <w:pPr>
              <w:rPr>
                <w:rFonts w:hint="eastAsia" w:ascii="微软雅黑" w:hAnsi="微软雅黑" w:eastAsia="微软雅黑"/>
                <w:kern w:val="2"/>
                <w:lang w:eastAsia="zh-CN"/>
              </w:rPr>
            </w:pPr>
            <w:r>
              <w:rPr>
                <w:rFonts w:hint="eastAsia" w:ascii="微软雅黑" w:hAnsi="微软雅黑" w:eastAsia="微软雅黑"/>
                <w:kern w:val="2"/>
                <w:lang w:eastAsia="zh-CN"/>
              </w:rPr>
              <w:t>工勤人员占比（含收入占比）</w:t>
            </w:r>
          </w:p>
        </w:tc>
        <w:tc>
          <w:tcPr>
            <w:tcW w:w="850" w:type="dxa"/>
            <w:vAlign w:val="center"/>
          </w:tcPr>
          <w:p>
            <w:pPr>
              <w:jc w:val="center"/>
              <w:rPr>
                <w:rFonts w:hint="eastAsia" w:ascii="微软雅黑" w:hAnsi="微软雅黑" w:eastAsia="微软雅黑"/>
                <w:kern w:val="2"/>
                <w:lang w:eastAsia="zh-CN"/>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b/>
                <w:bCs/>
                <w:color w:val="000000"/>
                <w:kern w:val="2"/>
              </w:rPr>
            </w:pPr>
          </w:p>
        </w:tc>
        <w:tc>
          <w:tcPr>
            <w:tcW w:w="3574" w:type="dxa"/>
            <w:vAlign w:val="center"/>
          </w:tcPr>
          <w:p>
            <w:pPr>
              <w:rPr>
                <w:rFonts w:hint="eastAsia" w:ascii="微软雅黑" w:hAnsi="微软雅黑" w:eastAsia="微软雅黑"/>
                <w:kern w:val="2"/>
                <w:lang w:eastAsia="zh-CN"/>
              </w:rPr>
            </w:pPr>
            <w:r>
              <w:rPr>
                <w:rFonts w:hint="eastAsia" w:ascii="微软雅黑" w:hAnsi="微软雅黑" w:eastAsia="微软雅黑"/>
                <w:kern w:val="2"/>
                <w:lang w:eastAsia="zh-CN"/>
              </w:rPr>
              <w:t>管理人员占比（含收入占比）</w:t>
            </w:r>
          </w:p>
        </w:tc>
        <w:tc>
          <w:tcPr>
            <w:tcW w:w="850" w:type="dxa"/>
            <w:vAlign w:val="center"/>
          </w:tcPr>
          <w:p>
            <w:pPr>
              <w:jc w:val="center"/>
              <w:rPr>
                <w:rFonts w:hint="eastAsia" w:ascii="微软雅黑" w:hAnsi="微软雅黑" w:eastAsia="微软雅黑"/>
                <w:kern w:val="2"/>
                <w:lang w:eastAsia="zh-CN"/>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医疗边际贡献率</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lang w:eastAsia="zh-CN"/>
              </w:rPr>
            </w:pPr>
            <w:r>
              <w:rPr>
                <w:rFonts w:hint="eastAsia" w:ascii="微软雅黑" w:hAnsi="微软雅黑" w:eastAsia="微软雅黑"/>
                <w:kern w:val="2"/>
                <w:lang w:eastAsia="zh-CN"/>
              </w:rPr>
              <w:t>百万元人力成本高质量发展收入</w:t>
            </w:r>
          </w:p>
        </w:tc>
        <w:tc>
          <w:tcPr>
            <w:tcW w:w="850" w:type="dxa"/>
            <w:vAlign w:val="center"/>
          </w:tcPr>
          <w:p>
            <w:pPr>
              <w:jc w:val="center"/>
              <w:rPr>
                <w:rFonts w:hint="eastAsia" w:ascii="微软雅黑" w:hAnsi="微软雅黑" w:eastAsia="微软雅黑"/>
                <w:kern w:val="2"/>
                <w:lang w:eastAsia="zh-CN"/>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r>
      <w:tr>
        <w:tblPrEx>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收支结余率</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流动比率</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科室成本数据</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lang w:eastAsia="zh-CN"/>
              </w:rPr>
            </w:pPr>
            <w:r>
              <w:rPr>
                <w:rFonts w:hint="eastAsia" w:ascii="微软雅黑" w:hAnsi="微软雅黑" w:eastAsia="微软雅黑"/>
                <w:kern w:val="2"/>
                <w:lang w:eastAsia="zh-CN"/>
              </w:rPr>
              <w:t>科室损益=科室收入-科室成本</w:t>
            </w:r>
          </w:p>
        </w:tc>
        <w:tc>
          <w:tcPr>
            <w:tcW w:w="850" w:type="dxa"/>
            <w:vAlign w:val="center"/>
          </w:tcPr>
          <w:p>
            <w:pPr>
              <w:jc w:val="center"/>
              <w:rPr>
                <w:rFonts w:hint="eastAsia" w:ascii="微软雅黑" w:hAnsi="微软雅黑" w:eastAsia="微软雅黑"/>
                <w:kern w:val="2"/>
                <w:lang w:eastAsia="zh-CN"/>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restart"/>
            <w:vAlign w:val="center"/>
          </w:tcPr>
          <w:p>
            <w:pPr>
              <w:rPr>
                <w:rFonts w:hint="eastAsia" w:ascii="微软雅黑" w:hAnsi="微软雅黑" w:eastAsia="微软雅黑"/>
                <w:kern w:val="2"/>
              </w:rPr>
            </w:pPr>
            <w:r>
              <w:rPr>
                <w:rFonts w:hint="eastAsia" w:ascii="微软雅黑" w:hAnsi="微软雅黑" w:eastAsia="微软雅黑"/>
                <w:b/>
                <w:bCs/>
                <w:color w:val="000000"/>
                <w:kern w:val="2"/>
              </w:rPr>
              <w:t>医技指标</w:t>
            </w:r>
          </w:p>
        </w:tc>
        <w:tc>
          <w:tcPr>
            <w:tcW w:w="3574" w:type="dxa"/>
            <w:vAlign w:val="center"/>
          </w:tcPr>
          <w:p>
            <w:pPr>
              <w:rPr>
                <w:rFonts w:hint="eastAsia" w:ascii="微软雅黑" w:hAnsi="微软雅黑" w:eastAsia="微软雅黑"/>
                <w:kern w:val="2"/>
                <w:lang w:eastAsia="zh-CN"/>
              </w:rPr>
            </w:pPr>
            <w:r>
              <w:rPr>
                <w:rFonts w:hint="eastAsia" w:ascii="微软雅黑" w:hAnsi="微软雅黑" w:eastAsia="微软雅黑"/>
                <w:kern w:val="2"/>
                <w:lang w:eastAsia="zh-CN"/>
              </w:rPr>
              <w:t>医技科室绩效=住院执行+门诊执行</w:t>
            </w:r>
          </w:p>
        </w:tc>
        <w:tc>
          <w:tcPr>
            <w:tcW w:w="850" w:type="dxa"/>
            <w:vAlign w:val="center"/>
          </w:tcPr>
          <w:p>
            <w:pPr>
              <w:jc w:val="center"/>
              <w:rPr>
                <w:rFonts w:hint="eastAsia" w:ascii="微软雅黑" w:hAnsi="微软雅黑" w:eastAsia="微软雅黑"/>
                <w:kern w:val="2"/>
                <w:lang w:eastAsia="zh-CN"/>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kern w:val="2"/>
              </w:rPr>
              <w:t>√</w:t>
            </w:r>
          </w:p>
        </w:tc>
      </w:tr>
      <w:tr>
        <w:tblPrEx>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医技成本数据</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收入成本率</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设备使用率</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医技住院执行</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医技门诊执行</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restart"/>
            <w:vAlign w:val="center"/>
          </w:tcPr>
          <w:p>
            <w:pPr>
              <w:rPr>
                <w:rFonts w:hint="eastAsia" w:ascii="微软雅黑" w:hAnsi="微软雅黑" w:eastAsia="微软雅黑"/>
                <w:kern w:val="2"/>
              </w:rPr>
            </w:pPr>
            <w:r>
              <w:rPr>
                <w:rFonts w:hint="eastAsia" w:ascii="微软雅黑" w:hAnsi="微软雅黑" w:eastAsia="微软雅黑"/>
                <w:b/>
                <w:bCs/>
                <w:color w:val="000000"/>
                <w:kern w:val="2"/>
              </w:rPr>
              <w:t>费用控制指标</w:t>
            </w: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药品费用</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b/>
                <w:bCs/>
                <w:color w:val="000000"/>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西药费用</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b/>
                <w:bCs/>
                <w:color w:val="000000"/>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中成药费用</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b/>
                <w:bCs/>
                <w:color w:val="000000"/>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中草药费用</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b/>
                <w:bCs/>
                <w:color w:val="000000"/>
                <w:kern w:val="2"/>
              </w:rPr>
            </w:pPr>
          </w:p>
        </w:tc>
        <w:tc>
          <w:tcPr>
            <w:tcW w:w="3574" w:type="dxa"/>
            <w:vAlign w:val="center"/>
          </w:tcPr>
          <w:p>
            <w:pPr>
              <w:rPr>
                <w:rFonts w:hint="eastAsia" w:ascii="微软雅黑" w:hAnsi="微软雅黑" w:eastAsia="微软雅黑"/>
                <w:kern w:val="2"/>
                <w:lang w:eastAsia="zh-CN"/>
              </w:rPr>
            </w:pPr>
            <w:r>
              <w:rPr>
                <w:rFonts w:hint="eastAsia" w:ascii="微软雅黑" w:hAnsi="微软雅黑" w:eastAsia="微软雅黑"/>
                <w:kern w:val="2"/>
                <w:lang w:eastAsia="zh-CN"/>
              </w:rPr>
              <w:t>耗材费用（可收费耗材费用）</w:t>
            </w:r>
          </w:p>
        </w:tc>
        <w:tc>
          <w:tcPr>
            <w:tcW w:w="850" w:type="dxa"/>
            <w:vAlign w:val="center"/>
          </w:tcPr>
          <w:p>
            <w:pPr>
              <w:jc w:val="center"/>
              <w:rPr>
                <w:rFonts w:hint="eastAsia" w:ascii="微软雅黑" w:hAnsi="微软雅黑" w:eastAsia="微软雅黑"/>
                <w:kern w:val="2"/>
                <w:lang w:eastAsia="zh-CN"/>
              </w:rPr>
            </w:pP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b/>
                <w:bCs/>
                <w:color w:val="000000"/>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检查费用占比</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b/>
                <w:bCs/>
                <w:color w:val="000000"/>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检验费用占比</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lang w:eastAsia="zh-CN"/>
              </w:rPr>
            </w:pPr>
            <w:r>
              <w:rPr>
                <w:rFonts w:ascii="微软雅黑" w:hAnsi="微软雅黑" w:eastAsia="微软雅黑"/>
                <w:kern w:val="2"/>
                <w:lang w:eastAsia="zh-CN"/>
              </w:rPr>
              <w:t>百元医疗收入卫生材料消耗</w:t>
            </w:r>
          </w:p>
        </w:tc>
        <w:tc>
          <w:tcPr>
            <w:tcW w:w="850" w:type="dxa"/>
            <w:vAlign w:val="center"/>
          </w:tcPr>
          <w:p>
            <w:pPr>
              <w:jc w:val="center"/>
              <w:rPr>
                <w:rFonts w:hint="eastAsia" w:ascii="微软雅黑" w:hAnsi="微软雅黑" w:eastAsia="微软雅黑"/>
                <w:kern w:val="2"/>
                <w:lang w:eastAsia="zh-CN"/>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高值耗材费用明细</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高值耗材总额</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高值耗材占比</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高值耗材占比增幅</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restart"/>
            <w:vAlign w:val="center"/>
          </w:tcPr>
          <w:p>
            <w:pPr>
              <w:rPr>
                <w:rFonts w:hint="eastAsia" w:ascii="微软雅黑" w:hAnsi="微软雅黑" w:eastAsia="微软雅黑"/>
                <w:kern w:val="2"/>
              </w:rPr>
            </w:pPr>
            <w:r>
              <w:rPr>
                <w:rFonts w:hint="eastAsia" w:ascii="微软雅黑" w:hAnsi="微软雅黑" w:eastAsia="微软雅黑"/>
                <w:b/>
                <w:bCs/>
                <w:color w:val="000000"/>
                <w:kern w:val="2"/>
              </w:rPr>
              <w:t>医疗质量指标</w:t>
            </w: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抗菌药物使用强度</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抗菌药物使用率</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辅助用药人均额度</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辅助用药占比</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病案首页合格率</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医保拒付金额</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处方合格率</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医嘱合格率</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医疗质控综合评分</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护理质控综合评分</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restart"/>
            <w:vAlign w:val="center"/>
          </w:tcPr>
          <w:p>
            <w:pPr>
              <w:rPr>
                <w:rFonts w:hint="eastAsia" w:ascii="微软雅黑" w:hAnsi="微软雅黑" w:eastAsia="微软雅黑"/>
                <w:kern w:val="2"/>
              </w:rPr>
            </w:pPr>
            <w:r>
              <w:rPr>
                <w:rFonts w:hint="eastAsia" w:ascii="微软雅黑" w:hAnsi="微软雅黑" w:eastAsia="微软雅黑"/>
                <w:b/>
                <w:bCs/>
                <w:color w:val="000000"/>
                <w:kern w:val="2"/>
              </w:rPr>
              <w:t>时间效率指标</w:t>
            </w: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预约24或72小时完成率</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影像检查等待时间</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超声检查等待时间</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检验报告等待时间</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胃镜等待时间</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肠镜等待时间</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Layout w:type="fixed"/>
          <w:tblCellMar>
            <w:top w:w="0" w:type="dxa"/>
            <w:left w:w="108" w:type="dxa"/>
            <w:bottom w:w="0" w:type="dxa"/>
            <w:right w:w="108" w:type="dxa"/>
          </w:tblCellMar>
        </w:tblPrEx>
        <w:tc>
          <w:tcPr>
            <w:tcW w:w="1383" w:type="dxa"/>
            <w:vMerge w:val="restart"/>
            <w:vAlign w:val="center"/>
          </w:tcPr>
          <w:p>
            <w:pPr>
              <w:rPr>
                <w:rFonts w:hint="eastAsia" w:ascii="微软雅黑" w:hAnsi="微软雅黑" w:eastAsia="微软雅黑"/>
                <w:kern w:val="2"/>
              </w:rPr>
            </w:pPr>
            <w:r>
              <w:rPr>
                <w:rFonts w:hint="eastAsia" w:ascii="微软雅黑" w:hAnsi="微软雅黑" w:eastAsia="微软雅黑"/>
                <w:b/>
                <w:bCs/>
                <w:color w:val="000000"/>
                <w:kern w:val="2"/>
              </w:rPr>
              <w:t>病种质量控制</w:t>
            </w: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CMI</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DRG组数</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各RW病例数</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高RW占比</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DRG各组盈余数</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DRG入组盈余率</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时间消耗指数</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费用消耗指数</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restart"/>
            <w:vAlign w:val="center"/>
          </w:tcPr>
          <w:p>
            <w:pPr>
              <w:rPr>
                <w:rFonts w:hint="eastAsia" w:ascii="微软雅黑" w:hAnsi="微软雅黑" w:eastAsia="微软雅黑"/>
                <w:kern w:val="2"/>
              </w:rPr>
            </w:pPr>
            <w:r>
              <w:rPr>
                <w:rFonts w:hint="eastAsia" w:ascii="微软雅黑" w:hAnsi="微软雅黑" w:eastAsia="微软雅黑"/>
                <w:b/>
                <w:bCs/>
                <w:color w:val="000000"/>
                <w:kern w:val="2"/>
              </w:rPr>
              <w:t>体检指标</w:t>
            </w: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体检人次</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体检收入</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体检项目工作量</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体检报告等待时间</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restart"/>
            <w:vAlign w:val="center"/>
          </w:tcPr>
          <w:p>
            <w:pPr>
              <w:rPr>
                <w:rFonts w:hint="eastAsia" w:ascii="微软雅黑" w:hAnsi="微软雅黑" w:eastAsia="微软雅黑"/>
                <w:kern w:val="2"/>
              </w:rPr>
            </w:pPr>
            <w:r>
              <w:rPr>
                <w:rFonts w:hint="eastAsia" w:ascii="微软雅黑" w:hAnsi="微软雅黑" w:eastAsia="微软雅黑"/>
                <w:b/>
                <w:bCs/>
                <w:color w:val="000000"/>
                <w:kern w:val="2"/>
              </w:rPr>
              <w:t>康复指标</w:t>
            </w: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康复治疗收入</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b/>
                <w:bCs/>
                <w:color w:val="000000"/>
                <w:kern w:val="2"/>
              </w:rPr>
            </w:pPr>
          </w:p>
        </w:tc>
        <w:tc>
          <w:tcPr>
            <w:tcW w:w="3574" w:type="dxa"/>
            <w:vAlign w:val="center"/>
          </w:tcPr>
          <w:p>
            <w:pPr>
              <w:rPr>
                <w:rFonts w:hint="eastAsia" w:ascii="微软雅黑" w:hAnsi="微软雅黑" w:eastAsia="微软雅黑"/>
                <w:kern w:val="2"/>
                <w:lang w:eastAsia="zh-CN"/>
              </w:rPr>
            </w:pPr>
            <w:r>
              <w:rPr>
                <w:rFonts w:hint="eastAsia" w:ascii="微软雅黑" w:hAnsi="微软雅黑" w:eastAsia="微软雅黑"/>
                <w:kern w:val="2"/>
                <w:lang w:eastAsia="zh-CN"/>
              </w:rPr>
              <w:t>康复评定及执行率（通过康复绩效系统实现）</w:t>
            </w:r>
          </w:p>
        </w:tc>
        <w:tc>
          <w:tcPr>
            <w:tcW w:w="850" w:type="dxa"/>
            <w:vAlign w:val="center"/>
          </w:tcPr>
          <w:p>
            <w:pPr>
              <w:jc w:val="center"/>
              <w:rPr>
                <w:rFonts w:hint="eastAsia" w:ascii="微软雅黑" w:hAnsi="微软雅黑" w:eastAsia="微软雅黑"/>
                <w:kern w:val="2"/>
                <w:lang w:eastAsia="zh-CN"/>
              </w:rPr>
            </w:pPr>
          </w:p>
        </w:tc>
        <w:tc>
          <w:tcPr>
            <w:tcW w:w="851" w:type="dxa"/>
            <w:vAlign w:val="center"/>
          </w:tcPr>
          <w:p>
            <w:pPr>
              <w:jc w:val="center"/>
              <w:rPr>
                <w:rFonts w:hint="eastAsia" w:ascii="微软雅黑" w:hAnsi="微软雅黑" w:eastAsia="微软雅黑"/>
                <w:color w:val="000000"/>
                <w:kern w:val="2"/>
                <w:lang w:eastAsia="zh-CN"/>
              </w:rPr>
            </w:pPr>
          </w:p>
        </w:tc>
        <w:tc>
          <w:tcPr>
            <w:tcW w:w="850" w:type="dxa"/>
            <w:vAlign w:val="center"/>
          </w:tcPr>
          <w:p>
            <w:pPr>
              <w:jc w:val="center"/>
              <w:rPr>
                <w:rFonts w:hint="eastAsia" w:ascii="微软雅黑" w:hAnsi="微软雅黑" w:eastAsia="微软雅黑"/>
                <w:color w:val="000000"/>
                <w:kern w:val="2"/>
                <w:lang w:eastAsia="zh-CN"/>
              </w:rPr>
            </w:pPr>
          </w:p>
        </w:tc>
        <w:tc>
          <w:tcPr>
            <w:tcW w:w="788" w:type="dxa"/>
            <w:vAlign w:val="center"/>
          </w:tcPr>
          <w:p>
            <w:pPr>
              <w:jc w:val="center"/>
              <w:rPr>
                <w:rFonts w:hint="eastAsia" w:ascii="微软雅黑" w:hAnsi="微软雅黑" w:eastAsia="微软雅黑"/>
                <w:color w:val="000000"/>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lang w:eastAsia="zh-CN"/>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康复治疗工作量</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康复治疗工作效率</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restart"/>
            <w:vAlign w:val="center"/>
          </w:tcPr>
          <w:p>
            <w:pPr>
              <w:rPr>
                <w:rFonts w:hint="eastAsia" w:ascii="微软雅黑" w:hAnsi="微软雅黑" w:eastAsia="微软雅黑"/>
                <w:kern w:val="2"/>
              </w:rPr>
            </w:pPr>
            <w:r>
              <w:rPr>
                <w:rFonts w:hint="eastAsia" w:ascii="微软雅黑" w:hAnsi="微软雅黑" w:eastAsia="微软雅黑"/>
                <w:b/>
                <w:bCs/>
                <w:color w:val="000000"/>
                <w:kern w:val="2"/>
              </w:rPr>
              <w:t>中医类指标</w:t>
            </w: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中医诊疗类项目占比</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中医科药品收入</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中草药收入</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中草药收入占比</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中医干预率</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Align w:val="center"/>
          </w:tcPr>
          <w:p>
            <w:pPr>
              <w:rPr>
                <w:rFonts w:hint="eastAsia" w:ascii="微软雅黑" w:hAnsi="微软雅黑" w:eastAsia="微软雅黑"/>
                <w:kern w:val="2"/>
              </w:rPr>
            </w:pPr>
            <w:r>
              <w:rPr>
                <w:rFonts w:hint="eastAsia" w:ascii="微软雅黑" w:hAnsi="微软雅黑" w:eastAsia="微软雅黑"/>
                <w:b/>
                <w:bCs/>
                <w:color w:val="000000"/>
                <w:kern w:val="2"/>
              </w:rPr>
              <w:t>其他业务指标</w:t>
            </w:r>
          </w:p>
        </w:tc>
        <w:tc>
          <w:tcPr>
            <w:tcW w:w="3574" w:type="dxa"/>
            <w:vAlign w:val="center"/>
          </w:tcPr>
          <w:p>
            <w:pPr>
              <w:rPr>
                <w:rFonts w:hint="eastAsia" w:ascii="微软雅黑" w:hAnsi="微软雅黑" w:eastAsia="微软雅黑"/>
                <w:kern w:val="2"/>
                <w:lang w:eastAsia="zh-CN"/>
              </w:rPr>
            </w:pPr>
            <w:r>
              <w:rPr>
                <w:rFonts w:hint="eastAsia" w:ascii="微软雅黑" w:hAnsi="微软雅黑" w:eastAsia="微软雅黑"/>
                <w:kern w:val="2"/>
                <w:lang w:eastAsia="zh-CN"/>
              </w:rPr>
              <w:t>其他业务指标（非医疗）</w:t>
            </w:r>
          </w:p>
        </w:tc>
        <w:tc>
          <w:tcPr>
            <w:tcW w:w="850" w:type="dxa"/>
            <w:vAlign w:val="center"/>
          </w:tcPr>
          <w:p>
            <w:pPr>
              <w:jc w:val="center"/>
              <w:rPr>
                <w:rFonts w:hint="eastAsia" w:ascii="微软雅黑" w:hAnsi="微软雅黑" w:eastAsia="微软雅黑"/>
                <w:kern w:val="2"/>
                <w:lang w:eastAsia="zh-CN"/>
              </w:rPr>
            </w:pP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restart"/>
            <w:vAlign w:val="center"/>
          </w:tcPr>
          <w:p>
            <w:pPr>
              <w:rPr>
                <w:rFonts w:hint="eastAsia" w:ascii="微软雅黑" w:hAnsi="微软雅黑" w:eastAsia="微软雅黑"/>
                <w:kern w:val="2"/>
              </w:rPr>
            </w:pPr>
            <w:r>
              <w:rPr>
                <w:rFonts w:hint="eastAsia" w:ascii="微软雅黑" w:hAnsi="微软雅黑" w:eastAsia="微软雅黑"/>
                <w:b/>
                <w:bCs/>
                <w:color w:val="000000"/>
                <w:kern w:val="2"/>
              </w:rPr>
              <w:t>预算指标</w:t>
            </w:r>
          </w:p>
        </w:tc>
        <w:tc>
          <w:tcPr>
            <w:tcW w:w="3574" w:type="dxa"/>
            <w:vAlign w:val="center"/>
          </w:tcPr>
          <w:p>
            <w:pPr>
              <w:rPr>
                <w:rFonts w:hint="eastAsia" w:ascii="微软雅黑" w:hAnsi="微软雅黑" w:eastAsia="微软雅黑"/>
                <w:kern w:val="2"/>
                <w:lang w:eastAsia="zh-CN"/>
              </w:rPr>
            </w:pPr>
            <w:r>
              <w:rPr>
                <w:rFonts w:hint="eastAsia" w:ascii="微软雅黑" w:hAnsi="微软雅黑" w:eastAsia="微软雅黑"/>
                <w:kern w:val="2"/>
                <w:lang w:eastAsia="zh-CN"/>
              </w:rPr>
              <w:t>收入预算（院级、科室级）</w:t>
            </w:r>
          </w:p>
        </w:tc>
        <w:tc>
          <w:tcPr>
            <w:tcW w:w="850" w:type="dxa"/>
            <w:vAlign w:val="center"/>
          </w:tcPr>
          <w:p>
            <w:pPr>
              <w:jc w:val="center"/>
              <w:rPr>
                <w:rFonts w:hint="eastAsia" w:ascii="微软雅黑" w:hAnsi="微软雅黑" w:eastAsia="微软雅黑"/>
                <w:kern w:val="2"/>
                <w:lang w:eastAsia="zh-CN"/>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b/>
                <w:bCs/>
                <w:color w:val="000000"/>
                <w:kern w:val="2"/>
              </w:rPr>
            </w:pPr>
          </w:p>
        </w:tc>
        <w:tc>
          <w:tcPr>
            <w:tcW w:w="3574" w:type="dxa"/>
            <w:vAlign w:val="center"/>
          </w:tcPr>
          <w:p>
            <w:pPr>
              <w:rPr>
                <w:rFonts w:hint="eastAsia" w:ascii="微软雅黑" w:hAnsi="微软雅黑" w:eastAsia="微软雅黑"/>
                <w:kern w:val="2"/>
                <w:lang w:eastAsia="zh-CN"/>
              </w:rPr>
            </w:pPr>
            <w:r>
              <w:rPr>
                <w:rFonts w:hint="eastAsia" w:ascii="微软雅黑" w:hAnsi="微软雅黑" w:eastAsia="微软雅黑"/>
                <w:kern w:val="2"/>
                <w:lang w:eastAsia="zh-CN"/>
              </w:rPr>
              <w:t>收入预算执行率（院级、科室级）</w:t>
            </w:r>
          </w:p>
        </w:tc>
        <w:tc>
          <w:tcPr>
            <w:tcW w:w="850" w:type="dxa"/>
            <w:vAlign w:val="center"/>
          </w:tcPr>
          <w:p>
            <w:pPr>
              <w:jc w:val="center"/>
              <w:rPr>
                <w:rFonts w:hint="eastAsia" w:ascii="微软雅黑" w:hAnsi="微软雅黑" w:eastAsia="微软雅黑"/>
                <w:kern w:val="2"/>
                <w:lang w:eastAsia="zh-CN"/>
              </w:rPr>
            </w:pP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r>
      <w:tr>
        <w:tblPrEx>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lang w:eastAsia="zh-CN"/>
              </w:rPr>
            </w:pPr>
            <w:r>
              <w:rPr>
                <w:rFonts w:hint="eastAsia" w:ascii="微软雅黑" w:hAnsi="微软雅黑" w:eastAsia="微软雅黑"/>
                <w:kern w:val="2"/>
                <w:lang w:eastAsia="zh-CN"/>
              </w:rPr>
              <w:t>收入预算分类（医疗服务、药品、耗材等）</w:t>
            </w:r>
          </w:p>
        </w:tc>
        <w:tc>
          <w:tcPr>
            <w:tcW w:w="850" w:type="dxa"/>
            <w:vAlign w:val="center"/>
          </w:tcPr>
          <w:p>
            <w:pPr>
              <w:jc w:val="center"/>
              <w:rPr>
                <w:rFonts w:hint="eastAsia" w:ascii="微软雅黑" w:hAnsi="微软雅黑" w:eastAsia="微软雅黑"/>
                <w:kern w:val="2"/>
                <w:lang w:eastAsia="zh-CN"/>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lang w:eastAsia="zh-CN"/>
              </w:rPr>
            </w:pPr>
            <w:r>
              <w:rPr>
                <w:rFonts w:hint="eastAsia" w:ascii="微软雅黑" w:hAnsi="微软雅黑" w:eastAsia="微软雅黑"/>
                <w:kern w:val="2"/>
                <w:lang w:eastAsia="zh-CN"/>
              </w:rPr>
              <w:t>支出预算（院级、科室级）</w:t>
            </w:r>
          </w:p>
        </w:tc>
        <w:tc>
          <w:tcPr>
            <w:tcW w:w="850" w:type="dxa"/>
            <w:vAlign w:val="center"/>
          </w:tcPr>
          <w:p>
            <w:pPr>
              <w:jc w:val="center"/>
              <w:rPr>
                <w:rFonts w:hint="eastAsia" w:ascii="微软雅黑" w:hAnsi="微软雅黑" w:eastAsia="微软雅黑"/>
                <w:kern w:val="2"/>
                <w:lang w:eastAsia="zh-CN"/>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lang w:eastAsia="zh-CN"/>
              </w:rPr>
            </w:pPr>
            <w:r>
              <w:rPr>
                <w:rFonts w:hint="eastAsia" w:ascii="微软雅黑" w:hAnsi="微软雅黑" w:eastAsia="微软雅黑"/>
                <w:kern w:val="2"/>
                <w:lang w:eastAsia="zh-CN"/>
              </w:rPr>
              <w:t>支出预算执行率（院级、科室级）</w:t>
            </w:r>
          </w:p>
        </w:tc>
        <w:tc>
          <w:tcPr>
            <w:tcW w:w="850" w:type="dxa"/>
            <w:vAlign w:val="center"/>
          </w:tcPr>
          <w:p>
            <w:pPr>
              <w:jc w:val="center"/>
              <w:rPr>
                <w:rFonts w:hint="eastAsia" w:ascii="微软雅黑" w:hAnsi="微软雅黑" w:eastAsia="微软雅黑"/>
                <w:kern w:val="2"/>
                <w:lang w:eastAsia="zh-CN"/>
              </w:rPr>
            </w:pPr>
          </w:p>
        </w:tc>
        <w:tc>
          <w:tcPr>
            <w:tcW w:w="851"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color w:val="000000"/>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lang w:eastAsia="zh-CN"/>
              </w:rPr>
            </w:pPr>
            <w:r>
              <w:rPr>
                <w:rFonts w:hint="eastAsia" w:ascii="微软雅黑" w:hAnsi="微软雅黑" w:eastAsia="微软雅黑"/>
                <w:kern w:val="2"/>
                <w:lang w:eastAsia="zh-CN"/>
              </w:rPr>
              <w:t>支出预算分类（人员支出、药品、耗材、折旧摊销、其他成本）</w:t>
            </w:r>
          </w:p>
        </w:tc>
        <w:tc>
          <w:tcPr>
            <w:tcW w:w="850" w:type="dxa"/>
            <w:vAlign w:val="center"/>
          </w:tcPr>
          <w:p>
            <w:pPr>
              <w:jc w:val="center"/>
              <w:rPr>
                <w:rFonts w:hint="eastAsia" w:ascii="微软雅黑" w:hAnsi="微软雅黑" w:eastAsia="微软雅黑"/>
                <w:kern w:val="2"/>
                <w:lang w:eastAsia="zh-CN"/>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restart"/>
            <w:vAlign w:val="center"/>
          </w:tcPr>
          <w:p>
            <w:pPr>
              <w:rPr>
                <w:rFonts w:hint="eastAsia" w:ascii="微软雅黑" w:hAnsi="微软雅黑" w:eastAsia="微软雅黑"/>
                <w:kern w:val="2"/>
              </w:rPr>
            </w:pPr>
            <w:r>
              <w:rPr>
                <w:rFonts w:hint="eastAsia" w:ascii="微软雅黑" w:hAnsi="微软雅黑" w:eastAsia="微软雅黑"/>
                <w:b/>
                <w:bCs/>
                <w:color w:val="000000"/>
                <w:kern w:val="2"/>
              </w:rPr>
              <w:t>成本指标</w:t>
            </w:r>
          </w:p>
        </w:tc>
        <w:tc>
          <w:tcPr>
            <w:tcW w:w="3574" w:type="dxa"/>
            <w:vAlign w:val="center"/>
          </w:tcPr>
          <w:p>
            <w:pPr>
              <w:rPr>
                <w:rFonts w:hint="eastAsia" w:ascii="微软雅黑" w:hAnsi="微软雅黑" w:eastAsia="微软雅黑"/>
                <w:color w:val="FF0000"/>
                <w:kern w:val="2"/>
                <w:lang w:eastAsia="zh-CN"/>
              </w:rPr>
            </w:pPr>
            <w:r>
              <w:rPr>
                <w:rFonts w:hint="eastAsia" w:ascii="微软雅黑" w:hAnsi="微软雅黑" w:eastAsia="微软雅黑"/>
                <w:kern w:val="2"/>
                <w:lang w:eastAsia="zh-CN"/>
              </w:rPr>
              <w:t>人员成本（工资、绩效（日常绩效、一次性绩效））</w:t>
            </w:r>
          </w:p>
        </w:tc>
        <w:tc>
          <w:tcPr>
            <w:tcW w:w="850" w:type="dxa"/>
            <w:vAlign w:val="center"/>
          </w:tcPr>
          <w:p>
            <w:pPr>
              <w:jc w:val="center"/>
              <w:rPr>
                <w:rFonts w:hint="eastAsia" w:ascii="微软雅黑" w:hAnsi="微软雅黑" w:eastAsia="微软雅黑"/>
                <w:color w:val="FF0000"/>
                <w:kern w:val="2"/>
                <w:lang w:eastAsia="zh-CN"/>
              </w:rPr>
            </w:pPr>
          </w:p>
        </w:tc>
        <w:tc>
          <w:tcPr>
            <w:tcW w:w="851" w:type="dxa"/>
            <w:vAlign w:val="center"/>
          </w:tcPr>
          <w:p>
            <w:pPr>
              <w:jc w:val="center"/>
              <w:rPr>
                <w:rFonts w:hint="eastAsia" w:ascii="微软雅黑" w:hAnsi="微软雅黑" w:eastAsia="微软雅黑"/>
                <w:color w:val="FF0000"/>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color w:val="FF0000"/>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color w:val="FF0000"/>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药品</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lang w:eastAsia="zh-CN"/>
              </w:rPr>
            </w:pPr>
            <w:r>
              <w:rPr>
                <w:rFonts w:hint="eastAsia" w:ascii="微软雅黑" w:hAnsi="微软雅黑" w:eastAsia="微软雅黑"/>
                <w:kern w:val="2"/>
                <w:lang w:eastAsia="zh-CN"/>
              </w:rPr>
              <w:t>耗材（可收费耗材、不可收费耗材）</w:t>
            </w:r>
          </w:p>
        </w:tc>
        <w:tc>
          <w:tcPr>
            <w:tcW w:w="850" w:type="dxa"/>
            <w:vAlign w:val="center"/>
          </w:tcPr>
          <w:p>
            <w:pPr>
              <w:jc w:val="center"/>
              <w:rPr>
                <w:rFonts w:hint="eastAsia" w:ascii="微软雅黑" w:hAnsi="微软雅黑" w:eastAsia="微软雅黑"/>
                <w:kern w:val="2"/>
                <w:lang w:eastAsia="zh-CN"/>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rPr>
            </w:pPr>
            <w:r>
              <w:rPr>
                <w:rFonts w:hint="eastAsia" w:ascii="微软雅黑" w:hAnsi="微软雅黑" w:eastAsia="微软雅黑"/>
                <w:kern w:val="2"/>
              </w:rPr>
              <w:t>折旧摊销</w:t>
            </w:r>
          </w:p>
        </w:tc>
        <w:tc>
          <w:tcPr>
            <w:tcW w:w="850" w:type="dxa"/>
            <w:vAlign w:val="center"/>
          </w:tcPr>
          <w:p>
            <w:pPr>
              <w:jc w:val="center"/>
              <w:rPr>
                <w:rFonts w:hint="eastAsia" w:ascii="微软雅黑" w:hAnsi="微软雅黑" w:eastAsia="微软雅黑"/>
                <w:kern w:val="2"/>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vAlign w:val="center"/>
          </w:tcPr>
          <w:p>
            <w:pPr>
              <w:rPr>
                <w:rFonts w:hint="eastAsia" w:ascii="微软雅黑" w:hAnsi="微软雅黑" w:eastAsia="微软雅黑"/>
                <w:kern w:val="2"/>
              </w:rPr>
            </w:pPr>
          </w:p>
        </w:tc>
        <w:tc>
          <w:tcPr>
            <w:tcW w:w="3574" w:type="dxa"/>
            <w:vAlign w:val="center"/>
          </w:tcPr>
          <w:p>
            <w:pPr>
              <w:rPr>
                <w:rFonts w:hint="eastAsia" w:ascii="微软雅黑" w:hAnsi="微软雅黑" w:eastAsia="微软雅黑"/>
                <w:kern w:val="2"/>
                <w:lang w:eastAsia="zh-CN"/>
              </w:rPr>
            </w:pPr>
            <w:r>
              <w:rPr>
                <w:rFonts w:hint="eastAsia" w:ascii="微软雅黑" w:hAnsi="微软雅黑" w:eastAsia="微软雅黑"/>
                <w:kern w:val="2"/>
                <w:lang w:eastAsia="zh-CN"/>
              </w:rPr>
              <w:t>其他成本（能源消耗、医疗设备维修支出）</w:t>
            </w:r>
          </w:p>
        </w:tc>
        <w:tc>
          <w:tcPr>
            <w:tcW w:w="850" w:type="dxa"/>
            <w:vAlign w:val="center"/>
          </w:tcPr>
          <w:p>
            <w:pPr>
              <w:jc w:val="center"/>
              <w:rPr>
                <w:rFonts w:hint="eastAsia" w:ascii="微软雅黑" w:hAnsi="微软雅黑" w:eastAsia="微软雅黑"/>
                <w:kern w:val="2"/>
                <w:lang w:eastAsia="zh-CN"/>
              </w:rPr>
            </w:pPr>
          </w:p>
        </w:tc>
        <w:tc>
          <w:tcPr>
            <w:tcW w:w="851"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850"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c>
          <w:tcPr>
            <w:tcW w:w="788" w:type="dxa"/>
            <w:vAlign w:val="center"/>
          </w:tcPr>
          <w:p>
            <w:pPr>
              <w:jc w:val="center"/>
              <w:rPr>
                <w:rFonts w:hint="eastAsia" w:ascii="微软雅黑" w:hAnsi="微软雅黑" w:eastAsia="微软雅黑"/>
                <w:kern w:val="2"/>
              </w:rPr>
            </w:pPr>
            <w:r>
              <w:rPr>
                <w:rFonts w:hint="eastAsia" w:ascii="微软雅黑" w:hAnsi="微软雅黑" w:eastAsia="微软雅黑"/>
                <w:color w:val="000000"/>
                <w:kern w:val="2"/>
              </w:rPr>
              <w:t>√</w:t>
            </w: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2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2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2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roma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rebuchet MS">
    <w:panose1 w:val="020B0603020202020204"/>
    <w:charset w:val="00"/>
    <w:family w:val="swiss"/>
    <w:pitch w:val="default"/>
    <w:sig w:usb0="00000687" w:usb1="00000000" w:usb2="00000000" w:usb3="00000000" w:csb0="2000009F" w:csb1="00000000"/>
  </w:font>
  <w:font w:name="Century">
    <w:panose1 w:val="02040604050505020304"/>
    <w:charset w:val="00"/>
    <w:family w:val="roman"/>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Lucida Sans">
    <w:panose1 w:val="020B0602030504020204"/>
    <w:charset w:val="00"/>
    <w:family w:val="swiss"/>
    <w:pitch w:val="default"/>
    <w:sig w:usb0="00000003" w:usb1="00000000" w:usb2="00000000" w:usb3="00000000" w:csb0="20000001" w:csb1="00000000"/>
  </w:font>
  <w:font w:name="Tw Cen MT">
    <w:panose1 w:val="020B0602020104020603"/>
    <w:charset w:val="00"/>
    <w:family w:val="swiss"/>
    <w:pitch w:val="default"/>
    <w:sig w:usb0="00000003" w:usb1="00000000" w:usb2="00000000" w:usb3="00000000" w:csb0="20000003" w:csb1="00000000"/>
  </w:font>
  <w:font w:name="Bookman Old Style">
    <w:panose1 w:val="02050604050505020204"/>
    <w:charset w:val="00"/>
    <w:family w:val="roman"/>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Nyala">
    <w:altName w:val="Yu Gothic UI"/>
    <w:panose1 w:val="02000504070300020003"/>
    <w:charset w:val="00"/>
    <w:family w:val="auto"/>
    <w:pitch w:val="default"/>
    <w:sig w:usb0="00000000" w:usb1="00000000" w:usb2="00000800" w:usb3="00000000" w:csb0="00000093" w:csb1="0000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rebuchet MS">
    <w:panose1 w:val="020B0603020202020204"/>
    <w:charset w:val="00"/>
    <w:family w:val="decorative"/>
    <w:pitch w:val="default"/>
    <w:sig w:usb0="00000687" w:usb1="00000000" w:usb2="00000000" w:usb3="00000000" w:csb0="2000009F" w:csb1="00000000"/>
  </w:font>
  <w:font w:name="Century">
    <w:panose1 w:val="02040604050505020304"/>
    <w:charset w:val="00"/>
    <w:family w:val="modern"/>
    <w:pitch w:val="default"/>
    <w:sig w:usb0="00000287" w:usb1="00000000" w:usb2="00000000" w:usb3="00000000" w:csb0="2000009F" w:csb1="DFD70000"/>
  </w:font>
  <w:font w:name="微软雅黑">
    <w:panose1 w:val="020B0503020204020204"/>
    <w:charset w:val="86"/>
    <w:family w:val="decorative"/>
    <w:pitch w:val="default"/>
    <w:sig w:usb0="80000287" w:usb1="2ACF3C50" w:usb2="00000016" w:usb3="00000000" w:csb0="0004001F" w:csb1="00000000"/>
  </w:font>
  <w:font w:name="Lucida Sans">
    <w:panose1 w:val="020B0602030504020204"/>
    <w:charset w:val="00"/>
    <w:family w:val="decorative"/>
    <w:pitch w:val="default"/>
    <w:sig w:usb0="00000003" w:usb1="00000000" w:usb2="00000000" w:usb3="00000000" w:csb0="20000001" w:csb1="00000000"/>
  </w:font>
  <w:font w:name="Tw Cen MT">
    <w:panose1 w:val="020B0602020104020603"/>
    <w:charset w:val="00"/>
    <w:family w:val="decorative"/>
    <w:pitch w:val="default"/>
    <w:sig w:usb0="00000003" w:usb1="00000000" w:usb2="00000000" w:usb3="00000000" w:csb0="20000003" w:csb1="00000000"/>
  </w:font>
  <w:font w:name="Bookman Old Style">
    <w:panose1 w:val="02050604050505020204"/>
    <w:charset w:val="00"/>
    <w:family w:val="modern"/>
    <w:pitch w:val="default"/>
    <w:sig w:usb0="00000287" w:usb1="00000000" w:usb2="00000000" w:usb3="00000000" w:csb0="2000009F" w:csb1="DFD70000"/>
  </w:font>
  <w:font w:name="仿宋">
    <w:panose1 w:val="02010609060101010101"/>
    <w:charset w:val="86"/>
    <w:family w:val="swiss"/>
    <w:pitch w:val="default"/>
    <w:sig w:usb0="800002BF" w:usb1="38CF7CFA" w:usb2="00000016" w:usb3="00000000" w:csb0="00040001" w:csb1="00000000"/>
  </w:font>
  <w:font w:name="仿宋_GB2312">
    <w:altName w:val="仿宋"/>
    <w:panose1 w:val="00000000000000000000"/>
    <w:charset w:val="86"/>
    <w:family w:val="swiss"/>
    <w:pitch w:val="default"/>
    <w:sig w:usb0="00000000" w:usb1="00000000" w:usb2="00000000" w:usb3="00000000" w:csb0="00040000" w:csb1="00000000"/>
  </w:font>
  <w:font w:name="Trebuchet MS">
    <w:panose1 w:val="020B0603020202020204"/>
    <w:charset w:val="00"/>
    <w:family w:val="roman"/>
    <w:pitch w:val="default"/>
    <w:sig w:usb0="00000687" w:usb1="00000000" w:usb2="00000000" w:usb3="00000000" w:csb0="2000009F" w:csb1="00000000"/>
  </w:font>
  <w:font w:name="Century">
    <w:panose1 w:val="02040604050505020304"/>
    <w:charset w:val="00"/>
    <w:family w:val="swiss"/>
    <w:pitch w:val="default"/>
    <w:sig w:usb0="00000287" w:usb1="00000000" w:usb2="00000000" w:usb3="00000000" w:csb0="2000009F" w:csb1="DFD70000"/>
  </w:font>
  <w:font w:name="微软雅黑">
    <w:panose1 w:val="020B0503020204020204"/>
    <w:charset w:val="86"/>
    <w:family w:val="roman"/>
    <w:pitch w:val="default"/>
    <w:sig w:usb0="80000287" w:usb1="2ACF3C50" w:usb2="00000016" w:usb3="00000000" w:csb0="0004001F" w:csb1="00000000"/>
  </w:font>
  <w:font w:name="Lucida Sans">
    <w:panose1 w:val="020B0602030504020204"/>
    <w:charset w:val="00"/>
    <w:family w:val="roman"/>
    <w:pitch w:val="default"/>
    <w:sig w:usb0="00000003" w:usb1="00000000" w:usb2="00000000" w:usb3="00000000" w:csb0="20000001" w:csb1="00000000"/>
  </w:font>
  <w:font w:name="Tw Cen MT">
    <w:panose1 w:val="020B0602020104020603"/>
    <w:charset w:val="00"/>
    <w:family w:val="roman"/>
    <w:pitch w:val="default"/>
    <w:sig w:usb0="00000003" w:usb1="00000000" w:usb2="00000000" w:usb3="00000000" w:csb0="20000003" w:csb1="00000000"/>
  </w:font>
  <w:font w:name="Bookman Old Style">
    <w:panose1 w:val="02050604050505020204"/>
    <w:charset w:val="00"/>
    <w:family w:val="swiss"/>
    <w:pitch w:val="default"/>
    <w:sig w:usb0="00000287" w:usb1="00000000" w:usb2="00000000" w:usb3="00000000" w:csb0="2000009F" w:csb1="DFD70000"/>
  </w:font>
  <w:font w:name="仿宋">
    <w:panose1 w:val="02010609060101010101"/>
    <w:charset w:val="86"/>
    <w:family w:val="decorative"/>
    <w:pitch w:val="default"/>
    <w:sig w:usb0="800002BF" w:usb1="38CF7CFA" w:usb2="00000016" w:usb3="00000000" w:csb0="00040001" w:csb1="00000000"/>
  </w:font>
  <w:font w:name="Courier New">
    <w:panose1 w:val="02070309020205020404"/>
    <w:charset w:val="00"/>
    <w:family w:val="auto"/>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819494598">
    <w:nsid w:val="30D87EC6"/>
    <w:multiLevelType w:val="multilevel"/>
    <w:tmpl w:val="30D87EC6"/>
    <w:lvl w:ilvl="0" w:tentative="1">
      <w:start w:val="1"/>
      <w:numFmt w:val="japaneseCounting"/>
      <w:lvlText w:val="%1、"/>
      <w:lvlJc w:val="left"/>
      <w:pPr>
        <w:ind w:left="720" w:hanging="720"/>
      </w:pPr>
      <w:rPr>
        <w:rFonts w:hint="default"/>
      </w:rPr>
    </w:lvl>
    <w:lvl w:ilvl="1" w:tentative="1">
      <w:start w:val="1"/>
      <w:numFmt w:val="lowerLetter"/>
      <w:lvlText w:val="%2)"/>
      <w:lvlJc w:val="left"/>
      <w:pPr>
        <w:ind w:left="880" w:hanging="440"/>
      </w:pPr>
    </w:lvl>
    <w:lvl w:ilvl="2" w:tentative="1">
      <w:start w:val="1"/>
      <w:numFmt w:val="lowerRoman"/>
      <w:lvlText w:val="%3."/>
      <w:lvlJc w:val="right"/>
      <w:pPr>
        <w:ind w:left="1320" w:hanging="440"/>
      </w:pPr>
    </w:lvl>
    <w:lvl w:ilvl="3" w:tentative="1">
      <w:start w:val="1"/>
      <w:numFmt w:val="decimal"/>
      <w:lvlText w:val="%4."/>
      <w:lvlJc w:val="left"/>
      <w:pPr>
        <w:ind w:left="1760" w:hanging="440"/>
      </w:pPr>
    </w:lvl>
    <w:lvl w:ilvl="4" w:tentative="1">
      <w:start w:val="1"/>
      <w:numFmt w:val="lowerLetter"/>
      <w:lvlText w:val="%5)"/>
      <w:lvlJc w:val="left"/>
      <w:pPr>
        <w:ind w:left="2200" w:hanging="440"/>
      </w:pPr>
    </w:lvl>
    <w:lvl w:ilvl="5" w:tentative="1">
      <w:start w:val="1"/>
      <w:numFmt w:val="lowerRoman"/>
      <w:lvlText w:val="%6."/>
      <w:lvlJc w:val="right"/>
      <w:pPr>
        <w:ind w:left="2640" w:hanging="440"/>
      </w:pPr>
    </w:lvl>
    <w:lvl w:ilvl="6" w:tentative="1">
      <w:start w:val="1"/>
      <w:numFmt w:val="decimal"/>
      <w:lvlText w:val="%7."/>
      <w:lvlJc w:val="left"/>
      <w:pPr>
        <w:ind w:left="3080" w:hanging="440"/>
      </w:pPr>
    </w:lvl>
    <w:lvl w:ilvl="7" w:tentative="1">
      <w:start w:val="1"/>
      <w:numFmt w:val="lowerLetter"/>
      <w:lvlText w:val="%8)"/>
      <w:lvlJc w:val="left"/>
      <w:pPr>
        <w:ind w:left="3520" w:hanging="440"/>
      </w:pPr>
    </w:lvl>
    <w:lvl w:ilvl="8" w:tentative="1">
      <w:start w:val="1"/>
      <w:numFmt w:val="lowerRoman"/>
      <w:lvlText w:val="%9."/>
      <w:lvlJc w:val="right"/>
      <w:pPr>
        <w:ind w:left="3960" w:hanging="440"/>
      </w:pPr>
    </w:lvl>
  </w:abstractNum>
  <w:num w:numId="1">
    <w:abstractNumId w:val="8194945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3463C1"/>
    <w:rsid w:val="243463C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after="160" w:line="278" w:lineRule="auto"/>
    </w:pPr>
    <w:rPr>
      <w:rFonts w:ascii="宋体" w:hAnsi="宋体" w:eastAsia="宋体" w:cs="宋体"/>
      <w:sz w:val="22"/>
      <w:szCs w:val="22"/>
      <w:lang w:val="en-US" w:eastAsia="en-US" w:bidi="ar-SA"/>
    </w:rPr>
  </w:style>
  <w:style w:type="paragraph" w:styleId="4">
    <w:name w:val="heading 1"/>
    <w:basedOn w:val="1"/>
    <w:next w:val="1"/>
    <w:qFormat/>
    <w:uiPriority w:val="0"/>
    <w:pPr>
      <w:outlineLvl w:val="0"/>
    </w:pPr>
    <w:rPr>
      <w:sz w:val="36"/>
      <w:szCs w:val="36"/>
    </w:rPr>
  </w:style>
  <w:style w:type="paragraph" w:styleId="5">
    <w:name w:val="heading 2"/>
    <w:basedOn w:val="1"/>
    <w:next w:val="1"/>
    <w:unhideWhenUsed/>
    <w:qFormat/>
    <w:uiPriority w:val="0"/>
    <w:pPr>
      <w:ind w:left="121"/>
      <w:outlineLvl w:val="1"/>
    </w:pPr>
    <w:rPr>
      <w:sz w:val="32"/>
      <w:szCs w:val="32"/>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uiPriority w:val="0"/>
    <w:rPr>
      <w:sz w:val="24"/>
      <w:szCs w:val="24"/>
    </w:rPr>
  </w:style>
  <w:style w:type="paragraph" w:customStyle="1" w:styleId="3">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styleId="6">
    <w:name w:val="Title"/>
    <w:basedOn w:val="1"/>
    <w:qFormat/>
    <w:uiPriority w:val="0"/>
    <w:pPr>
      <w:jc w:val="center"/>
      <w:outlineLvl w:val="0"/>
    </w:pPr>
    <w:rPr>
      <w:b/>
      <w:sz w:val="32"/>
      <w:szCs w:val="20"/>
    </w:rPr>
  </w:style>
  <w:style w:type="table" w:styleId="9">
    <w:name w:val="Table Grid"/>
    <w:basedOn w:val="8"/>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列表段落1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2025-06-27T05:56:00Z</dcterms:created>
  <dc:creator>wangjingxuan</dc:creator>
  <cp:lastModifiedBy>wangjingxuan</cp:lastModifiedBy>
  <dcterms:modified xsi:type="dcterms:W3CDTF">2025-06-27T05:56:19Z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