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40A72">
      <w:pPr>
        <w:spacing w:line="360" w:lineRule="auto"/>
        <w:jc w:val="center"/>
        <w:outlineLvl w:val="0"/>
        <w:rPr>
          <w:sz w:val="24"/>
        </w:rPr>
      </w:pPr>
      <w:bookmarkStart w:id="2" w:name="_GoBack"/>
      <w:bookmarkEnd w:id="2"/>
      <w:bookmarkStart w:id="0" w:name="_Toc99301424"/>
      <w:bookmarkStart w:id="1" w:name="_Toc4364"/>
      <w:r>
        <w:rPr>
          <w:b/>
          <w:sz w:val="36"/>
          <w:szCs w:val="36"/>
        </w:rPr>
        <w:t xml:space="preserve">   采购需求</w:t>
      </w:r>
      <w:bookmarkEnd w:id="0"/>
      <w:bookmarkEnd w:id="1"/>
    </w:p>
    <w:p w14:paraId="01FCB757">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14:paraId="445E5221">
      <w:pPr>
        <w:spacing w:line="360" w:lineRule="auto"/>
        <w:contextualSpacing/>
        <w:rPr>
          <w:bCs/>
          <w:sz w:val="24"/>
        </w:rPr>
      </w:pPr>
      <w:r>
        <w:rPr>
          <w:bCs/>
          <w:sz w:val="24"/>
        </w:rPr>
        <w:t>1. 采购标的</w:t>
      </w:r>
    </w:p>
    <w:tbl>
      <w:tblPr>
        <w:tblStyle w:val="3"/>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348"/>
        <w:gridCol w:w="1488"/>
        <w:gridCol w:w="1897"/>
      </w:tblGrid>
      <w:tr w14:paraId="2397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44" w:type="dxa"/>
            <w:shd w:val="clear" w:color="auto" w:fill="auto"/>
            <w:vAlign w:val="center"/>
          </w:tcPr>
          <w:p w14:paraId="41EF5522">
            <w:pPr>
              <w:widowControl/>
              <w:spacing w:before="156"/>
              <w:jc w:val="center"/>
              <w:rPr>
                <w:rFonts w:ascii="宋体" w:hAnsi="宋体" w:cs="宋体"/>
                <w:b/>
                <w:bCs/>
                <w:kern w:val="0"/>
                <w:sz w:val="24"/>
              </w:rPr>
            </w:pPr>
            <w:r>
              <w:rPr>
                <w:rFonts w:hint="eastAsia" w:ascii="宋体" w:hAnsi="宋体" w:cs="宋体"/>
                <w:b/>
                <w:bCs/>
                <w:kern w:val="0"/>
                <w:sz w:val="24"/>
              </w:rPr>
              <w:t>包号</w:t>
            </w:r>
          </w:p>
        </w:tc>
        <w:tc>
          <w:tcPr>
            <w:tcW w:w="3348" w:type="dxa"/>
            <w:shd w:val="clear" w:color="000000" w:fill="FFFFFF"/>
            <w:vAlign w:val="center"/>
          </w:tcPr>
          <w:p w14:paraId="72BCFF05">
            <w:pPr>
              <w:widowControl/>
              <w:spacing w:before="156"/>
              <w:jc w:val="center"/>
              <w:rPr>
                <w:rFonts w:ascii="宋体" w:hAnsi="宋体" w:cs="宋体"/>
                <w:b/>
                <w:bCs/>
                <w:kern w:val="0"/>
                <w:sz w:val="24"/>
              </w:rPr>
            </w:pPr>
            <w:r>
              <w:rPr>
                <w:rFonts w:hint="eastAsia" w:ascii="宋体" w:hAnsi="宋体" w:cs="宋体"/>
                <w:b/>
                <w:bCs/>
                <w:kern w:val="0"/>
                <w:sz w:val="24"/>
              </w:rPr>
              <w:t>标的名称</w:t>
            </w:r>
          </w:p>
        </w:tc>
        <w:tc>
          <w:tcPr>
            <w:tcW w:w="1488" w:type="dxa"/>
            <w:shd w:val="clear" w:color="000000" w:fill="FFFFFF"/>
            <w:vAlign w:val="center"/>
          </w:tcPr>
          <w:p w14:paraId="4FD4C2C2">
            <w:pPr>
              <w:widowControl/>
              <w:jc w:val="center"/>
              <w:rPr>
                <w:rFonts w:ascii="宋体" w:hAnsi="宋体" w:cs="宋体"/>
                <w:b/>
                <w:bCs/>
                <w:kern w:val="0"/>
                <w:sz w:val="24"/>
              </w:rPr>
            </w:pPr>
            <w:r>
              <w:rPr>
                <w:rFonts w:hint="eastAsia" w:ascii="宋体" w:hAnsi="宋体" w:cs="宋体"/>
                <w:b/>
                <w:bCs/>
                <w:kern w:val="0"/>
                <w:sz w:val="24"/>
              </w:rPr>
              <w:t>数量</w:t>
            </w:r>
          </w:p>
        </w:tc>
        <w:tc>
          <w:tcPr>
            <w:tcW w:w="1897" w:type="dxa"/>
            <w:shd w:val="clear" w:color="000000" w:fill="FFFFFF"/>
            <w:vAlign w:val="center"/>
          </w:tcPr>
          <w:p w14:paraId="6562EBF6">
            <w:pPr>
              <w:widowControl/>
              <w:jc w:val="center"/>
              <w:rPr>
                <w:rFonts w:ascii="宋体" w:hAnsi="宋体" w:cs="宋体"/>
                <w:b/>
                <w:bCs/>
                <w:kern w:val="0"/>
                <w:sz w:val="24"/>
              </w:rPr>
            </w:pPr>
            <w:r>
              <w:rPr>
                <w:rFonts w:hint="eastAsia" w:ascii="宋体" w:hAnsi="宋体" w:cs="宋体"/>
                <w:b/>
                <w:bCs/>
                <w:kern w:val="0"/>
                <w:sz w:val="24"/>
              </w:rPr>
              <w:t>是否允许采购</w:t>
            </w:r>
          </w:p>
          <w:p w14:paraId="38BC3A28">
            <w:pPr>
              <w:widowControl/>
              <w:jc w:val="center"/>
              <w:rPr>
                <w:rFonts w:ascii="宋体" w:hAnsi="宋体" w:cs="宋体"/>
                <w:b/>
                <w:bCs/>
                <w:kern w:val="0"/>
                <w:sz w:val="24"/>
              </w:rPr>
            </w:pPr>
            <w:r>
              <w:rPr>
                <w:rFonts w:hint="eastAsia" w:ascii="宋体" w:hAnsi="宋体" w:cs="宋体"/>
                <w:b/>
                <w:bCs/>
                <w:kern w:val="0"/>
                <w:sz w:val="24"/>
              </w:rPr>
              <w:t>进口产品</w:t>
            </w:r>
          </w:p>
        </w:tc>
      </w:tr>
      <w:tr w14:paraId="3705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restart"/>
            <w:shd w:val="clear" w:color="auto" w:fill="auto"/>
            <w:vAlign w:val="center"/>
          </w:tcPr>
          <w:p w14:paraId="41C64E62">
            <w:pPr>
              <w:widowControl/>
              <w:jc w:val="center"/>
              <w:rPr>
                <w:rFonts w:hint="eastAsia" w:ascii="宋体" w:hAnsi="宋体" w:cs="宋体"/>
                <w:kern w:val="0"/>
                <w:sz w:val="24"/>
              </w:rPr>
            </w:pPr>
            <w:r>
              <w:rPr>
                <w:rFonts w:hint="eastAsia" w:ascii="宋体" w:hAnsi="宋体" w:cs="宋体"/>
                <w:kern w:val="0"/>
                <w:sz w:val="24"/>
              </w:rPr>
              <w:t>1</w:t>
            </w:r>
          </w:p>
        </w:tc>
        <w:tc>
          <w:tcPr>
            <w:tcW w:w="3348" w:type="dxa"/>
            <w:shd w:val="clear" w:color="auto" w:fill="auto"/>
            <w:vAlign w:val="center"/>
          </w:tcPr>
          <w:p w14:paraId="411A80DF">
            <w:pPr>
              <w:widowControl/>
              <w:jc w:val="center"/>
              <w:rPr>
                <w:rFonts w:hint="eastAsia" w:ascii="宋体" w:hAnsi="宋体" w:cs="宋体"/>
                <w:kern w:val="0"/>
                <w:sz w:val="24"/>
              </w:rPr>
            </w:pPr>
            <w:r>
              <w:rPr>
                <w:rFonts w:hint="eastAsia" w:ascii="宋体" w:hAnsi="宋体" w:cs="宋体"/>
                <w:kern w:val="0"/>
                <w:sz w:val="24"/>
              </w:rPr>
              <w:t>心排量监护仪</w:t>
            </w:r>
          </w:p>
        </w:tc>
        <w:tc>
          <w:tcPr>
            <w:tcW w:w="1488" w:type="dxa"/>
            <w:shd w:val="clear" w:color="auto" w:fill="auto"/>
            <w:vAlign w:val="center"/>
          </w:tcPr>
          <w:p w14:paraId="0A379EB4">
            <w:pPr>
              <w:widowControl/>
              <w:jc w:val="center"/>
              <w:rPr>
                <w:rFonts w:hint="eastAsia" w:ascii="宋体" w:hAnsi="宋体" w:cs="宋体"/>
                <w:kern w:val="0"/>
                <w:sz w:val="24"/>
              </w:rPr>
            </w:pPr>
            <w:r>
              <w:rPr>
                <w:rFonts w:hint="eastAsia" w:ascii="宋体" w:hAnsi="宋体" w:cs="宋体"/>
                <w:kern w:val="0"/>
                <w:sz w:val="24"/>
              </w:rPr>
              <w:t>1（台）</w:t>
            </w:r>
          </w:p>
        </w:tc>
        <w:tc>
          <w:tcPr>
            <w:tcW w:w="1897" w:type="dxa"/>
            <w:shd w:val="clear" w:color="000000" w:fill="FFFFFF"/>
            <w:vAlign w:val="center"/>
          </w:tcPr>
          <w:p w14:paraId="3A1C8EA2">
            <w:pPr>
              <w:widowControl/>
              <w:jc w:val="center"/>
              <w:rPr>
                <w:rFonts w:hint="eastAsia" w:ascii="宋体" w:hAnsi="宋体" w:cs="宋体"/>
                <w:kern w:val="0"/>
                <w:sz w:val="24"/>
                <w:lang w:eastAsia="zh-CN"/>
              </w:rPr>
            </w:pPr>
            <w:r>
              <w:rPr>
                <w:rFonts w:hint="eastAsia" w:ascii="宋体" w:hAnsi="宋体" w:cs="宋体"/>
                <w:kern w:val="0"/>
                <w:sz w:val="24"/>
                <w:lang w:val="en-US" w:eastAsia="zh-CN"/>
              </w:rPr>
              <w:t>是</w:t>
            </w:r>
          </w:p>
        </w:tc>
      </w:tr>
      <w:tr w14:paraId="3D65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3E5B5F04">
            <w:pPr>
              <w:widowControl/>
              <w:jc w:val="center"/>
              <w:rPr>
                <w:rFonts w:hint="eastAsia" w:ascii="宋体" w:hAnsi="宋体" w:cs="宋体"/>
                <w:kern w:val="0"/>
                <w:sz w:val="24"/>
              </w:rPr>
            </w:pPr>
          </w:p>
        </w:tc>
        <w:tc>
          <w:tcPr>
            <w:tcW w:w="3348" w:type="dxa"/>
            <w:shd w:val="clear" w:color="auto" w:fill="auto"/>
            <w:vAlign w:val="center"/>
          </w:tcPr>
          <w:p w14:paraId="05895796">
            <w:pPr>
              <w:widowControl/>
              <w:jc w:val="center"/>
              <w:rPr>
                <w:rFonts w:hint="eastAsia" w:ascii="宋体" w:hAnsi="宋体" w:cs="宋体"/>
                <w:kern w:val="0"/>
                <w:sz w:val="24"/>
              </w:rPr>
            </w:pPr>
            <w:r>
              <w:rPr>
                <w:rFonts w:hint="eastAsia" w:ascii="宋体" w:hAnsi="宋体" w:cs="宋体"/>
                <w:kern w:val="0"/>
                <w:sz w:val="24"/>
              </w:rPr>
              <w:t>胸阻抗断层成像仪</w:t>
            </w:r>
          </w:p>
        </w:tc>
        <w:tc>
          <w:tcPr>
            <w:tcW w:w="1488" w:type="dxa"/>
            <w:shd w:val="clear" w:color="auto" w:fill="auto"/>
            <w:vAlign w:val="center"/>
          </w:tcPr>
          <w:p w14:paraId="102E2954">
            <w:pPr>
              <w:widowControl/>
              <w:jc w:val="center"/>
              <w:rPr>
                <w:rFonts w:hint="eastAsia" w:ascii="宋体" w:hAnsi="宋体" w:cs="宋体"/>
                <w:kern w:val="0"/>
                <w:sz w:val="24"/>
              </w:rPr>
            </w:pPr>
            <w:r>
              <w:rPr>
                <w:rFonts w:hint="eastAsia" w:ascii="宋体" w:hAnsi="宋体" w:cs="宋体"/>
                <w:kern w:val="0"/>
                <w:sz w:val="24"/>
              </w:rPr>
              <w:t>1（台）</w:t>
            </w:r>
          </w:p>
        </w:tc>
        <w:tc>
          <w:tcPr>
            <w:tcW w:w="1897" w:type="dxa"/>
            <w:shd w:val="clear" w:color="000000" w:fill="FFFFFF"/>
            <w:vAlign w:val="center"/>
          </w:tcPr>
          <w:p w14:paraId="7D4FBBA4">
            <w:pPr>
              <w:widowControl/>
              <w:jc w:val="center"/>
              <w:rPr>
                <w:rFonts w:hint="eastAsia" w:ascii="宋体" w:hAnsi="宋体" w:cs="宋体"/>
                <w:kern w:val="0"/>
                <w:sz w:val="24"/>
              </w:rPr>
            </w:pPr>
            <w:r>
              <w:rPr>
                <w:rFonts w:hint="eastAsia" w:ascii="宋体" w:hAnsi="宋体" w:cs="宋体"/>
                <w:kern w:val="0"/>
                <w:sz w:val="24"/>
                <w:lang w:val="en-US" w:eastAsia="zh-CN"/>
              </w:rPr>
              <w:t>是</w:t>
            </w:r>
          </w:p>
        </w:tc>
      </w:tr>
      <w:tr w14:paraId="7FC6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 w:type="dxa"/>
            <w:vMerge w:val="continue"/>
            <w:shd w:val="clear" w:color="auto" w:fill="auto"/>
            <w:vAlign w:val="center"/>
          </w:tcPr>
          <w:p w14:paraId="193FB2DB">
            <w:pPr>
              <w:widowControl/>
              <w:jc w:val="center"/>
              <w:rPr>
                <w:rFonts w:hint="eastAsia" w:ascii="宋体" w:hAnsi="宋体" w:cs="宋体"/>
                <w:kern w:val="0"/>
                <w:sz w:val="24"/>
              </w:rPr>
            </w:pPr>
          </w:p>
        </w:tc>
        <w:tc>
          <w:tcPr>
            <w:tcW w:w="3348" w:type="dxa"/>
            <w:shd w:val="clear" w:color="auto" w:fill="auto"/>
            <w:vAlign w:val="center"/>
          </w:tcPr>
          <w:p w14:paraId="71410D74">
            <w:pPr>
              <w:widowControl/>
              <w:jc w:val="center"/>
              <w:rPr>
                <w:rFonts w:hint="eastAsia" w:ascii="宋体" w:hAnsi="宋体" w:cs="宋体"/>
                <w:kern w:val="0"/>
                <w:sz w:val="24"/>
              </w:rPr>
            </w:pPr>
            <w:r>
              <w:rPr>
                <w:rFonts w:hint="eastAsia" w:ascii="宋体" w:hAnsi="宋体" w:cs="宋体"/>
                <w:kern w:val="0"/>
                <w:sz w:val="24"/>
              </w:rPr>
              <w:t>连续性血液净化设备</w:t>
            </w:r>
          </w:p>
        </w:tc>
        <w:tc>
          <w:tcPr>
            <w:tcW w:w="1488" w:type="dxa"/>
            <w:shd w:val="clear" w:color="auto" w:fill="auto"/>
            <w:vAlign w:val="center"/>
          </w:tcPr>
          <w:p w14:paraId="1C0A83E6">
            <w:pPr>
              <w:widowControl/>
              <w:jc w:val="center"/>
              <w:rPr>
                <w:rFonts w:hint="eastAsia" w:ascii="宋体" w:hAnsi="宋体" w:cs="宋体"/>
                <w:kern w:val="0"/>
                <w:sz w:val="24"/>
              </w:rPr>
            </w:pPr>
            <w:r>
              <w:rPr>
                <w:rFonts w:hint="eastAsia" w:ascii="宋体" w:hAnsi="宋体" w:cs="宋体"/>
                <w:kern w:val="0"/>
                <w:sz w:val="24"/>
              </w:rPr>
              <w:t>2（台）</w:t>
            </w:r>
          </w:p>
        </w:tc>
        <w:tc>
          <w:tcPr>
            <w:tcW w:w="1897" w:type="dxa"/>
            <w:shd w:val="clear" w:color="000000" w:fill="FFFFFF"/>
            <w:vAlign w:val="center"/>
          </w:tcPr>
          <w:p w14:paraId="4B0CA697">
            <w:pPr>
              <w:widowControl/>
              <w:jc w:val="center"/>
              <w:rPr>
                <w:rFonts w:hint="eastAsia" w:ascii="宋体" w:hAnsi="宋体" w:cs="宋体"/>
                <w:kern w:val="0"/>
                <w:sz w:val="24"/>
              </w:rPr>
            </w:pPr>
            <w:r>
              <w:rPr>
                <w:rFonts w:hint="eastAsia" w:ascii="宋体" w:hAnsi="宋体" w:cs="宋体"/>
                <w:kern w:val="0"/>
                <w:sz w:val="24"/>
                <w:lang w:val="en-US" w:eastAsia="zh-CN"/>
              </w:rPr>
              <w:t>否</w:t>
            </w:r>
          </w:p>
        </w:tc>
      </w:tr>
    </w:tbl>
    <w:p w14:paraId="0B6ABC70">
      <w:pPr>
        <w:pStyle w:val="5"/>
        <w:numPr>
          <w:ilvl w:val="0"/>
          <w:numId w:val="1"/>
        </w:numPr>
        <w:spacing w:before="240" w:beforeLines="100" w:line="360" w:lineRule="auto"/>
        <w:ind w:left="499" w:hanging="499" w:firstLineChars="0"/>
        <w:contextualSpacing/>
        <w:rPr>
          <w:rFonts w:ascii="Times New Roman" w:hAnsi="Times New Roman"/>
          <w:b/>
          <w:sz w:val="24"/>
          <w:szCs w:val="24"/>
        </w:rPr>
      </w:pPr>
      <w:r>
        <w:rPr>
          <w:rFonts w:ascii="Times New Roman" w:hAnsi="Times New Roman"/>
          <w:b/>
          <w:sz w:val="24"/>
          <w:szCs w:val="24"/>
        </w:rPr>
        <w:t>商务要求</w:t>
      </w:r>
    </w:p>
    <w:p w14:paraId="5C05688F">
      <w:pPr>
        <w:spacing w:line="360" w:lineRule="auto"/>
        <w:contextualSpacing/>
        <w:rPr>
          <w:i/>
          <w:sz w:val="24"/>
        </w:rPr>
      </w:pPr>
      <w:r>
        <w:rPr>
          <w:sz w:val="24"/>
        </w:rPr>
        <w:t>1. 交付（实施）的时间（期限）和地点（范围）</w:t>
      </w:r>
    </w:p>
    <w:p w14:paraId="44BB8D03">
      <w:pPr>
        <w:tabs>
          <w:tab w:val="left" w:pos="220"/>
          <w:tab w:val="left" w:pos="900"/>
        </w:tabs>
        <w:spacing w:line="360" w:lineRule="auto"/>
        <w:rPr>
          <w:rFonts w:ascii="宋体" w:hAnsi="宋体" w:cs="宋体"/>
          <w:sz w:val="24"/>
        </w:rPr>
      </w:pPr>
      <w:r>
        <w:rPr>
          <w:rFonts w:hint="eastAsia" w:ascii="宋体" w:hAnsi="宋体" w:cs="宋体"/>
          <w:sz w:val="24"/>
        </w:rPr>
        <w:t>采购项目（标的）交付的时间：合同签订后90日内。</w:t>
      </w:r>
    </w:p>
    <w:p w14:paraId="24665F24">
      <w:pPr>
        <w:tabs>
          <w:tab w:val="left" w:pos="900"/>
        </w:tabs>
        <w:spacing w:line="360" w:lineRule="auto"/>
        <w:rPr>
          <w:i/>
          <w:sz w:val="24"/>
        </w:rPr>
      </w:pPr>
      <w:r>
        <w:rPr>
          <w:rFonts w:hint="eastAsia" w:ascii="宋体" w:hAnsi="宋体" w:cs="宋体"/>
          <w:sz w:val="24"/>
        </w:rPr>
        <w:t>采购项目（标的）交付的地点：首都医科大学附属北京安贞医院</w:t>
      </w:r>
      <w:r>
        <w:rPr>
          <w:rFonts w:hint="eastAsia" w:ascii="宋体" w:hAnsi="宋体" w:eastAsia="宋体" w:cs="宋体"/>
          <w:kern w:val="0"/>
          <w:sz w:val="24"/>
        </w:rPr>
        <w:t>。</w:t>
      </w:r>
    </w:p>
    <w:p w14:paraId="532AFED7">
      <w:pPr>
        <w:spacing w:line="360" w:lineRule="auto"/>
        <w:contextualSpacing/>
        <w:rPr>
          <w:sz w:val="24"/>
        </w:rPr>
      </w:pPr>
      <w:r>
        <w:rPr>
          <w:sz w:val="24"/>
        </w:rPr>
        <w:t>2. 付款条件（进度和方式）</w:t>
      </w:r>
    </w:p>
    <w:p w14:paraId="33F23EE4">
      <w:pPr>
        <w:spacing w:line="360" w:lineRule="auto"/>
        <w:ind w:firstLine="480" w:firstLineChars="200"/>
        <w:contextualSpacing/>
        <w:rPr>
          <w:bCs/>
          <w:sz w:val="24"/>
        </w:rPr>
      </w:pPr>
      <w:r>
        <w:rPr>
          <w:rFonts w:hint="eastAsia"/>
          <w:bCs/>
          <w:sz w:val="24"/>
        </w:rPr>
        <w:t>合同签订后，乙方按照甲方要求提供合同总额的5%（共计</w:t>
      </w:r>
      <w:r>
        <w:rPr>
          <w:rFonts w:hint="eastAsia"/>
          <w:bCs/>
          <w:sz w:val="24"/>
          <w:lang w:val="en-US" w:eastAsia="zh-CN"/>
        </w:rPr>
        <w:t xml:space="preserve">  </w:t>
      </w:r>
      <w:r>
        <w:rPr>
          <w:rFonts w:hint="eastAsia"/>
          <w:bCs/>
          <w:sz w:val="24"/>
        </w:rPr>
        <w:t>元）作为质保金。货物到达甲方指定地点后,经安装、调试、验收入库合格后三个月内，甲方办理付款手续并支付乙方的全部货款。待验收签字确认入库合格之日起免费保修期执行一年后（若货物无质量问题），退还乙方质保金。甲方支付费用7日前，乙方应将对应金额的法定发票提供甲方审核，待审核通过后甲方按照合同约定向乙方支付费用，如发票审核不合格或乙方未提供发票，则甲方有权拒绝支付相关费用。</w:t>
      </w:r>
    </w:p>
    <w:p w14:paraId="1850388E">
      <w:pPr>
        <w:spacing w:line="360" w:lineRule="auto"/>
        <w:contextualSpacing/>
        <w:rPr>
          <w:sz w:val="24"/>
        </w:rPr>
      </w:pPr>
      <w:r>
        <w:rPr>
          <w:sz w:val="24"/>
        </w:rPr>
        <w:t>3. 包装和运输</w:t>
      </w:r>
      <w:r>
        <w:rPr>
          <w:rFonts w:hint="eastAsia"/>
          <w:sz w:val="24"/>
        </w:rPr>
        <w:t>：符合货物运输的相关国际惯例及货物的使用目的，乙方承担包装费及运费，货物运输的风险由乙方承担。包装物符合ISO14000环境管理体系要求且不回收。</w:t>
      </w:r>
    </w:p>
    <w:p w14:paraId="3951B411">
      <w:pPr>
        <w:spacing w:line="360" w:lineRule="auto"/>
        <w:contextualSpacing/>
        <w:rPr>
          <w:rFonts w:eastAsia="宋体"/>
          <w:sz w:val="24"/>
        </w:rPr>
      </w:pPr>
      <w:r>
        <w:rPr>
          <w:sz w:val="24"/>
        </w:rPr>
        <w:t xml:space="preserve">4. </w:t>
      </w:r>
      <w:r>
        <w:rPr>
          <w:sz w:val="24"/>
          <w:highlight w:val="none"/>
        </w:rPr>
        <w:t>售后服务（质保期）</w:t>
      </w:r>
      <w:r>
        <w:rPr>
          <w:rFonts w:hint="eastAsia"/>
          <w:sz w:val="24"/>
          <w:highlight w:val="none"/>
        </w:rPr>
        <w:t>：三年</w:t>
      </w:r>
      <w:r>
        <w:rPr>
          <w:rFonts w:hint="eastAsia"/>
          <w:sz w:val="24"/>
          <w:highlight w:val="none"/>
          <w:lang w:val="en-US" w:eastAsia="zh-CN"/>
        </w:rPr>
        <w:t>起</w:t>
      </w:r>
      <w:r>
        <w:rPr>
          <w:rFonts w:hint="eastAsia" w:ascii="宋体" w:hAnsi="宋体" w:eastAsia="宋体" w:cs="宋体"/>
          <w:kern w:val="0"/>
          <w:sz w:val="24"/>
          <w:highlight w:val="none"/>
        </w:rPr>
        <w:t>。</w:t>
      </w:r>
    </w:p>
    <w:p w14:paraId="162581BE">
      <w:pPr>
        <w:pStyle w:val="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14:paraId="6335C1CE">
      <w:pPr>
        <w:spacing w:line="360" w:lineRule="auto"/>
        <w:contextualSpacing/>
        <w:rPr>
          <w:sz w:val="24"/>
        </w:rPr>
      </w:pPr>
      <w:r>
        <w:rPr>
          <w:sz w:val="24"/>
        </w:rPr>
        <w:t>1. 基本要求</w:t>
      </w:r>
    </w:p>
    <w:p w14:paraId="393FDC1F">
      <w:pPr>
        <w:spacing w:line="360" w:lineRule="auto"/>
        <w:contextualSpacing/>
        <w:rPr>
          <w:sz w:val="24"/>
        </w:rPr>
      </w:pPr>
      <w:r>
        <w:rPr>
          <w:sz w:val="24"/>
        </w:rPr>
        <w:t>1.1 采购标的需实现的功能或者目标</w:t>
      </w:r>
    </w:p>
    <w:p w14:paraId="1B99F57C">
      <w:pPr>
        <w:spacing w:line="360" w:lineRule="auto"/>
        <w:ind w:firstLine="482"/>
        <w:contextualSpacing/>
        <w:rPr>
          <w:sz w:val="24"/>
        </w:rPr>
      </w:pPr>
      <w:r>
        <w:rPr>
          <w:rFonts w:hint="eastAsia"/>
          <w:bCs/>
          <w:sz w:val="24"/>
        </w:rPr>
        <w:t>本次招标采购是为首都医科大学附属北京安贞医院配置基本医疗设备，供应商应根据招标文件所提出的技术规格和服务要求，综合考虑所投货物的适用性，选择需要最佳性能价格比的货物前来投标。供应商应以先进的技术、优良的服务和优惠的价格，充分显示自己的竞争实力。</w:t>
      </w:r>
    </w:p>
    <w:p w14:paraId="5870F75C">
      <w:pPr>
        <w:widowControl/>
        <w:kinsoku w:val="0"/>
        <w:autoSpaceDE w:val="0"/>
        <w:autoSpaceDN w:val="0"/>
        <w:adjustRightInd w:val="0"/>
        <w:snapToGrid w:val="0"/>
        <w:spacing w:line="360" w:lineRule="auto"/>
        <w:contextualSpacing/>
        <w:textAlignment w:val="baseline"/>
        <w:rPr>
          <w:sz w:val="24"/>
        </w:rPr>
      </w:pPr>
      <w:r>
        <w:rPr>
          <w:sz w:val="24"/>
        </w:rPr>
        <w:t>1.2 需执行的国家相关标准、行业标准、地方标准或者其他标准、规范</w:t>
      </w:r>
    </w:p>
    <w:p w14:paraId="07087C00">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Segoe UI Symbol" w:hAnsi="Segoe UI Symbol" w:cs="Segoe UI Symbol"/>
          <w:color w:val="000000"/>
          <w:kern w:val="0"/>
          <w:sz w:val="24"/>
        </w:rPr>
        <w:t>（</w:t>
      </w:r>
      <w:r>
        <w:rPr>
          <w:rFonts w:hint="eastAsia" w:ascii="宋体" w:hAnsi="宋体" w:cs="宋体"/>
          <w:bCs/>
          <w:sz w:val="24"/>
        </w:rPr>
        <w:t>1</w:t>
      </w:r>
      <w:r>
        <w:rPr>
          <w:rFonts w:hint="eastAsia" w:ascii="Segoe UI Symbol" w:hAnsi="Segoe UI Symbol" w:cs="Segoe UI Symbol"/>
          <w:color w:val="000000"/>
          <w:kern w:val="0"/>
          <w:sz w:val="24"/>
        </w:rPr>
        <w:t>）</w:t>
      </w:r>
      <w:r>
        <w:rPr>
          <w:rFonts w:hint="eastAsia" w:ascii="宋体" w:hAnsi="宋体" w:cs="宋体"/>
          <w:bCs/>
          <w:sz w:val="24"/>
        </w:rPr>
        <w:t>投标产品属于医疗器械的，应按原国家食品药品监督管理总局颁发的《医疗器械注册管理办法》，办理医疗器械注册证或者办理备案，供应商须提供有效的医疗器械注册证复印件或备案凭证并加盖公章。</w:t>
      </w:r>
    </w:p>
    <w:p w14:paraId="24A5E109">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2）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1C3AE8B4">
      <w:pPr>
        <w:widowControl/>
        <w:kinsoku w:val="0"/>
        <w:autoSpaceDE w:val="0"/>
        <w:autoSpaceDN w:val="0"/>
        <w:adjustRightInd w:val="0"/>
        <w:snapToGrid w:val="0"/>
        <w:spacing w:line="360" w:lineRule="auto"/>
        <w:ind w:left="240" w:hanging="240" w:hangingChars="100"/>
        <w:textAlignment w:val="baseline"/>
        <w:rPr>
          <w:rFonts w:ascii="宋体" w:hAnsi="宋体" w:cs="宋体"/>
          <w:bCs/>
          <w:sz w:val="24"/>
        </w:rPr>
      </w:pPr>
      <w:r>
        <w:rPr>
          <w:rFonts w:ascii="Segoe UI Symbol" w:hAnsi="Segoe UI Symbol" w:cs="Segoe UI Symbol"/>
          <w:color w:val="000000"/>
          <w:kern w:val="0"/>
          <w:sz w:val="24"/>
        </w:rPr>
        <w:t>★</w:t>
      </w:r>
      <w:r>
        <w:rPr>
          <w:rFonts w:hint="eastAsia" w:ascii="宋体" w:hAnsi="宋体" w:cs="宋体"/>
          <w:bCs/>
          <w:sz w:val="24"/>
        </w:rPr>
        <w:t>（3）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0A14CECA">
      <w:pPr>
        <w:widowControl/>
        <w:kinsoku w:val="0"/>
        <w:autoSpaceDE w:val="0"/>
        <w:autoSpaceDN w:val="0"/>
        <w:adjustRightInd w:val="0"/>
        <w:snapToGrid w:val="0"/>
        <w:spacing w:line="360" w:lineRule="auto"/>
        <w:ind w:left="240" w:hanging="240" w:hangingChars="100"/>
        <w:textAlignment w:val="baseline"/>
        <w:rPr>
          <w:sz w:val="24"/>
        </w:rPr>
      </w:pPr>
      <w:r>
        <w:rPr>
          <w:rFonts w:ascii="Segoe UI Symbol" w:hAnsi="Segoe UI Symbol" w:cs="Segoe UI Symbol"/>
          <w:color w:val="000000"/>
          <w:kern w:val="0"/>
          <w:sz w:val="24"/>
        </w:rPr>
        <w:t>★</w:t>
      </w:r>
      <w:r>
        <w:rPr>
          <w:rFonts w:hint="eastAsia" w:ascii="宋体" w:hAnsi="宋体" w:cs="宋体"/>
          <w:bCs/>
          <w:sz w:val="24"/>
        </w:rPr>
        <w:t>（4）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6CE31680">
      <w:pPr>
        <w:tabs>
          <w:tab w:val="left" w:pos="900"/>
        </w:tabs>
        <w:spacing w:before="120" w:beforeLines="50" w:line="360" w:lineRule="auto"/>
        <w:rPr>
          <w:rFonts w:ascii="宋体" w:hAnsi="宋体" w:cs="宋体"/>
          <w:bCs/>
          <w:sz w:val="24"/>
        </w:rPr>
      </w:pPr>
      <w:r>
        <w:rPr>
          <w:rFonts w:hint="eastAsia" w:ascii="宋体" w:hAnsi="宋体" w:cs="宋体"/>
          <w:bCs/>
          <w:sz w:val="24"/>
        </w:rPr>
        <w:t>2.采购标的的验收标准</w:t>
      </w:r>
    </w:p>
    <w:p w14:paraId="58660617">
      <w:pPr>
        <w:spacing w:line="360" w:lineRule="auto"/>
        <w:contextualSpacing/>
        <w:rPr>
          <w:rFonts w:ascii="宋体" w:hAnsi="宋体" w:cs="宋体"/>
          <w:sz w:val="24"/>
          <w:lang w:bidi="ar"/>
        </w:rPr>
      </w:pPr>
      <w:r>
        <w:rPr>
          <w:rFonts w:hint="eastAsia" w:ascii="宋体" w:hAnsi="宋体" w:cs="宋体"/>
          <w:sz w:val="24"/>
          <w:lang w:bidi="ar"/>
        </w:rPr>
        <w:t>乙方将货物运送至甲方指定地点后，按照本合同规定的设备名称、数量、规格及功能等相关项目进行验收，验收合格后签署书面验收合格报告。如验收不合格，甲方有权拒收。乙方应重新发货，交货期限不予顺延。</w:t>
      </w:r>
    </w:p>
    <w:p w14:paraId="73703037">
      <w:pPr>
        <w:spacing w:line="360" w:lineRule="auto"/>
        <w:contextualSpacing/>
        <w:rPr>
          <w:rFonts w:ascii="宋体" w:hAnsi="宋体" w:eastAsia="宋体" w:cs="宋体"/>
          <w:sz w:val="24"/>
        </w:rPr>
      </w:pPr>
      <w:r>
        <w:rPr>
          <w:rFonts w:hint="eastAsia" w:ascii="宋体" w:hAnsi="宋体" w:eastAsia="宋体" w:cs="宋体"/>
          <w:sz w:val="24"/>
        </w:rPr>
        <w:t>3. 服务内容及要求/货物技术要求</w:t>
      </w:r>
    </w:p>
    <w:p w14:paraId="6CAD46CC">
      <w:pPr>
        <w:widowControl/>
        <w:spacing w:line="360" w:lineRule="auto"/>
        <w:ind w:left="-1"/>
        <w:contextualSpacing/>
        <w:rPr>
          <w:rFonts w:ascii="宋体" w:hAnsi="宋体" w:eastAsia="宋体" w:cs="宋体"/>
          <w:sz w:val="24"/>
        </w:rPr>
      </w:pPr>
      <w:r>
        <w:rPr>
          <w:rFonts w:hint="eastAsia" w:ascii="宋体" w:hAnsi="宋体" w:eastAsia="宋体" w:cs="宋体"/>
          <w:sz w:val="24"/>
        </w:rPr>
        <w:t>3.1采购标的需满足的性能、材料、结构、外观、质量、安全、技术规格、物理特性等要求；</w:t>
      </w:r>
    </w:p>
    <w:p w14:paraId="21BD8A4D">
      <w:pPr>
        <w:widowControl/>
        <w:spacing w:line="360" w:lineRule="auto"/>
        <w:ind w:firstLine="480" w:firstLineChars="200"/>
        <w:contextualSpacing/>
        <w:rPr>
          <w:rFonts w:ascii="宋体" w:hAnsi="宋体" w:eastAsia="宋体" w:cs="宋体"/>
          <w:sz w:val="24"/>
        </w:rPr>
      </w:pPr>
      <w:r>
        <w:rPr>
          <w:rFonts w:hint="eastAsia" w:ascii="宋体" w:hAnsi="宋体" w:eastAsia="宋体" w:cs="宋体"/>
          <w:sz w:val="24"/>
        </w:rPr>
        <w:t>详见其他技术、服务等要求</w:t>
      </w:r>
    </w:p>
    <w:p w14:paraId="37F38C1C">
      <w:pPr>
        <w:widowControl/>
        <w:spacing w:line="360" w:lineRule="auto"/>
        <w:contextualSpacing/>
        <w:rPr>
          <w:rFonts w:ascii="宋体" w:hAnsi="宋体" w:eastAsia="宋体" w:cs="宋体"/>
          <w:sz w:val="24"/>
        </w:rPr>
      </w:pPr>
      <w:r>
        <w:rPr>
          <w:rFonts w:hint="eastAsia" w:ascii="宋体" w:hAnsi="宋体" w:eastAsia="宋体" w:cs="宋体"/>
          <w:sz w:val="24"/>
        </w:rPr>
        <w:t>3.2采购标的需满足的服务标准、期限、效率等要求；</w:t>
      </w:r>
    </w:p>
    <w:p w14:paraId="1F509C97">
      <w:pPr>
        <w:widowControl/>
        <w:spacing w:line="360" w:lineRule="auto"/>
        <w:contextualSpacing/>
        <w:rPr>
          <w:rFonts w:ascii="宋体" w:hAnsi="宋体" w:eastAsia="宋体" w:cs="宋体"/>
          <w:sz w:val="24"/>
        </w:rPr>
      </w:pPr>
      <w:r>
        <w:rPr>
          <w:rFonts w:hint="eastAsia" w:ascii="宋体" w:hAnsi="宋体" w:eastAsia="宋体" w:cs="宋体"/>
          <w:sz w:val="24"/>
        </w:rPr>
        <w:t>（1）采购标的需满足的服务标准、效率要求</w:t>
      </w:r>
    </w:p>
    <w:p w14:paraId="38B3F049">
      <w:pPr>
        <w:widowControl/>
        <w:spacing w:line="360" w:lineRule="auto"/>
        <w:contextualSpacing/>
        <w:rPr>
          <w:rFonts w:ascii="宋体" w:hAnsi="宋体" w:eastAsia="宋体" w:cs="宋体"/>
          <w:bCs/>
          <w:sz w:val="24"/>
        </w:rPr>
      </w:pPr>
      <w:r>
        <w:rPr>
          <w:rFonts w:hint="eastAsia" w:ascii="宋体" w:hAnsi="宋体" w:eastAsia="宋体" w:cs="宋体"/>
          <w:sz w:val="24"/>
        </w:rPr>
        <w:t>1）供应商</w:t>
      </w:r>
      <w:r>
        <w:rPr>
          <w:rFonts w:hint="eastAsia" w:ascii="Times New Roman" w:hAnsi="Times New Roman" w:eastAsia="宋体" w:cs="Times New Roman"/>
          <w:sz w:val="24"/>
        </w:rPr>
        <w:t>应有能力做</w:t>
      </w:r>
      <w:r>
        <w:rPr>
          <w:rFonts w:hint="eastAsia" w:ascii="宋体" w:hAnsi="宋体" w:eastAsia="宋体" w:cs="宋体"/>
          <w:bCs/>
          <w:sz w:val="24"/>
        </w:rPr>
        <w:t>好售后服务工作和提供技术保障。供应商或投标产品制造商应设有专业的售后服务维修机构，有充足的零件储备和能力相当的技术服务人员，</w:t>
      </w:r>
      <w:r>
        <w:rPr>
          <w:rFonts w:hint="eastAsia" w:ascii="宋体" w:hAnsi="宋体" w:eastAsia="宋体" w:cs="宋体"/>
          <w:sz w:val="24"/>
        </w:rPr>
        <w:t>并保证投标产品停产后的备件供应，</w:t>
      </w:r>
      <w:r>
        <w:rPr>
          <w:rFonts w:hint="eastAsia" w:ascii="宋体" w:hAnsi="宋体" w:eastAsia="宋体" w:cs="宋体"/>
          <w:bCs/>
          <w:sz w:val="24"/>
        </w:rPr>
        <w:t>投标时须提供有关其投标产品专业的售后服务（维修站）的信息，包括售后服务机构名称、服务人员的数量和水平、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3E23608B">
      <w:pPr>
        <w:spacing w:line="480" w:lineRule="exact"/>
        <w:rPr>
          <w:rFonts w:ascii="宋体" w:hAnsi="宋体" w:eastAsia="宋体" w:cs="宋体"/>
          <w:bCs/>
          <w:sz w:val="24"/>
        </w:rPr>
      </w:pPr>
      <w:r>
        <w:rPr>
          <w:rFonts w:hint="eastAsia" w:ascii="宋体" w:hAnsi="宋体" w:eastAsia="宋体" w:cs="宋体"/>
          <w:sz w:val="24"/>
        </w:rPr>
        <w:t>2）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37995142">
      <w:pPr>
        <w:spacing w:before="50" w:line="480" w:lineRule="exact"/>
        <w:rPr>
          <w:rFonts w:ascii="宋体" w:hAnsi="宋体" w:eastAsia="宋体" w:cs="宋体"/>
          <w:bCs/>
          <w:sz w:val="24"/>
        </w:rPr>
      </w:pPr>
      <w:r>
        <w:rPr>
          <w:rFonts w:hint="eastAsia" w:ascii="宋体" w:hAnsi="宋体" w:eastAsia="宋体" w:cs="宋体"/>
          <w:sz w:val="24"/>
        </w:rPr>
        <w:t>3）供应商应保证到货后15日之内安排工程师完成安装任务，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并对设备的使用和维护进行现场培训，确保使用者的正常操作和使用。紧急情况时可协商另行安排。</w:t>
      </w:r>
    </w:p>
    <w:p w14:paraId="21827A5C">
      <w:pPr>
        <w:pStyle w:val="2"/>
        <w:spacing w:before="50" w:line="480" w:lineRule="exact"/>
        <w:rPr>
          <w:rFonts w:hint="default" w:hAnsi="宋体" w:cs="宋体"/>
          <w:sz w:val="24"/>
          <w:szCs w:val="24"/>
        </w:rPr>
      </w:pPr>
      <w:r>
        <w:rPr>
          <w:rFonts w:hAnsi="宋体" w:cs="宋体"/>
          <w:sz w:val="24"/>
          <w:szCs w:val="24"/>
        </w:rPr>
        <w:t>4）供应商应负责投标货物质量保证期内的免费维修和配件供应，供应商售后服务维修机构应备有所购货物及时维修所需的关键零部件。</w:t>
      </w:r>
    </w:p>
    <w:p w14:paraId="7B19E6CB">
      <w:pPr>
        <w:pStyle w:val="2"/>
        <w:spacing w:before="50" w:line="480" w:lineRule="exact"/>
        <w:rPr>
          <w:rFonts w:hint="default" w:hAnsi="宋体" w:cs="宋体"/>
          <w:sz w:val="24"/>
          <w:szCs w:val="24"/>
        </w:rPr>
      </w:pPr>
      <w:r>
        <w:rPr>
          <w:rFonts w:hAnsi="宋体" w:cs="宋体"/>
          <w:sz w:val="24"/>
          <w:szCs w:val="24"/>
        </w:rPr>
        <w:t>5）供应商应保证在质量保证期内提供投标货物专用的软件和相应数据库资料的免费升级服务。（如果有）</w:t>
      </w:r>
    </w:p>
    <w:p w14:paraId="41BDE9C6">
      <w:pPr>
        <w:pStyle w:val="2"/>
        <w:spacing w:before="50" w:line="480" w:lineRule="exact"/>
        <w:rPr>
          <w:rFonts w:hint="default" w:hAnsi="宋体" w:cs="宋体"/>
          <w:sz w:val="24"/>
          <w:szCs w:val="24"/>
        </w:rPr>
      </w:pPr>
      <w:r>
        <w:rPr>
          <w:rFonts w:hAnsi="宋体"/>
          <w:sz w:val="24"/>
          <w:szCs w:val="24"/>
        </w:rPr>
        <w:t>6）设备出现故障，在接到用户通知后，随时解答问题，若无法解决，48小时内到达现场。提供及时、迅速、优质的保修服务，保证设备所需的备品、备件和易损件为原厂全新件。厂家需为维修配件提供3个月以上保修。</w:t>
      </w:r>
    </w:p>
    <w:p w14:paraId="3F907FFA">
      <w:pPr>
        <w:pStyle w:val="2"/>
        <w:spacing w:before="50" w:line="480" w:lineRule="exact"/>
        <w:rPr>
          <w:rFonts w:hint="default" w:hAnsi="宋体" w:eastAsia="宋体" w:cs="Times New Roman"/>
          <w:sz w:val="24"/>
          <w:szCs w:val="24"/>
        </w:rPr>
      </w:pPr>
      <w:r>
        <w:rPr>
          <w:rFonts w:hAnsi="宋体"/>
          <w:sz w:val="24"/>
          <w:szCs w:val="24"/>
        </w:rPr>
        <w:t>7）</w:t>
      </w:r>
      <w:r>
        <w:rPr>
          <w:rFonts w:cs="Arial" w:asciiTheme="minorEastAsia" w:hAnsiTheme="minorEastAsia"/>
          <w:color w:val="181717" w:themeColor="background2" w:themeShade="1A"/>
          <w:sz w:val="24"/>
          <w:szCs w:val="24"/>
        </w:rPr>
        <w:t>货物运输符合的相关国际惯例，货物运达所产生的费用由乙方负责。运输途中的货物破损及损失风险由乙方承担，乙方承担运费。</w:t>
      </w:r>
    </w:p>
    <w:p w14:paraId="1BA1B33D">
      <w:pPr>
        <w:pStyle w:val="2"/>
        <w:spacing w:before="50" w:line="480" w:lineRule="exact"/>
        <w:rPr>
          <w:rFonts w:hint="default" w:hAnsi="宋体" w:eastAsia="宋体" w:cs="Times New Roman"/>
          <w:sz w:val="24"/>
          <w:szCs w:val="24"/>
        </w:rPr>
      </w:pPr>
      <w:r>
        <w:rPr>
          <w:rFonts w:hAnsi="宋体" w:eastAsia="宋体" w:cs="Times New Roman"/>
          <w:sz w:val="24"/>
          <w:szCs w:val="24"/>
        </w:rPr>
        <w:t>（2）采购标的需满足的服务期限要求</w:t>
      </w:r>
    </w:p>
    <w:p w14:paraId="1B60D126">
      <w:pPr>
        <w:pStyle w:val="2"/>
        <w:spacing w:before="50" w:line="480" w:lineRule="exact"/>
        <w:rPr>
          <w:rFonts w:hint="default" w:hAnsi="宋体" w:cs="宋体"/>
          <w:sz w:val="24"/>
          <w:szCs w:val="24"/>
        </w:rPr>
      </w:pPr>
      <w:r>
        <w:rPr>
          <w:rFonts w:hAnsi="宋体" w:eastAsia="宋体" w:cs="Times New Roman"/>
          <w:sz w:val="24"/>
          <w:szCs w:val="24"/>
        </w:rPr>
        <w:t>1）保修范围应包括提供的所有设备（含第三方设备或配件）和安装调试服务。在保修期内应提供维修和技术咨询服</w:t>
      </w:r>
      <w:r>
        <w:rPr>
          <w:rFonts w:hAnsi="宋体" w:cs="宋体"/>
          <w:sz w:val="24"/>
          <w:szCs w:val="24"/>
        </w:rPr>
        <w:t>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14:paraId="6467E79B">
      <w:pPr>
        <w:pStyle w:val="2"/>
        <w:spacing w:before="50" w:line="480" w:lineRule="exact"/>
        <w:rPr>
          <w:rFonts w:hint="default" w:hAnsi="宋体" w:cs="宋体"/>
          <w:sz w:val="24"/>
          <w:szCs w:val="24"/>
        </w:rPr>
      </w:pPr>
      <w:r>
        <w:rPr>
          <w:rFonts w:hAnsi="宋体" w:cs="宋体"/>
          <w:sz w:val="24"/>
          <w:szCs w:val="24"/>
        </w:rPr>
        <w:t>应在质保期满前三个月对设备做全面保养及性能检测，并出具相应的报告。</w:t>
      </w:r>
    </w:p>
    <w:p w14:paraId="24946C9A">
      <w:pPr>
        <w:pStyle w:val="2"/>
        <w:spacing w:before="50" w:line="480" w:lineRule="exact"/>
        <w:ind w:left="8" w:hanging="8"/>
        <w:rPr>
          <w:rFonts w:hint="default" w:hAnsi="宋体" w:cs="宋体"/>
          <w:sz w:val="24"/>
          <w:szCs w:val="24"/>
        </w:rPr>
      </w:pPr>
      <w:r>
        <w:rPr>
          <w:rFonts w:hAnsi="宋体" w:cs="宋体"/>
          <w:sz w:val="24"/>
          <w:szCs w:val="24"/>
        </w:rPr>
        <w:t>2）厂家承诺提供主机三年质保，终身维修服务。负责提供技术服务与技术支持，软件免费升级。</w:t>
      </w:r>
    </w:p>
    <w:p w14:paraId="4433CD13">
      <w:pPr>
        <w:pStyle w:val="2"/>
        <w:spacing w:before="50" w:line="360" w:lineRule="auto"/>
        <w:ind w:left="12" w:hanging="12" w:hangingChars="5"/>
        <w:rPr>
          <w:rFonts w:hint="default" w:hAnsi="宋体" w:cs="宋体"/>
          <w:sz w:val="24"/>
          <w:szCs w:val="24"/>
        </w:rPr>
      </w:pPr>
      <w:r>
        <w:rPr>
          <w:rFonts w:hAnsi="宋体" w:cs="宋体"/>
          <w:sz w:val="24"/>
          <w:szCs w:val="24"/>
        </w:rPr>
        <w:t>主机三年质保指：由厂家工程师安装完成，经医院或第三方检测、验收合格之日起的三年之内为质保。在质保内，任何由于机器质量原因或正常使用引起的故障及损坏，除人为因素损坏外，由厂家提供免费维修。</w:t>
      </w:r>
    </w:p>
    <w:p w14:paraId="7A7ECACD">
      <w:pPr>
        <w:widowControl/>
        <w:spacing w:line="360" w:lineRule="auto"/>
        <w:contextualSpacing/>
        <w:rPr>
          <w:sz w:val="24"/>
        </w:rPr>
      </w:pPr>
      <w:r>
        <w:rPr>
          <w:rFonts w:hint="eastAsia"/>
          <w:sz w:val="24"/>
        </w:rPr>
        <w:t>终身维修指：厂家对所售产品提供终身维修服务。如果因为该产品生产年限过长，零配件无法供应，维修方案将与用户协商解决。</w:t>
      </w:r>
    </w:p>
    <w:p w14:paraId="0D87D8B5">
      <w:pPr>
        <w:widowControl/>
        <w:spacing w:line="360" w:lineRule="auto"/>
        <w:contextualSpacing/>
        <w:rPr>
          <w:rFonts w:ascii="宋体" w:hAnsi="宋体" w:eastAsia="宋体" w:cs="宋体"/>
          <w:sz w:val="24"/>
        </w:rPr>
      </w:pPr>
      <w:r>
        <w:rPr>
          <w:rFonts w:hint="eastAsia" w:ascii="宋体" w:hAnsi="宋体" w:eastAsia="宋体" w:cs="宋体"/>
          <w:sz w:val="24"/>
        </w:rPr>
        <w:t>3）厂家不得加入维修密匙或免费提供。</w:t>
      </w:r>
    </w:p>
    <w:p w14:paraId="726A7306">
      <w:pPr>
        <w:widowControl/>
        <w:spacing w:line="360" w:lineRule="auto"/>
        <w:contextualSpacing/>
        <w:rPr>
          <w:rFonts w:ascii="宋体" w:hAnsi="宋体" w:eastAsia="宋体" w:cs="宋体"/>
          <w:sz w:val="24"/>
        </w:rPr>
      </w:pPr>
      <w:r>
        <w:rPr>
          <w:rFonts w:hint="eastAsia" w:ascii="宋体" w:hAnsi="宋体" w:eastAsia="宋体" w:cs="宋体"/>
          <w:sz w:val="24"/>
        </w:rPr>
        <w:t>4）供应商或制造商需要提供包含上述质量保证期（保修期）及服务要求的承诺函并加盖单位公章。</w:t>
      </w:r>
    </w:p>
    <w:p w14:paraId="0EB3434C">
      <w:pPr>
        <w:widowControl/>
        <w:spacing w:line="360" w:lineRule="auto"/>
        <w:contextualSpacing/>
        <w:rPr>
          <w:rFonts w:ascii="宋体" w:hAnsi="宋体" w:eastAsia="宋体" w:cs="宋体"/>
          <w:sz w:val="24"/>
        </w:rPr>
      </w:pPr>
      <w:r>
        <w:rPr>
          <w:rFonts w:hint="eastAsia" w:ascii="宋体" w:hAnsi="宋体" w:eastAsia="宋体" w:cs="宋体"/>
          <w:sz w:val="24"/>
        </w:rPr>
        <w:t>3.3为落实政府采购政策需满足的要求；</w:t>
      </w:r>
    </w:p>
    <w:p w14:paraId="517DE31B">
      <w:pPr>
        <w:spacing w:line="360" w:lineRule="auto"/>
        <w:rPr>
          <w:rFonts w:ascii="宋体" w:hAnsi="宋体" w:cs="宋体"/>
          <w:sz w:val="24"/>
        </w:rPr>
      </w:pPr>
      <w:r>
        <w:rPr>
          <w:rFonts w:hint="eastAsia" w:ascii="宋体" w:hAnsi="宋体" w:eastAsia="宋体" w:cs="宋体"/>
          <w:sz w:val="24"/>
        </w:rPr>
        <w:t>（1）促进</w:t>
      </w:r>
      <w:r>
        <w:rPr>
          <w:rFonts w:hint="eastAsia" w:ascii="宋体" w:hAnsi="宋体" w:cs="宋体"/>
          <w:sz w:val="24"/>
        </w:rPr>
        <w:t>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20B460F2">
      <w:pPr>
        <w:spacing w:before="120" w:beforeLines="50" w:line="480" w:lineRule="exact"/>
        <w:rPr>
          <w:rFonts w:ascii="宋体" w:hAnsi="宋体" w:cs="宋体"/>
          <w:sz w:val="24"/>
        </w:rPr>
      </w:pPr>
      <w:r>
        <w:rPr>
          <w:rFonts w:hint="eastAsia" w:ascii="宋体" w:hAnsi="宋体" w:cs="宋体"/>
          <w:sz w:val="24"/>
        </w:rPr>
        <w:t>（2）监狱企业扶持政策：供应商所投产品为监狱企业制造的，将视同为小型或微型企业，将对该投标产品的投标价给予10%的扣除。</w:t>
      </w:r>
      <w:r>
        <w:rPr>
          <w:rFonts w:hint="eastAsia" w:ascii="宋体" w:hAnsi="宋体" w:cs="宋体"/>
          <w:iCs/>
          <w:sz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sz w:val="24"/>
        </w:rPr>
        <w:t>。（</w:t>
      </w:r>
      <w:r>
        <w:rPr>
          <w:rFonts w:ascii="宋体" w:hAnsi="宋体" w:cs="宋体"/>
          <w:sz w:val="24"/>
        </w:rPr>
        <w:t>专门面向中小企业采购或预留份额的情况不适用）</w:t>
      </w:r>
    </w:p>
    <w:p w14:paraId="4A28D06C">
      <w:pPr>
        <w:spacing w:before="120" w:beforeLines="50" w:line="480" w:lineRule="exact"/>
        <w:rPr>
          <w:rFonts w:ascii="宋体" w:hAnsi="宋体" w:cs="宋体"/>
          <w:sz w:val="24"/>
        </w:rPr>
      </w:pPr>
      <w:r>
        <w:rPr>
          <w:rFonts w:hint="eastAsia" w:ascii="宋体" w:hAnsi="宋体" w:cs="宋体"/>
          <w:sz w:val="24"/>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sz w:val="24"/>
        </w:rPr>
        <w:t>（专门面向中小企业采购或预留份额的情况不适用）</w:t>
      </w:r>
    </w:p>
    <w:p w14:paraId="0E6EDB08">
      <w:pPr>
        <w:spacing w:before="120" w:beforeLines="50" w:line="480" w:lineRule="exact"/>
        <w:rPr>
          <w:rFonts w:ascii="宋体" w:hAnsi="宋体" w:cs="宋体"/>
          <w:b/>
          <w:sz w:val="24"/>
        </w:rPr>
      </w:pPr>
      <w:r>
        <w:rPr>
          <w:rFonts w:hint="eastAsia" w:ascii="宋体" w:hAnsi="宋体" w:cs="宋体"/>
          <w:sz w:val="24"/>
        </w:rPr>
        <w:t>（4）</w:t>
      </w:r>
      <w:r>
        <w:rPr>
          <w:rFonts w:ascii="宋体" w:hAnsi="宋体" w:cs="宋体"/>
          <w:sz w:val="24"/>
        </w:rPr>
        <w:t>鼓励节能</w:t>
      </w:r>
      <w:r>
        <w:rPr>
          <w:rFonts w:hint="eastAsia" w:ascii="宋体" w:hAnsi="宋体" w:cs="宋体"/>
          <w:sz w:val="24"/>
        </w:rPr>
        <w:t>、环保</w:t>
      </w:r>
      <w:r>
        <w:rPr>
          <w:rFonts w:ascii="宋体" w:hAnsi="宋体" w:cs="宋体"/>
          <w:sz w:val="24"/>
        </w:rPr>
        <w:t>政策：</w:t>
      </w:r>
      <w:r>
        <w:rPr>
          <w:rFonts w:hint="eastAsia" w:ascii="宋体" w:hAnsi="宋体" w:cs="宋体"/>
          <w:sz w:val="24"/>
        </w:rPr>
        <w:t>依据《财政部发展改革委生态环境部市场监管总局关于调整优化节能产品、环境标志产品政府采购执行机制的通知（财库（2019）9号）》执行</w:t>
      </w:r>
      <w:r>
        <w:rPr>
          <w:rFonts w:ascii="宋体" w:hAnsi="宋体" w:cs="宋体"/>
          <w:sz w:val="24"/>
        </w:rPr>
        <w:t>。</w:t>
      </w:r>
    </w:p>
    <w:p w14:paraId="7A283B29">
      <w:pPr>
        <w:widowControl/>
        <w:spacing w:before="240" w:beforeLines="100" w:line="360" w:lineRule="auto"/>
        <w:contextualSpacing/>
        <w:rPr>
          <w:sz w:val="24"/>
        </w:rPr>
      </w:pPr>
    </w:p>
    <w:p w14:paraId="538124C5">
      <w:pPr>
        <w:widowControl/>
        <w:spacing w:before="240" w:beforeLines="100" w:line="360" w:lineRule="auto"/>
        <w:contextualSpacing/>
        <w:rPr>
          <w:sz w:val="24"/>
        </w:rPr>
      </w:pPr>
      <w:r>
        <w:rPr>
          <w:rFonts w:hint="eastAsia"/>
          <w:sz w:val="24"/>
        </w:rPr>
        <w:t>3</w:t>
      </w:r>
      <w:r>
        <w:rPr>
          <w:sz w:val="24"/>
        </w:rPr>
        <w:t>.4采购标的的其他技术、服务等要求</w:t>
      </w:r>
    </w:p>
    <w:p w14:paraId="1D6EF0C2">
      <w:pPr>
        <w:pStyle w:val="6"/>
        <w:spacing w:line="360" w:lineRule="auto"/>
        <w:rPr>
          <w:rFonts w:ascii="宋体" w:hAnsi="宋体" w:cs="宋体"/>
          <w:b/>
          <w:bCs/>
          <w:sz w:val="32"/>
          <w:szCs w:val="32"/>
        </w:rPr>
        <w:sectPr>
          <w:pgSz w:w="11910" w:h="16840"/>
          <w:pgMar w:top="1100" w:right="1020" w:bottom="1080" w:left="1580" w:header="879" w:footer="892" w:gutter="0"/>
          <w:cols w:space="720" w:num="1"/>
        </w:sectPr>
      </w:pPr>
    </w:p>
    <w:p w14:paraId="4B98B6FB">
      <w:pPr>
        <w:spacing w:line="484"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设备1</w:t>
      </w:r>
      <w:r>
        <w:rPr>
          <w:rFonts w:hint="eastAsia" w:ascii="宋体" w:hAnsi="宋体" w:eastAsia="宋体" w:cs="宋体"/>
          <w:b w:val="0"/>
          <w:bCs/>
          <w:kern w:val="0"/>
          <w:sz w:val="24"/>
          <w:szCs w:val="24"/>
        </w:rPr>
        <w:t>：心排量监护仪</w:t>
      </w:r>
    </w:p>
    <w:p w14:paraId="6EC7FFE5">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一、基本功能要求</w:t>
      </w:r>
    </w:p>
    <w:p w14:paraId="7FF55782">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▲1.模块化血流动力学监测平台主机：具备漂浮导管模块监测技术、经外周动脉连续监测模块技术。</w:t>
      </w:r>
    </w:p>
    <w:p w14:paraId="1BCDC0A2">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▲2.经外周动脉连续监测技术：自动校准，连续血流动力学监测。</w:t>
      </w:r>
    </w:p>
    <w:p w14:paraId="6B8C5D1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▲3.经漂浮导管连续监测技术：使用6腔或7腔Swan-Ganz漂浮导管，连续血流动力学监测。</w:t>
      </w:r>
    </w:p>
    <w:p w14:paraId="456BA6E3">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▲4.具有脑氧监测功能。</w:t>
      </w:r>
    </w:p>
    <w:p w14:paraId="6C938ED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5.主机配热插拔电池。</w:t>
      </w:r>
    </w:p>
    <w:p w14:paraId="6A692DB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二、技术规格及要求</w:t>
      </w:r>
    </w:p>
    <w:p w14:paraId="4802FE79">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1.动脉压力波形分析法（APCO）：经桡动脉等外周动脉连续监测，系统只需输入病人年龄、性别、身高、体重即可自动校准，连续监测。</w:t>
      </w:r>
    </w:p>
    <w:p w14:paraId="6F0E4FD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2.漂浮导管模块监测技术：使用6腔或7腔Swan-Ganz漂浮导管，无需人工打冰水手动校准，连续血流动力学数据监测，监测参数自动更新连续显示。</w:t>
      </w:r>
    </w:p>
    <w:p w14:paraId="7472205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3.系统自带输液反应测试功能：被动抬腿试验；液体推注试验,帮助临床判断患者对液体治疗是否有反应性。</w:t>
      </w:r>
    </w:p>
    <w:p w14:paraId="4A06175C">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4.目标导向（GDT）监测功能：预设相关监测参数所要达到的目标管理方案，系统将对选定参数靶向值，进行目标导向跟踪。</w:t>
      </w:r>
    </w:p>
    <w:p w14:paraId="3ECD78A2">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5.支持界面：生理学屏幕、生理学关系屏幕、目标定位屏幕、仪表盘屏幕、主监护屏幕、趋势图屏幕、趋势表屏幕、趋势图表屏幕、聚焦屏幕；ART波形、CVP波形、PAP波形，提供直观的监测数据及动态模拟图。</w:t>
      </w:r>
    </w:p>
    <w:p w14:paraId="56999A5D">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6.显示屏：触摸操作显示屏，≥12英寸，分辨率≥1024x768。</w:t>
      </w:r>
    </w:p>
    <w:p w14:paraId="4623EEF1">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7.操作系统：Windows7操作系统，可选择中文、英文操作界面。根据临床需求自定义设置显示方式。</w:t>
      </w:r>
    </w:p>
    <w:p w14:paraId="33C6C8C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8.报警功能：报警同时可分析报警原因，辅助排除故障。</w:t>
      </w:r>
    </w:p>
    <w:p w14:paraId="58F49E2D">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9.衍生参数计算功能：系统自带衍生参数计算器，可计算血流动力学及氧动力学衍生参数。</w:t>
      </w:r>
    </w:p>
    <w:p w14:paraId="71076D9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10.数据保存：</w:t>
      </w:r>
    </w:p>
    <w:p w14:paraId="0620424D">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10.1显示屏自带拍照功能，一键拍照截屏，数据图可下载到U盘保存；</w:t>
      </w:r>
    </w:p>
    <w:p w14:paraId="3291DFB2">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10.2监测数据可直接导出并自动形成Excel表，数据可下载到U盘保存。</w:t>
      </w:r>
    </w:p>
    <w:p w14:paraId="522E4587">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11.数据端口：HDMI高清端口、RS-232端口、USB端口、以太网端口、ECG端口。</w:t>
      </w:r>
    </w:p>
    <w:p w14:paraId="3A5A6574">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12.可与医院信息化管理系统连接，免费开放端口。</w:t>
      </w:r>
    </w:p>
    <w:p w14:paraId="6F15FC13">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13.电源：AC100-240V，50Hz；功率≤60W。</w:t>
      </w:r>
    </w:p>
    <w:p w14:paraId="1C3C62D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三、监测参数</w:t>
      </w:r>
    </w:p>
    <w:p w14:paraId="1D68015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1．经外周动脉连续监测：</w:t>
      </w:r>
    </w:p>
    <w:p w14:paraId="5E94BF9A">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1.1心排量（CO）、心排指数（CI）、每搏量（SV）、每搏量指数（SVI）；</w:t>
      </w:r>
    </w:p>
    <w:p w14:paraId="0CCA2179">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1.2每搏量变异度（SVV）、脉压变异度（PPV）；</w:t>
      </w:r>
    </w:p>
    <w:p w14:paraId="6D931D1A">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1.3外周阻力（SVR）、外周阻力指数（SVRI）；</w:t>
      </w:r>
    </w:p>
    <w:p w14:paraId="56A0F53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1.4平均动脉压（MAP）、中心静脉压（CVP）、收缩压（SYS）、舒张压(DIA)。</w:t>
      </w:r>
    </w:p>
    <w:p w14:paraId="6501FF59">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2．经漂浮导管技术连续监测：</w:t>
      </w:r>
    </w:p>
    <w:p w14:paraId="29345FDC">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2.1压力参数： 肺动脉压（PAP）、肺动脉嵌顿压（PAOP）、右房压（RAP）、中心静脉压（CVP）、平均动脉压（MAP）；</w:t>
      </w:r>
    </w:p>
    <w:p w14:paraId="64EB1CD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2.2前负荷参数：右心室舒张末期容积（RVEDV）、右心舒张期末期容积指数（RVEDVI）；</w:t>
      </w:r>
    </w:p>
    <w:p w14:paraId="173740C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2.3心功能参数：心排量（CO）、心排指数（CI）、每搏量（SV）、每搏量指数（SVI）、右心室射血分数（RVEF)；</w:t>
      </w:r>
    </w:p>
    <w:p w14:paraId="4B5A98A5">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2.4后负荷参数：外周血管阻力(SVR)、外周血管阻力指数（SVRI）、肺血管阻力（PVR）、肺血管阻力指数（PVRI）；</w:t>
      </w:r>
    </w:p>
    <w:p w14:paraId="4351F72E">
      <w:pPr>
        <w:pStyle w:val="7"/>
        <w:numPr>
          <w:ilvl w:val="0"/>
          <w:numId w:val="0"/>
        </w:numPr>
        <w:spacing w:line="360" w:lineRule="auto"/>
        <w:rPr>
          <w:rFonts w:hint="eastAsia" w:ascii="宋体" w:hAnsi="宋体" w:eastAsia="宋体" w:cs="宋体"/>
          <w:bCs/>
          <w:kern w:val="0"/>
          <w:sz w:val="24"/>
          <w:szCs w:val="24"/>
        </w:rPr>
      </w:pPr>
      <w:r>
        <w:rPr>
          <w:rFonts w:hint="eastAsia" w:ascii="宋体" w:hAnsi="宋体" w:eastAsia="宋体" w:cs="宋体"/>
          <w:kern w:val="2"/>
          <w:sz w:val="24"/>
          <w:szCs w:val="24"/>
          <w:lang w:val="en-US" w:eastAsia="zh-CN" w:bidi="ar-SA"/>
        </w:rPr>
        <w:t>2.5氧代谢参数：混合静脉氧饱和度（SvO2）、中心静脉氧饱和度（ScvO2）、氧供（DO2）、氧耗（VO2）。</w:t>
      </w:r>
    </w:p>
    <w:p w14:paraId="45A9F2FA">
      <w:pPr>
        <w:spacing w:line="484"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设备2</w:t>
      </w:r>
      <w:r>
        <w:rPr>
          <w:rFonts w:hint="eastAsia" w:ascii="宋体" w:hAnsi="宋体" w:eastAsia="宋体" w:cs="宋体"/>
          <w:b w:val="0"/>
          <w:bCs/>
          <w:kern w:val="0"/>
          <w:sz w:val="24"/>
          <w:szCs w:val="24"/>
        </w:rPr>
        <w:t>：胸阻抗断层成像仪</w:t>
      </w:r>
    </w:p>
    <w:p w14:paraId="5698F403">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应用电阻抗断层成像技术，显示肺部通气影像，持续生成肺功能横截面图，可持续提供有关区域通气分布和呼气末肺容量变化的图形信息。可用于机械通气、无创通气、高流速氧疗和自主呼吸的患者，适用于重症监护病房、麻醉室及恢复室等不同临床环境。</w:t>
      </w:r>
    </w:p>
    <w:p w14:paraId="280074BA">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设备为非组装一体化架构，全触摸彩色显示屏≥17英寸，分辨率≥1440 x 900 像素，对比度最小500 : 1,可上下左右旋转调节， ≥130°可视角度。</w:t>
      </w:r>
    </w:p>
    <w:p w14:paraId="4EF4F0CB">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具有中继电缆端口与测试接头EIT模块，可用于设备自检；</w:t>
      </w:r>
    </w:p>
    <w:p w14:paraId="0756E8B8">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 xml:space="preserve">主电源与内置电池模块；主电源AC100-240 V，50 Hz，功率≤150W。当主电源故障后，内置电源能维持≥5分钟使用时间； </w:t>
      </w:r>
    </w:p>
    <w:p w14:paraId="75F6089B">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具备手柄和4个带锁定闸的双脚轮的推车；</w:t>
      </w:r>
    </w:p>
    <w:p w14:paraId="2FE6D17C">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中继电缆：中继电缆插头和颜色字母标记的患者端左、右插头；</w:t>
      </w:r>
    </w:p>
    <w:p w14:paraId="09A9E9E9">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成人电极缚带有五种型号可供使用：S 、M、L、XL、XXL，可用于胸围70- 150cm的患者。每种型号的电极缚带含16个等距电极和1个封口端，封口有6个不同位置，可根据患者胸围尺寸调节。各型号颜色不同并带有尺寸标签，患者电缆型号与电极缚带型号相匹配。电极缚带为导电硅胶材料。</w:t>
      </w:r>
    </w:p>
    <w:p w14:paraId="1108BCB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t>小儿患者绑带有四种型号可供使用：XS、2XS、3XS、4XS，可用于胸围36cm到72cm的小儿患者。每种型号的绑带含16个等距电极，封口有5个不同位置，可根据患者胸围尺寸调节更灵活。各型号颜色不同并带有尺寸标签。绑带为导电硅胶材料。</w:t>
      </w:r>
    </w:p>
    <w:p w14:paraId="4A03C7C7">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t>成人患者电缆有五种型号可供使用： S 、M、L、XL、XXL，可用于胸围70-150cm的患者。每种型号的患者电缆含16个等距电极按扣、1个封口按扣、1个参比电极按扣和左、右患者电缆接口。患者电缆左、右接口与中继电缆患者端左、右插头相对应连接。</w:t>
      </w:r>
    </w:p>
    <w:p w14:paraId="584C4B1A">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t>小儿患者电缆有四种型号可供使用：4XS、3XS、2XS、XS，可用于胸围36-72cm的小儿患者，每种型号的患者电缆含16个等距电极按扣、1个参比电极按扣和左、右患者电缆接口。患者电缆左、右接口与中继电缆患者端左、右插头相对应连接。</w:t>
      </w:r>
    </w:p>
    <w:p w14:paraId="5074E273">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11.</w:t>
      </w:r>
      <w:r>
        <w:rPr>
          <w:rFonts w:hint="eastAsia" w:ascii="宋体" w:hAnsi="宋体" w:eastAsia="宋体" w:cs="宋体"/>
          <w:kern w:val="2"/>
          <w:sz w:val="24"/>
          <w:szCs w:val="24"/>
          <w:lang w:val="en-US" w:eastAsia="zh-CN" w:bidi="ar-SA"/>
        </w:rPr>
        <w:t>具备5种监测视图界面：主视图、全屏图像、吸气末趋势图、ΔEELI趋势图、诊断视图。</w:t>
      </w:r>
    </w:p>
    <w:p w14:paraId="57C53689">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t>主视图界面：</w:t>
      </w:r>
    </w:p>
    <w:p w14:paraId="562D6C8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12.1可显示动态图像和状态图像，其中状态图像具备潮气图像和分钟图像2种图像可选择；</w:t>
      </w:r>
    </w:p>
    <w:p w14:paraId="24F5519A">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12.2阻抗波形可显示全局和区域阻抗波形；</w:t>
      </w:r>
    </w:p>
    <w:p w14:paraId="18C7F932">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12.3参数具备全局潮气阻抗变化 TV global 、区域潮气阻抗变化TV ROI%和潮气频率Tidal rate显示；</w:t>
      </w:r>
    </w:p>
    <w:p w14:paraId="2917FFBD">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具备参考功能，开启后可显示参考状态图像、差值图像、参考波形和参考参数，可实时对比当前和参考状态阻抗变化情况，参考参数间的偏差可以图形显示；12.5可与呼吸机数据共享，连接后在全局阻抗波形一栏可显示呼吸波形以及潮气量参数TV。</w:t>
      </w:r>
    </w:p>
    <w:p w14:paraId="43680E0A">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t>全屏图像界面：有2种图像选择，可将状态图像或动态图像最大化，可教学或远程监测。</w:t>
      </w:r>
    </w:p>
    <w:p w14:paraId="0F04CB7B">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14.</w:t>
      </w:r>
      <w:r>
        <w:rPr>
          <w:rFonts w:hint="eastAsia" w:ascii="宋体" w:hAnsi="宋体" w:eastAsia="宋体" w:cs="宋体"/>
          <w:kern w:val="2"/>
          <w:sz w:val="24"/>
          <w:szCs w:val="24"/>
          <w:lang w:val="en-US" w:eastAsia="zh-CN" w:bidi="ar-SA"/>
        </w:rPr>
        <w:t>吸气末趋势界面：</w:t>
      </w:r>
    </w:p>
    <w:p w14:paraId="5F416020">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14.1可选择任意两个时刻进行吸气末肺阻抗变化情况，可显示差值状态图、参考和当前状态图；</w:t>
      </w:r>
    </w:p>
    <w:p w14:paraId="4AE0D4C7">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14.2最长可显示120min内全局阻抗波形；</w:t>
      </w:r>
    </w:p>
    <w:p w14:paraId="4953AF33">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14.3与呼吸机连接后可显示通气参数、波形及趋势图。</w:t>
      </w:r>
    </w:p>
    <w:p w14:paraId="3E705250">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15.</w:t>
      </w:r>
      <w:r>
        <w:rPr>
          <w:rFonts w:hint="eastAsia" w:ascii="宋体" w:hAnsi="宋体" w:eastAsia="宋体" w:cs="宋体"/>
          <w:kern w:val="2"/>
          <w:sz w:val="24"/>
          <w:szCs w:val="24"/>
          <w:lang w:val="en-US" w:eastAsia="zh-CN" w:bidi="ar-SA"/>
        </w:rPr>
        <w:t>ΔEELI趋势界面：</w:t>
      </w:r>
    </w:p>
    <w:p w14:paraId="5771A0E4">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15.1可显示电极平面内呼气末肺容量短期变化的区域信息，可显示≥120分钟内的呼气末电阻抗波形变化趋势；</w:t>
      </w:r>
    </w:p>
    <w:p w14:paraId="6DAA807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15.2可选择任意两个时刻进行呼气末电阻抗比较分析，可显示差值图像，通过差值图像形式表现两个时刻呼气末电阻抗的差值，显示监测区域内呼气末肺容量的短期变化信息；</w:t>
      </w:r>
    </w:p>
    <w:p w14:paraId="428C17B3">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15.3与呼吸机连接后可显示通气参数、波形及趋势图，可实时了解患者呼气末肺容积变化具体数值。</w:t>
      </w:r>
    </w:p>
    <w:p w14:paraId="24345D6A">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16.</w:t>
      </w:r>
      <w:r>
        <w:rPr>
          <w:rFonts w:hint="eastAsia" w:ascii="宋体" w:hAnsi="宋体" w:eastAsia="宋体" w:cs="宋体"/>
          <w:kern w:val="2"/>
          <w:sz w:val="24"/>
          <w:szCs w:val="24"/>
          <w:lang w:val="en-US" w:eastAsia="zh-CN" w:bidi="ar-SA"/>
        </w:rPr>
        <w:t>诊断视图界面：</w:t>
      </w:r>
    </w:p>
    <w:p w14:paraId="266CF585">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16.1可自动执行PEEP滴定分析，可手动自定义执行分析，最多可选择15个PEEP水平进行顺应性变化和区域通气延迟（RVD）分析；</w:t>
      </w:r>
    </w:p>
    <w:p w14:paraId="6B11C294">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16.2区域通气延迟RVD具备2种参数计算和显示方式，RVD比（Ratio）或RVD 标准差（SD），可设置RVD阈值及RVD切点值，分析结束后可生成分析报告；</w:t>
      </w:r>
    </w:p>
    <w:p w14:paraId="586606E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16.3与呼吸机连接后可显示通气参数趋势图。</w:t>
      </w:r>
    </w:p>
    <w:p w14:paraId="14172F23">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t>具有增强对比功能：能识别因心脏活动、膈肌活动、胸腔积液、气胸等引起的反向阻抗变化信息，提示电极缚带与患者电缆位置过低可能等临床信息。</w:t>
      </w:r>
    </w:p>
    <w:p w14:paraId="3185CFA8">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18.</w:t>
      </w:r>
      <w:r>
        <w:rPr>
          <w:rFonts w:hint="eastAsia" w:ascii="宋体" w:hAnsi="宋体" w:eastAsia="宋体" w:cs="宋体"/>
          <w:kern w:val="2"/>
          <w:sz w:val="24"/>
          <w:szCs w:val="24"/>
          <w:lang w:val="en-US" w:eastAsia="zh-CN" w:bidi="ar-SA"/>
        </w:rPr>
        <w:t>具备15电极模式：支持患者皮肤与一个电极之间无法充分接触（例如，皮肤伤口处有敷料）下的EIT监测，监测图像分辨率轻微降低，但测量不受影响。</w:t>
      </w:r>
    </w:p>
    <w:p w14:paraId="4B109174">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19.</w:t>
      </w:r>
      <w:r>
        <w:rPr>
          <w:rFonts w:hint="eastAsia" w:ascii="宋体" w:hAnsi="宋体" w:eastAsia="宋体" w:cs="宋体"/>
          <w:kern w:val="2"/>
          <w:sz w:val="24"/>
          <w:szCs w:val="24"/>
          <w:lang w:val="en-US" w:eastAsia="zh-CN" w:bidi="ar-SA"/>
        </w:rPr>
        <w:t>帧速率：成像速率最高≥50Hz</w:t>
      </w:r>
    </w:p>
    <w:p w14:paraId="07796D4E">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20.</w:t>
      </w:r>
      <w:r>
        <w:rPr>
          <w:rFonts w:hint="eastAsia" w:ascii="宋体" w:hAnsi="宋体" w:eastAsia="宋体" w:cs="宋体"/>
          <w:kern w:val="2"/>
          <w:sz w:val="24"/>
          <w:szCs w:val="24"/>
          <w:lang w:val="en-US" w:eastAsia="zh-CN" w:bidi="ar-SA"/>
        </w:rPr>
        <w:t>滤波器设置功能：有助于区分通气和心脏活动造成的电阻抗变化信息，具备3种滤波器设置，低通滤波显示通气相关阻抗变化，带通滤波显示与心脏相关阻抗变化；具备2种切点频率设置方式，切点频率设置范围10-300/min。</w:t>
      </w:r>
    </w:p>
    <w:p w14:paraId="0B7116E7">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21.</w:t>
      </w:r>
      <w:r>
        <w:rPr>
          <w:rFonts w:hint="eastAsia" w:ascii="宋体" w:hAnsi="宋体" w:eastAsia="宋体" w:cs="宋体"/>
          <w:kern w:val="2"/>
          <w:sz w:val="24"/>
          <w:szCs w:val="24"/>
          <w:lang w:val="en-US" w:eastAsia="zh-CN" w:bidi="ar-SA"/>
        </w:rPr>
        <w:t>通过数据电缆连接能与指定的呼吸机共享潮气量参数及容量-时间波形，并显示于设备屏幕。</w:t>
      </w:r>
    </w:p>
    <w:p w14:paraId="238BC3CD">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22.</w:t>
      </w:r>
      <w:r>
        <w:rPr>
          <w:rFonts w:hint="eastAsia" w:ascii="宋体" w:hAnsi="宋体" w:eastAsia="宋体" w:cs="宋体"/>
          <w:kern w:val="2"/>
          <w:sz w:val="24"/>
          <w:szCs w:val="24"/>
          <w:lang w:val="en-US" w:eastAsia="zh-CN" w:bidi="ar-SA"/>
        </w:rPr>
        <w:t>具备USB接口≥3个。</w:t>
      </w:r>
    </w:p>
    <w:p w14:paraId="68251E61">
      <w:pPr>
        <w:pStyle w:val="7"/>
        <w:numPr>
          <w:ilvl w:val="0"/>
          <w:numId w:val="0"/>
        </w:numPr>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23.</w:t>
      </w:r>
      <w:r>
        <w:rPr>
          <w:rFonts w:hint="eastAsia" w:ascii="宋体" w:hAnsi="宋体" w:eastAsia="宋体" w:cs="宋体"/>
          <w:kern w:val="2"/>
          <w:sz w:val="24"/>
          <w:szCs w:val="24"/>
          <w:lang w:val="en-US" w:eastAsia="zh-CN" w:bidi="ar-SA"/>
        </w:rPr>
        <w:t>具备RS232接口≥3个。</w:t>
      </w:r>
    </w:p>
    <w:p w14:paraId="088766C4">
      <w:pPr>
        <w:pStyle w:val="7"/>
        <w:numPr>
          <w:ilvl w:val="0"/>
          <w:numId w:val="0"/>
        </w:numPr>
        <w:spacing w:line="360" w:lineRule="auto"/>
        <w:rPr>
          <w:rFonts w:hint="eastAsia" w:ascii="宋体" w:hAnsi="宋体" w:eastAsia="宋体" w:cs="宋体"/>
          <w:bCs/>
          <w:kern w:val="0"/>
          <w:sz w:val="24"/>
          <w:szCs w:val="24"/>
        </w:rPr>
      </w:pPr>
      <w:r>
        <w:rPr>
          <w:rFonts w:hint="default" w:ascii="宋体" w:hAnsi="宋体" w:eastAsia="宋体" w:cs="宋体"/>
          <w:kern w:val="2"/>
          <w:sz w:val="24"/>
          <w:szCs w:val="24"/>
          <w:lang w:val="en-US" w:eastAsia="zh-CN" w:bidi="ar-SA"/>
        </w:rPr>
        <w:t>24.</w:t>
      </w:r>
      <w:r>
        <w:rPr>
          <w:rFonts w:hint="eastAsia" w:ascii="宋体" w:hAnsi="宋体" w:eastAsia="宋体" w:cs="宋体"/>
          <w:kern w:val="2"/>
          <w:sz w:val="24"/>
          <w:szCs w:val="24"/>
          <w:lang w:val="en-US" w:eastAsia="zh-CN" w:bidi="ar-SA"/>
        </w:rPr>
        <w:t>经TUV全质量保证体系认证。</w:t>
      </w:r>
    </w:p>
    <w:p w14:paraId="5D9AEEE6">
      <w:pPr>
        <w:spacing w:line="484"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设备3</w:t>
      </w:r>
      <w:r>
        <w:rPr>
          <w:rFonts w:hint="eastAsia" w:ascii="宋体" w:hAnsi="宋体" w:eastAsia="宋体" w:cs="宋体"/>
          <w:b w:val="0"/>
          <w:bCs/>
          <w:kern w:val="0"/>
          <w:sz w:val="24"/>
          <w:szCs w:val="24"/>
        </w:rPr>
        <w:t>：连续性血液净化设备</w:t>
      </w:r>
    </w:p>
    <w:p w14:paraId="0C70F58D">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1．具备彩色液晶触摸屏≥14英寸 ，显示数据：处方、流量、压力，抗凝等。</w:t>
      </w:r>
    </w:p>
    <w:p w14:paraId="0CA5417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2.具备治疗模式≥6种，包括：SCUF缓慢持续超滤、CVVH连续静-静脉血液滤过、CVVHD连续静-静脉血液透析、CVVHDF连续静-静脉血液透析滤过 、HP血液灌流 、TPE血浆置换等。</w:t>
      </w:r>
    </w:p>
    <w:p w14:paraId="5B80594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3.具备检测功能：</w:t>
      </w:r>
    </w:p>
    <w:p w14:paraId="7603467C">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3.1.防除颤CF最高等级</w:t>
      </w:r>
    </w:p>
    <w:p w14:paraId="39536E54">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3.2.空气检测器：具备空气检测功能。</w:t>
      </w:r>
    </w:p>
    <w:p w14:paraId="4BDC6E92">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3.3.漏血检测器：具备漏血检测功能。</w:t>
      </w:r>
    </w:p>
    <w:p w14:paraId="52A4C097">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3.4.漏液检测：具备漏液检测功能，承滴盘中漏液累计≥ 50 ml，发出警示报警。</w:t>
      </w:r>
    </w:p>
    <w:p w14:paraId="50752C95">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3.5.抗干扰功能：具备抗静电装置，防止对心电监护等的干扰。。</w:t>
      </w:r>
    </w:p>
    <w:p w14:paraId="09B67AC1">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 具备智能血液加温系统，联动控制。设定目标温度后，可自动调整回血温度，实现智能血液加温。</w:t>
      </w:r>
    </w:p>
    <w:p w14:paraId="06225083">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 泵≥5个；含：透析液泵、置换液泵、废液泵、血泵前泵、注射泵等。</w:t>
      </w:r>
    </w:p>
    <w:p w14:paraId="3D4153F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6.一体化预连接管路，全自动安装、预冲、安全测试。一套滤器可以完成SCUF、CVVHDF、CVVH、CVVHD模式，不需更换配套。</w:t>
      </w:r>
    </w:p>
    <w:p w14:paraId="6CC21C15">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7、具有检测：动脉压力、静脉压力、滤器前压力、滤出液压力、跨膜压、滤器下降压等。</w:t>
      </w:r>
    </w:p>
    <w:p w14:paraId="6564DFCA">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8.具备调阅、下载病人治疗数据功能。</w:t>
      </w:r>
    </w:p>
    <w:p w14:paraId="5B44CBCF">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9.具备循环功能，可在病人长时间脱机或转移后恢复使用同一套管路，具备异地准备，异地上机功能。</w:t>
      </w:r>
    </w:p>
    <w:p w14:paraId="7919F08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10.自动除气壶，可以自动去除治疗过程中置换液内的气泡，避免凝血。</w:t>
      </w:r>
    </w:p>
    <w:p w14:paraId="1AC3423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11.其他：</w:t>
      </w:r>
    </w:p>
    <w:p w14:paraId="3CE5CF35">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▲11.1液体部分：血流速度：10～400ml/min；置换液：10～7000ml/h；透析液：10～7000ml/h；净超滤：0～1850ml/h。</w:t>
      </w:r>
    </w:p>
    <w:p w14:paraId="24D08A73">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▲11.2秤：具有≥4个平衡称，称重范围≥40kg ；能自动提示换袋时间； </w:t>
      </w:r>
    </w:p>
    <w:p w14:paraId="5AD5040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▲11.3压力：动脉压检测范围：-250mmHg~+400mmHg；静脉压检测范围：-45mmHg~+330mmHg；滤器前压力：-45mmHg~+400mmHg；滤过液压力：-300mmHg~+350mmHg。</w:t>
      </w:r>
    </w:p>
    <w:p w14:paraId="4775770E">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▲12．抗凝要求：</w:t>
      </w:r>
    </w:p>
    <w:p w14:paraId="594E2B7C">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12.1.具备局部枸橼酸抗凝、全身性抗凝、无抗凝剂治疗</w:t>
      </w:r>
    </w:p>
    <w:p w14:paraId="1F21A496">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12.2可在CRRT全治疗模式、TPE治疗模式使用枸橼酸抗凝；</w:t>
      </w:r>
    </w:p>
    <w:p w14:paraId="3208486D">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12.3、具备全自动一体化枸橼酸抗凝治疗模式，支持使用高浓度、低浓度枸橼酸，具有≥3种枸橼酸抗凝配方。</w:t>
      </w:r>
    </w:p>
    <w:p w14:paraId="354E2BBA">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 应用SCUF 、CVVH、CVVHD、CVVHDF、TPE模式时实现全自动枸橼酸模式，无需外接动力系统。</w:t>
      </w:r>
    </w:p>
    <w:p w14:paraId="57EE3DA5">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 具备智能调节废液泵转速，脱水量自动补偿功能，CRRT达成剂量为处方剂量≥99%；</w:t>
      </w:r>
    </w:p>
    <w:p w14:paraId="670414C2">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14.具备自动废液排除系统；</w:t>
      </w:r>
    </w:p>
    <w:p w14:paraId="1ECB242E">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15.配套滤器具备可清除炎症因子、内毒素耗材；</w:t>
      </w:r>
    </w:p>
    <w:p w14:paraId="27437698">
      <w:pPr>
        <w:pStyle w:val="7"/>
        <w:numPr>
          <w:ilvl w:val="0"/>
          <w:numId w:val="0"/>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 后备电源：停电后能维持体外循环≥30分钟</w:t>
      </w:r>
    </w:p>
    <w:p w14:paraId="6A9B3C68">
      <w:r>
        <w:rPr>
          <w:rFonts w:hint="eastAsia" w:ascii="宋体" w:hAnsi="宋体" w:eastAsia="宋体" w:cs="宋体"/>
          <w:kern w:val="2"/>
          <w:sz w:val="24"/>
          <w:szCs w:val="24"/>
          <w:lang w:val="en-US" w:eastAsia="zh-CN" w:bidi="ar-SA"/>
        </w:rPr>
        <w:t>17.符合GB9706.1 医用电气设备通用安全要求CF等级认证， 使用CRRT同时支持除颤。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decorative"/>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6576C"/>
    <w:multiLevelType w:val="multilevel"/>
    <w:tmpl w:val="5B96576C"/>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055BD"/>
    <w:rsid w:val="71705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customStyle="1" w:styleId="5">
    <w:name w:val="列出段落1"/>
    <w:basedOn w:val="1"/>
    <w:qFormat/>
    <w:uiPriority w:val="34"/>
    <w:pPr>
      <w:ind w:firstLine="420" w:firstLineChars="200"/>
    </w:pPr>
    <w:rPr>
      <w:rFonts w:ascii="Calibri" w:hAnsi="Calibri"/>
      <w:szCs w:val="22"/>
    </w:rPr>
  </w:style>
  <w:style w:type="paragraph" w:customStyle="1" w:styleId="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列出段落3"/>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2025-07-03T04:11:00Z</dcterms:created>
  <dc:creator>王崴</dc:creator>
  <cp:lastModifiedBy>王崴</cp:lastModifiedBy>
  <dcterms:modified xsi:type="dcterms:W3CDTF">2025-07-03T04:12:53Z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DCFE69EF0932430099CF22965FF332E6_11</vt:lpwstr>
  </property>
  <property fmtid="{D5CDD505-2E9C-101B-9397-08002B2CF9AE}" pid="4" name="KSOTemplateDocerSaveRecord">
    <vt:lpwstr>eyJoZGlkIjoiMDcyMmFjNmZjM2U5ODcyZjQ5NTE0NjNjMjU2OTE5OTIiLCJ1c2VySWQiOiI4NDYxOTIwMTUifQ==</vt:lpwstr>
  </property>
</Properties>
</file>