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bookmarkStart w:id="0" w:name="_Toc99301424"/>
      <w:bookmarkStart w:id="1" w:name="_Toc353825545"/>
      <w:bookmarkStart w:id="2" w:name="_Toc226337251"/>
      <w:bookmarkStart w:id="3" w:name="_Toc226965828"/>
      <w:bookmarkStart w:id="4" w:name="_Toc264969245"/>
      <w:bookmarkStart w:id="5" w:name="_Toc127151555"/>
      <w:bookmarkStart w:id="6" w:name="_Toc195842920"/>
      <w:bookmarkStart w:id="7" w:name="_Toc305158897"/>
      <w:bookmarkStart w:id="8" w:name="_Toc265228393"/>
      <w:bookmarkStart w:id="9" w:name="_Toc150480793"/>
      <w:bookmarkStart w:id="10" w:name="_Toc150774760"/>
      <w:bookmarkStart w:id="11" w:name="_Toc142311057"/>
      <w:bookmarkStart w:id="12" w:name="_Toc353873935"/>
      <w:bookmarkStart w:id="13" w:name="_Toc353873665"/>
      <w:bookmarkStart w:id="14" w:name="_Toc305158823"/>
      <w:r>
        <w:rPr>
          <w:b/>
          <w:sz w:val="36"/>
          <w:szCs w:val="36"/>
        </w:rPr>
        <w:t xml:space="preserve">  采购需求</w:t>
      </w:r>
      <w:bookmarkEnd w:id="0"/>
    </w:p>
    <w:p>
      <w:pPr>
        <w:pStyle w:val="58"/>
        <w:numPr>
          <w:ilvl w:val="0"/>
          <w:numId w:val="8"/>
        </w:numPr>
        <w:spacing w:line="360" w:lineRule="auto"/>
        <w:ind w:firstLineChars="0"/>
        <w:contextualSpacing/>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采购标的</w:t>
      </w:r>
    </w:p>
    <w:p>
      <w:pPr>
        <w:spacing w:line="360" w:lineRule="auto"/>
        <w:ind w:firstLine="420" w:firstLineChars="200"/>
        <w:contextualSpacing/>
        <w:rPr>
          <w:rFonts w:asciiTheme="minorEastAsia" w:hAnsiTheme="minorEastAsia" w:eastAsiaTheme="minorEastAsia" w:cstheme="minorEastAsia"/>
          <w:bCs/>
          <w:szCs w:val="21"/>
        </w:rPr>
      </w:pPr>
      <w:bookmarkStart w:id="15" w:name="_Toc23035"/>
      <w:bookmarkStart w:id="16" w:name="_Toc1635"/>
      <w:r>
        <w:rPr>
          <w:rFonts w:hint="eastAsia" w:asciiTheme="minorEastAsia" w:hAnsiTheme="minorEastAsia" w:eastAsiaTheme="minorEastAsia" w:cstheme="minorEastAsia"/>
          <w:bCs/>
          <w:szCs w:val="21"/>
        </w:rPr>
        <w:t>（一）</w:t>
      </w:r>
      <w:bookmarkEnd w:id="15"/>
      <w:bookmarkEnd w:id="16"/>
      <w:r>
        <w:rPr>
          <w:rFonts w:hint="eastAsia" w:asciiTheme="minorEastAsia" w:hAnsiTheme="minorEastAsia" w:eastAsiaTheme="minorEastAsia" w:cstheme="minorEastAsia"/>
          <w:bCs/>
          <w:szCs w:val="21"/>
        </w:rPr>
        <w:t>采购标的</w:t>
      </w:r>
    </w:p>
    <w:tbl>
      <w:tblPr>
        <w:tblStyle w:val="43"/>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740"/>
        <w:gridCol w:w="299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vAlign w:val="center"/>
          </w:tcPr>
          <w:p>
            <w:pPr>
              <w:widowControl/>
              <w:jc w:val="center"/>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包号</w:t>
            </w:r>
          </w:p>
        </w:tc>
        <w:tc>
          <w:tcPr>
            <w:tcW w:w="2740" w:type="dxa"/>
            <w:vAlign w:val="center"/>
          </w:tcPr>
          <w:p>
            <w:pPr>
              <w:widowControl/>
              <w:jc w:val="center"/>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标的名称</w:t>
            </w:r>
          </w:p>
        </w:tc>
        <w:tc>
          <w:tcPr>
            <w:tcW w:w="2991" w:type="dxa"/>
            <w:vAlign w:val="center"/>
          </w:tcPr>
          <w:p>
            <w:pPr>
              <w:widowControl/>
              <w:jc w:val="center"/>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采购包预算金额</w:t>
            </w:r>
          </w:p>
          <w:p>
            <w:pPr>
              <w:widowControl/>
              <w:jc w:val="center"/>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（万元）</w:t>
            </w:r>
          </w:p>
        </w:tc>
        <w:tc>
          <w:tcPr>
            <w:tcW w:w="1751" w:type="dxa"/>
            <w:vAlign w:val="center"/>
          </w:tcPr>
          <w:p>
            <w:pPr>
              <w:widowControl/>
              <w:jc w:val="center"/>
              <w:textAlignment w:val="center"/>
              <w:rPr>
                <w:rFonts w:asciiTheme="minorEastAsia" w:hAnsiTheme="minorEastAsia" w:eastAsiaTheme="minorEastAsia" w:cstheme="minorEastAsia"/>
                <w:b/>
                <w:bCs/>
                <w:color w:val="000000"/>
                <w:kern w:val="0"/>
                <w:szCs w:val="21"/>
                <w:lang w:bidi="ar"/>
              </w:rPr>
            </w:pPr>
            <w:r>
              <w:rPr>
                <w:rFonts w:hint="eastAsia" w:asciiTheme="minorEastAsia" w:hAnsiTheme="minorEastAsia" w:eastAsiaTheme="minorEastAsia" w:cstheme="minorEastAsia"/>
                <w:b/>
                <w:bCs/>
                <w:color w:val="000000"/>
                <w:kern w:val="0"/>
                <w:szCs w:val="21"/>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9" w:type="dxa"/>
            <w:vAlign w:val="center"/>
          </w:tcPr>
          <w:p>
            <w:pPr>
              <w:widowControl/>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c>
          <w:tcPr>
            <w:tcW w:w="2740" w:type="dxa"/>
            <w:vAlign w:val="center"/>
          </w:tcPr>
          <w:p>
            <w:pPr>
              <w:widowControl/>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北京市园林绿化大数据中心2025年政务云基础服务采购项目</w:t>
            </w:r>
          </w:p>
        </w:tc>
        <w:tc>
          <w:tcPr>
            <w:tcW w:w="2991" w:type="dxa"/>
            <w:vAlign w:val="center"/>
          </w:tcPr>
          <w:p>
            <w:pPr>
              <w:widowControl/>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155.505</w:t>
            </w:r>
          </w:p>
        </w:tc>
        <w:tc>
          <w:tcPr>
            <w:tcW w:w="1751" w:type="dxa"/>
            <w:vAlign w:val="center"/>
          </w:tcPr>
          <w:p>
            <w:pPr>
              <w:widowControl/>
              <w:jc w:val="center"/>
              <w:textAlignment w:val="center"/>
              <w:rPr>
                <w:rFonts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1</w:t>
            </w:r>
          </w:p>
        </w:tc>
      </w:tr>
    </w:tbl>
    <w:p>
      <w:pPr>
        <w:spacing w:line="360" w:lineRule="auto"/>
        <w:ind w:firstLine="420" w:firstLineChars="200"/>
        <w:contextualSpacing/>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（二）基本情况</w:t>
      </w:r>
    </w:p>
    <w:p>
      <w:pPr>
        <w:spacing w:line="360" w:lineRule="auto"/>
        <w:ind w:firstLine="420" w:firstLineChars="200"/>
        <w:contextualSpacing/>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1. 服务清单  </w:t>
      </w:r>
    </w:p>
    <w:tbl>
      <w:tblPr>
        <w:tblStyle w:val="43"/>
        <w:tblW w:w="8517" w:type="dxa"/>
        <w:tblInd w:w="0" w:type="dxa"/>
        <w:tblLayout w:type="fixed"/>
        <w:tblCellMar>
          <w:top w:w="0" w:type="dxa"/>
          <w:left w:w="108" w:type="dxa"/>
          <w:bottom w:w="0" w:type="dxa"/>
          <w:right w:w="108" w:type="dxa"/>
        </w:tblCellMar>
      </w:tblPr>
      <w:tblGrid>
        <w:gridCol w:w="997"/>
        <w:gridCol w:w="1059"/>
        <w:gridCol w:w="1906"/>
        <w:gridCol w:w="1048"/>
        <w:gridCol w:w="997"/>
        <w:gridCol w:w="1096"/>
        <w:gridCol w:w="1414"/>
      </w:tblGrid>
      <w:tr>
        <w:tblPrEx>
          <w:tblLayout w:type="fixed"/>
          <w:tblCellMar>
            <w:top w:w="0" w:type="dxa"/>
            <w:left w:w="108" w:type="dxa"/>
            <w:bottom w:w="0" w:type="dxa"/>
            <w:right w:w="108" w:type="dxa"/>
          </w:tblCellMar>
        </w:tblPrEx>
        <w:trPr>
          <w:trHeight w:val="642" w:hRule="atLeast"/>
        </w:trPr>
        <w:tc>
          <w:tcPr>
            <w:tcW w:w="99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服务类别</w:t>
            </w:r>
          </w:p>
        </w:tc>
        <w:tc>
          <w:tcPr>
            <w:tcW w:w="1059"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服务子类</w:t>
            </w:r>
          </w:p>
        </w:tc>
        <w:tc>
          <w:tcPr>
            <w:tcW w:w="190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服务项</w:t>
            </w:r>
          </w:p>
        </w:tc>
        <w:tc>
          <w:tcPr>
            <w:tcW w:w="10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计价单位</w:t>
            </w:r>
          </w:p>
        </w:tc>
        <w:tc>
          <w:tcPr>
            <w:tcW w:w="99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报价单位</w:t>
            </w:r>
          </w:p>
        </w:tc>
        <w:tc>
          <w:tcPr>
            <w:tcW w:w="1096"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数量</w:t>
            </w:r>
          </w:p>
        </w:tc>
        <w:tc>
          <w:tcPr>
            <w:tcW w:w="1414"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kern w:val="0"/>
                <w:szCs w:val="21"/>
                <w:lang w:bidi="ar"/>
              </w:rPr>
              <w:t>期限（个月）</w:t>
            </w:r>
          </w:p>
        </w:tc>
      </w:tr>
      <w:tr>
        <w:tblPrEx>
          <w:tblLayout w:type="fixed"/>
          <w:tblCellMar>
            <w:top w:w="0" w:type="dxa"/>
            <w:left w:w="108" w:type="dxa"/>
            <w:bottom w:w="0" w:type="dxa"/>
            <w:right w:w="108" w:type="dxa"/>
          </w:tblCellMar>
        </w:tblPrEx>
        <w:trPr>
          <w:trHeight w:val="864" w:hRule="atLeast"/>
        </w:trPr>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计算服务</w:t>
            </w: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x86平台云主机服务</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vCPU（主频不低于2.4GHz）</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CPU</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370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288"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内存</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GB</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937</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1728" w:hRule="atLeast"/>
        </w:trPr>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存储服务</w:t>
            </w: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普通性能存储</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普通存储（单盘技术指标: 单盘IOPS 1000-3000 ）</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GB</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40800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2016"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高性能存储</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高性能存储（单盘技术指标：单盘IOPS 3000-20000 ）</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GB</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40800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576"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本地备份服务</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本地备份服务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1GB</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40800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576" w:hRule="atLeast"/>
        </w:trPr>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网络服务</w:t>
            </w:r>
          </w:p>
        </w:tc>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互联网链路服务</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互联网链路带宽</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Mb</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100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1440"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互联网IP地址租用服务、并提供备案服务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IP</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22</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576"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远程接入服务</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远程接入服务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1账号</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20</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r>
        <w:tblPrEx>
          <w:tblLayout w:type="fixed"/>
          <w:tblCellMar>
            <w:top w:w="0" w:type="dxa"/>
            <w:left w:w="108" w:type="dxa"/>
            <w:bottom w:w="0" w:type="dxa"/>
            <w:right w:w="108" w:type="dxa"/>
          </w:tblCellMar>
        </w:tblPrEx>
        <w:trPr>
          <w:trHeight w:val="864" w:hRule="atLeast"/>
        </w:trPr>
        <w:tc>
          <w:tcPr>
            <w:tcW w:w="9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cstheme="minorEastAsia"/>
                <w:color w:val="000000"/>
                <w:szCs w:val="21"/>
              </w:rPr>
            </w:pPr>
          </w:p>
        </w:tc>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WAF防护</w:t>
            </w:r>
          </w:p>
        </w:tc>
        <w:tc>
          <w:tcPr>
            <w:tcW w:w="19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WEB应用防火墙服务</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 IP（互联网）</w:t>
            </w:r>
          </w:p>
        </w:tc>
        <w:tc>
          <w:tcPr>
            <w:tcW w:w="9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元/月</w:t>
            </w:r>
          </w:p>
        </w:tc>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22</w:t>
            </w:r>
          </w:p>
        </w:tc>
        <w:tc>
          <w:tcPr>
            <w:tcW w:w="141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kern w:val="0"/>
                <w:szCs w:val="21"/>
                <w:lang w:bidi="ar"/>
              </w:rPr>
              <w:t>15</w:t>
            </w:r>
          </w:p>
        </w:tc>
      </w:tr>
    </w:tbl>
    <w:p>
      <w:pPr>
        <w:spacing w:line="360" w:lineRule="auto"/>
        <w:contextualSpacing/>
        <w:rPr>
          <w:rFonts w:asciiTheme="minorEastAsia" w:hAnsiTheme="minorEastAsia" w:eastAsiaTheme="minorEastAsia" w:cstheme="minorEastAsia"/>
          <w:bCs/>
          <w:szCs w:val="21"/>
        </w:rPr>
      </w:pPr>
    </w:p>
    <w:p>
      <w:pPr>
        <w:spacing w:line="360" w:lineRule="auto"/>
        <w:ind w:firstLine="420" w:firstLineChars="200"/>
        <w:contextualSpacing/>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 项目背景</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为贯彻落实北京市经济和信息化局关于印发《北京市市级政务云管理办法的通知》（京经信委函（2019）150号）文件的要求，北京市园林绿化大数据中心业务系统已于2017年逐步迁入市政务云。</w:t>
      </w:r>
    </w:p>
    <w:p>
      <w:pPr>
        <w:spacing w:line="360" w:lineRule="auto"/>
        <w:ind w:firstLine="482"/>
        <w:contextualSpacing/>
        <w:rPr>
          <w:rFonts w:asciiTheme="minorEastAsia" w:hAnsiTheme="minorEastAsia" w:eastAsiaTheme="minorEastAsia" w:cstheme="minorEastAsia"/>
          <w:bCs/>
          <w:szCs w:val="21"/>
        </w:rPr>
      </w:pPr>
    </w:p>
    <w:p>
      <w:pPr>
        <w:pStyle w:val="58"/>
        <w:spacing w:line="360" w:lineRule="auto"/>
        <w:ind w:firstLine="422"/>
        <w:contextualSpacing/>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二、商务要求</w:t>
      </w:r>
    </w:p>
    <w:p>
      <w:pPr>
        <w:spacing w:line="360" w:lineRule="auto"/>
        <w:ind w:firstLine="420" w:firstLineChars="200"/>
        <w:contextualSpacing/>
        <w:rPr>
          <w:rFonts w:asciiTheme="minorEastAsia" w:hAnsiTheme="minorEastAsia" w:eastAsiaTheme="minorEastAsia" w:cstheme="minorEastAsia"/>
          <w:i/>
          <w:szCs w:val="21"/>
        </w:rPr>
      </w:pPr>
      <w:r>
        <w:rPr>
          <w:rFonts w:hint="eastAsia" w:asciiTheme="minorEastAsia" w:hAnsiTheme="minorEastAsia" w:eastAsiaTheme="minorEastAsia" w:cstheme="minorEastAsia"/>
          <w:szCs w:val="21"/>
        </w:rPr>
        <w:t xml:space="preserve">2.1 </w:t>
      </w:r>
      <w:bookmarkStart w:id="17" w:name="OLE_LINK4"/>
      <w:bookmarkStart w:id="18" w:name="OLE_LINK2"/>
      <w:r>
        <w:rPr>
          <w:rFonts w:hint="eastAsia" w:asciiTheme="minorEastAsia" w:hAnsiTheme="minorEastAsia" w:eastAsiaTheme="minorEastAsia" w:cstheme="minorEastAsia"/>
          <w:szCs w:val="21"/>
        </w:rPr>
        <w:t>实施</w:t>
      </w:r>
      <w:bookmarkEnd w:id="17"/>
      <w:r>
        <w:rPr>
          <w:rFonts w:hint="eastAsia" w:asciiTheme="minorEastAsia" w:hAnsiTheme="minorEastAsia" w:eastAsiaTheme="minorEastAsia" w:cstheme="minorEastAsia"/>
          <w:szCs w:val="21"/>
        </w:rPr>
        <w:t>的期限</w:t>
      </w:r>
      <w:bookmarkEnd w:id="18"/>
      <w:r>
        <w:rPr>
          <w:rFonts w:hint="eastAsia" w:asciiTheme="minorEastAsia" w:hAnsiTheme="minorEastAsia" w:eastAsiaTheme="minorEastAsia" w:cstheme="minorEastAsia"/>
          <w:szCs w:val="21"/>
        </w:rPr>
        <w:t>和</w:t>
      </w:r>
      <w:bookmarkStart w:id="19" w:name="OLE_LINK3"/>
      <w:r>
        <w:rPr>
          <w:rFonts w:hint="eastAsia" w:asciiTheme="minorEastAsia" w:hAnsiTheme="minorEastAsia" w:eastAsiaTheme="minorEastAsia" w:cstheme="minorEastAsia"/>
          <w:szCs w:val="21"/>
        </w:rPr>
        <w:t>地点</w:t>
      </w:r>
      <w:bookmarkEnd w:id="19"/>
    </w:p>
    <w:p>
      <w:pPr>
        <w:pStyle w:val="38"/>
        <w:widowControl w:val="0"/>
        <w:adjustRightInd w:val="0"/>
        <w:snapToGrid w:val="0"/>
        <w:spacing w:before="0" w:beforeAutospacing="0" w:after="0" w:afterAutospacing="0" w:line="360" w:lineRule="auto"/>
        <w:ind w:firstLine="420" w:firstLineChars="20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实施时间（期限）：15个月</w:t>
      </w:r>
    </w:p>
    <w:p>
      <w:pPr>
        <w:pStyle w:val="38"/>
        <w:widowControl w:val="0"/>
        <w:adjustRightInd w:val="0"/>
        <w:snapToGrid w:val="0"/>
        <w:spacing w:before="0" w:beforeAutospacing="0" w:after="0" w:afterAutospacing="0" w:line="360" w:lineRule="auto"/>
        <w:ind w:firstLine="420" w:firstLineChars="200"/>
        <w:jc w:val="both"/>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实施地点：</w:t>
      </w:r>
      <w:r>
        <w:rPr>
          <w:rFonts w:hint="eastAsia" w:asciiTheme="minorEastAsia" w:hAnsiTheme="minorEastAsia" w:eastAsiaTheme="minorEastAsia" w:cstheme="minorEastAsia"/>
          <w:kern w:val="2"/>
          <w:sz w:val="21"/>
          <w:szCs w:val="21"/>
          <w:lang w:bidi="ar"/>
        </w:rPr>
        <w:t>政务云机房和远程服务</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2.2.付款条件（进度和方式）</w:t>
      </w:r>
    </w:p>
    <w:p>
      <w:pPr>
        <w:pStyle w:val="38"/>
        <w:adjustRightInd w:val="0"/>
        <w:snapToGrid w:val="0"/>
        <w:spacing w:line="360" w:lineRule="auto"/>
        <w:ind w:firstLine="420" w:firstLineChars="200"/>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合同签订后</w:t>
      </w:r>
      <w:r>
        <w:rPr>
          <w:rFonts w:hint="eastAsia" w:asciiTheme="minorEastAsia" w:hAnsiTheme="minorEastAsia" w:eastAsiaTheme="minorEastAsia" w:cstheme="minorEastAsia"/>
          <w:sz w:val="21"/>
          <w:szCs w:val="21"/>
          <w:u w:val="single"/>
        </w:rPr>
        <w:t xml:space="preserve"> 20 </w:t>
      </w:r>
      <w:r>
        <w:rPr>
          <w:rFonts w:hint="eastAsia" w:asciiTheme="minorEastAsia" w:hAnsiTheme="minorEastAsia" w:eastAsiaTheme="minorEastAsia" w:cstheme="minorEastAsia"/>
          <w:sz w:val="21"/>
          <w:szCs w:val="21"/>
        </w:rPr>
        <w:t>个工作日内支付合同总金额的</w:t>
      </w:r>
      <w:r>
        <w:rPr>
          <w:rFonts w:hint="eastAsia" w:asciiTheme="minorEastAsia" w:hAnsiTheme="minorEastAsia" w:eastAsiaTheme="minorEastAsia" w:cstheme="minorEastAsia"/>
          <w:sz w:val="21"/>
          <w:szCs w:val="21"/>
          <w:u w:val="single"/>
        </w:rPr>
        <w:t xml:space="preserve"> 80 </w:t>
      </w:r>
      <w:r>
        <w:rPr>
          <w:rFonts w:hint="eastAsia" w:asciiTheme="minorEastAsia" w:hAnsiTheme="minorEastAsia" w:eastAsiaTheme="minorEastAsia" w:cstheme="minorEastAsia"/>
          <w:sz w:val="21"/>
          <w:szCs w:val="21"/>
        </w:rPr>
        <w:t>%，即人民币小写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，人民币大写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合同履行期限届满且验收合格后，支付合同总金额的</w:t>
      </w:r>
      <w:r>
        <w:rPr>
          <w:rFonts w:hint="eastAsia" w:asciiTheme="minorEastAsia" w:hAnsiTheme="minorEastAsia" w:eastAsiaTheme="minorEastAsia" w:cstheme="minorEastAsia"/>
          <w:sz w:val="21"/>
          <w:szCs w:val="21"/>
          <w:u w:val="single"/>
        </w:rPr>
        <w:t xml:space="preserve"> 20 </w:t>
      </w:r>
      <w:r>
        <w:rPr>
          <w:rFonts w:hint="eastAsia" w:asciiTheme="minorEastAsia" w:hAnsiTheme="minorEastAsia" w:eastAsiaTheme="minorEastAsia" w:cstheme="minorEastAsia"/>
          <w:sz w:val="21"/>
          <w:szCs w:val="21"/>
        </w:rPr>
        <w:t>%，即人民币小写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，人民币大写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58"/>
        <w:spacing w:line="360" w:lineRule="auto"/>
        <w:ind w:firstLine="422"/>
        <w:contextualSpacing/>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三、技术要求</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 基本要求</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 采购标的需实现的功能或者目标</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本项目的总体目标是通过租用政务云平台基础服务，对入云业务系统的运行环境进行持续优化，提供可靠、稳定、安全的政务云基础服务，具体包括：</w:t>
      </w:r>
    </w:p>
    <w:p>
      <w:pPr>
        <w:numPr>
          <w:ilvl w:val="0"/>
          <w:numId w:val="9"/>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提供政务云基础服务，包括</w:t>
      </w:r>
      <w:r>
        <w:rPr>
          <w:rFonts w:hint="eastAsia" w:asciiTheme="minorEastAsia" w:hAnsiTheme="minorEastAsia" w:eastAsiaTheme="minorEastAsia" w:cstheme="minorEastAsia"/>
          <w:szCs w:val="21"/>
        </w:rPr>
        <w:t>计算服务、存储服务和网络服务等基础环境日常维护、应急响应等工作。</w:t>
      </w:r>
    </w:p>
    <w:p>
      <w:pPr>
        <w:numPr>
          <w:ilvl w:val="0"/>
          <w:numId w:val="9"/>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提供7*24运维保障，做好重大活动和节假日应急值守保障服务，确保各系统在政务云环境中可靠稳定运行。</w:t>
      </w:r>
    </w:p>
    <w:p>
      <w:pPr>
        <w:numPr>
          <w:ilvl w:val="0"/>
          <w:numId w:val="9"/>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服务期内，投标人须完成信息系统的日常运维和安全运维服务工作（包括但不限于：云平台服务、日常技术支持、系统日常维护、服务规范、安全及保密要求、响应的及时性），确保入云系统安全、稳定的运行。</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 需执行的国家相关标准、行业标准、地方标准或者其他标准、规范</w:t>
      </w:r>
    </w:p>
    <w:p>
      <w:pPr>
        <w:spacing w:line="360" w:lineRule="auto"/>
        <w:ind w:firstLine="420" w:firstLineChars="200"/>
        <w:contextualSpacing/>
        <w:rPr>
          <w:rFonts w:asciiTheme="minorEastAsia" w:hAnsiTheme="minorEastAsia" w:eastAsiaTheme="minorEastAsia" w:cstheme="minorEastAsia"/>
          <w:szCs w:val="21"/>
        </w:rPr>
      </w:pPr>
      <w:bookmarkStart w:id="20" w:name="OLE_LINK5"/>
      <w:bookmarkStart w:id="21" w:name="_Toc28779"/>
      <w:r>
        <w:rPr>
          <w:rFonts w:hint="eastAsia" w:asciiTheme="minorEastAsia" w:hAnsiTheme="minorEastAsia" w:eastAsiaTheme="minorEastAsia" w:cstheme="minorEastAsia"/>
          <w:szCs w:val="21"/>
        </w:rPr>
        <w:t>1.2.1</w:t>
      </w:r>
      <w:bookmarkEnd w:id="20"/>
      <w:r>
        <w:rPr>
          <w:rFonts w:hint="eastAsia" w:asciiTheme="minorEastAsia" w:hAnsiTheme="minorEastAsia" w:eastAsiaTheme="minorEastAsia" w:cstheme="minorEastAsia"/>
          <w:szCs w:val="21"/>
        </w:rPr>
        <w:t>国家及北京市有关政策</w:t>
      </w:r>
      <w:bookmarkEnd w:id="21"/>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《关键信息基础设施安全保护条例》（中华人民共和国国务院令第745号）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《国家政务信息化项目建设管理办法》（国办发〔2019〕57号）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《政府采购需求管理办法》(财库〔2021〕22号)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《关于促进政府采购公平竞争优化营商环境的通知》（财库〔2019〕38号）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《关于进一步提高政府采购透明度和采购效率相关事项的通知》（财办库〔2023〕243号）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《工业和信息化部信息通信管理局关于督促互联网网络接入服务企业依法持证经营的通知》（工信管函〔2018〕84号）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《云计算服务安全评估办法》（国家互联网信息办公室、国家发展和改革委员会、工业和信息化部、财政部公告2019年2号）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《关于加强党政部门云计算服务网络安全管理的意见》（中网办发文〔2014〕14号）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《基于云计算的电子政务公共平台顶层设计指南》</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《北京市财政局关于印发&lt;北京市政府采购负面清单&gt;的通知》（京财采购〔2020〕1345号）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《北京市财政局关于落实好政府采购支持中小企业发展的通知（京财采购〔2022〕1143号）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《关于印发&lt;关于推进我市政务信息系统整合共享的实施方案&gt;的通知》（京经信委发〔2017〕89号）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《北京市人民政府关于印发&lt;北京市政务信息资源管理办法（试行）&gt;的通知》（京政发〔2017〕37号）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《关于印发&lt;北京市市级政务云管理办法&gt;的通知》（京经信函〔2019〕150号）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《北京市政务网络和数据安全管理办法》（京经信发〔2023〕57号）</w:t>
      </w:r>
    </w:p>
    <w:p>
      <w:pPr>
        <w:numPr>
          <w:ilvl w:val="0"/>
          <w:numId w:val="10"/>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《北京市“十四五”时期智慧城市建设控制性规划要求（试行）》（京大数据发〔2021〕2号）</w:t>
      </w:r>
    </w:p>
    <w:p>
      <w:pPr>
        <w:spacing w:line="360" w:lineRule="auto"/>
        <w:ind w:firstLine="420" w:firstLineChars="200"/>
        <w:contextualSpacing/>
        <w:rPr>
          <w:rFonts w:asciiTheme="minorEastAsia" w:hAnsiTheme="minorEastAsia" w:eastAsiaTheme="minorEastAsia" w:cstheme="minorEastAsia"/>
          <w:szCs w:val="21"/>
        </w:rPr>
      </w:pPr>
      <w:bookmarkStart w:id="22" w:name="_Toc7253"/>
      <w:r>
        <w:rPr>
          <w:rFonts w:hint="eastAsia" w:asciiTheme="minorEastAsia" w:hAnsiTheme="minorEastAsia" w:eastAsiaTheme="minorEastAsia" w:cstheme="minorEastAsia"/>
          <w:szCs w:val="21"/>
        </w:rPr>
        <w:t>1.2.2国家相关标准</w:t>
      </w:r>
      <w:bookmarkEnd w:id="22"/>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《国家电子政务外网安全接入平台技术规范》</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《信息技术—云计算—云服务质量评价指标》（GB/T 37738-2019）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《信息技术—云计算—云服务计量指标》（GB/T 37735-2019）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《信息技术—云计算—云服务采购指南》（GB/T 37734-2019）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《信息技术—云计算—云存储系统服务接口功能》（GB/T 37732-2019）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《信息技术—云计算—云资源监控通用要求》（GB/T 37736-2019）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《信息技术—云计算—云平台间应用和数据迁移指南》（GB/T 37740-2019）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《信息技术—云计算—云服务交付要求》（GB/T 37741-2019）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《信息系统灾难恢复规范》（GB/T 20988-2007）</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云计算服务安全能力要求》（GB/T 31168-2014）</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网络安全等级保护定级指南》（GB/T 22240-2020）</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网络安全等级保护基本要求》（GB/T 22239-2019）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网络安全等级保护测评要求》（GB/T 28448-2019）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信息系统密码应用基本要求》（GB/T39786-2021）</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信息安全风险评估方法》（GB/T 20984-2022）</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云计算服务安全指南》（GB/T 31167-2014）</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政府网站云计算服务安全指南》（GB/T 38249—2019）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云计算安全参考架构》（GB/T 35279—2017）</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云计算服务安全能力评估方法》GB/T 34942—2017</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《信息安全技术 云计算服务运行监管框架》（GB/T 37972—2019）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《信息技术 云资源监控指标体系》（GB/T 37938-2019）</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《电子信息系统机房设计规范》（GB50174-2017）</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《数据中心电信基础设施标准》（ANSI/TIA-942）</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《综合布线系统工程设计规范》（GB 50311—2016）</w:t>
      </w:r>
    </w:p>
    <w:p>
      <w:pPr>
        <w:numPr>
          <w:ilvl w:val="0"/>
          <w:numId w:val="11"/>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《云计算关键领域安全指南V4.0》</w:t>
      </w:r>
    </w:p>
    <w:p>
      <w:pPr>
        <w:spacing w:line="360" w:lineRule="auto"/>
        <w:ind w:firstLine="420" w:firstLineChars="200"/>
        <w:contextualSpacing/>
        <w:rPr>
          <w:rFonts w:asciiTheme="minorEastAsia" w:hAnsiTheme="minorEastAsia" w:eastAsiaTheme="minorEastAsia" w:cstheme="minorEastAsia"/>
          <w:szCs w:val="21"/>
        </w:rPr>
      </w:pPr>
      <w:bookmarkStart w:id="23" w:name="_Toc22759"/>
      <w:r>
        <w:rPr>
          <w:rFonts w:hint="eastAsia" w:asciiTheme="minorEastAsia" w:hAnsiTheme="minorEastAsia" w:eastAsiaTheme="minorEastAsia" w:cstheme="minorEastAsia"/>
          <w:szCs w:val="21"/>
        </w:rPr>
        <w:t>1.2.3北京市相关标准</w:t>
      </w:r>
      <w:bookmarkEnd w:id="23"/>
    </w:p>
    <w:p>
      <w:pPr>
        <w:numPr>
          <w:ilvl w:val="0"/>
          <w:numId w:val="12"/>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《政务云平台建设技术要求》（DB11/T 2169-2023）</w:t>
      </w:r>
    </w:p>
    <w:p>
      <w:pPr>
        <w:numPr>
          <w:ilvl w:val="0"/>
          <w:numId w:val="12"/>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《北京市政务云安全技术规范 IaaS云计算平台分册》</w:t>
      </w:r>
    </w:p>
    <w:p>
      <w:pPr>
        <w:numPr>
          <w:ilvl w:val="0"/>
          <w:numId w:val="12"/>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《北京市政务云安全技术规范 IaaS云计算平台安全监管接口分册》</w:t>
      </w:r>
    </w:p>
    <w:p>
      <w:pPr>
        <w:numPr>
          <w:ilvl w:val="0"/>
          <w:numId w:val="12"/>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《北京市政务云安全技术规范 信息安全服务接口分册》</w:t>
      </w:r>
    </w:p>
    <w:p>
      <w:pPr>
        <w:spacing w:line="360" w:lineRule="auto"/>
        <w:ind w:firstLine="420" w:firstLineChars="200"/>
        <w:contextualSpacing/>
        <w:rPr>
          <w:rFonts w:asciiTheme="minorEastAsia" w:hAnsiTheme="minorEastAsia" w:eastAsiaTheme="minorEastAsia" w:cstheme="minorEastAsia"/>
          <w:szCs w:val="21"/>
        </w:rPr>
      </w:pPr>
      <w:bookmarkStart w:id="24" w:name="_Toc28146"/>
      <w:r>
        <w:rPr>
          <w:rFonts w:hint="eastAsia" w:asciiTheme="minorEastAsia" w:hAnsiTheme="minorEastAsia" w:eastAsiaTheme="minorEastAsia" w:cstheme="minorEastAsia"/>
          <w:szCs w:val="21"/>
        </w:rPr>
        <w:t>1.2.4其他</w:t>
      </w:r>
      <w:bookmarkEnd w:id="24"/>
    </w:p>
    <w:p>
      <w:pPr>
        <w:numPr>
          <w:ilvl w:val="0"/>
          <w:numId w:val="13"/>
        </w:numPr>
        <w:tabs>
          <w:tab w:val="left" w:pos="1060"/>
        </w:tabs>
        <w:snapToGrid w:val="0"/>
        <w:spacing w:line="360" w:lineRule="auto"/>
        <w:ind w:left="0" w:firstLine="420" w:firstLineChars="2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《北京市市级行政事业单位云计算服务框架协议采购项目（2023 年度）》征集文件第四部分采购需求中技术要求</w:t>
      </w:r>
    </w:p>
    <w:p>
      <w:pPr>
        <w:tabs>
          <w:tab w:val="left" w:pos="1060"/>
        </w:tabs>
        <w:snapToGrid w:val="0"/>
        <w:spacing w:line="360" w:lineRule="auto"/>
        <w:ind w:left="420" w:leftChars="200" w:firstLine="211" w:firstLineChars="10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注：服务标准涉及的国家标准及北京市标准有更新的，执行最新标准。</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服务内容及要求/货物技术要求</w:t>
      </w:r>
    </w:p>
    <w:p>
      <w:pPr>
        <w:widowControl/>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2.1采购标的需满足的服务标准、期限、效率等要求</w:t>
      </w:r>
    </w:p>
    <w:p>
      <w:pPr>
        <w:widowControl/>
        <w:spacing w:line="360" w:lineRule="auto"/>
        <w:ind w:firstLine="420" w:firstLineChars="200"/>
        <w:contextualSpacing/>
        <w:rPr>
          <w:rFonts w:asciiTheme="minorEastAsia" w:hAnsiTheme="minorEastAsia" w:eastAsiaTheme="minorEastAsia" w:cstheme="minorEastAsia"/>
          <w:szCs w:val="21"/>
        </w:rPr>
      </w:pPr>
      <w:bookmarkStart w:id="25" w:name="_Toc14505"/>
      <w:r>
        <w:rPr>
          <w:rFonts w:hint="eastAsia" w:asciiTheme="minorEastAsia" w:hAnsiTheme="minorEastAsia" w:eastAsiaTheme="minorEastAsia" w:cstheme="minorEastAsia"/>
          <w:szCs w:val="21"/>
        </w:rPr>
        <w:t>2.1.1云主机服务</w:t>
      </w:r>
      <w:bookmarkEnd w:id="25"/>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snapToGrid w:val="0"/>
        <w:spacing w:line="36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按照采购人的具体需求，提供云主机服务，包括：x86平台云主机服务，按需求对CPU及内存进行动态调整，实现合理的计算资源配置。在提供政务云主机的服务过程中做好与采购人和对应项目应用开发厂商的协调沟通工作。</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云主机应实现物理机的全部功能，如具有CPU、存储、内存、网卡等资源，可以指定单独的IP地址等；</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支持存储裸设备映射（RDM），可以将存储设备上的LUN直接映射给虚拟机使用，并且支持SCSI指令使用透传模式或者非透传模式；</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应满足云主机之间、CPU之间隔离保护要求；</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支持资源的动态调整，根据业务的负载情况实现业务系统虚拟机的动态扩展和回收；</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支持异构虚拟化能力，如KVM多种虚拟化技术；</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云主机出现故障时，支持自动重启或者迁移，保障业务连续性；</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支持虚拟机热迁移，可在不同代CPU资源池中进行虚拟机热迁移；</w:t>
      </w:r>
    </w:p>
    <w:p>
      <w:pPr>
        <w:pStyle w:val="2"/>
        <w:numPr>
          <w:ilvl w:val="0"/>
          <w:numId w:val="1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云计算资源性能要求包括但不限于如下：</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物理服务器 CPU 主频应不低于2.40GHz；</w:t>
      </w:r>
    </w:p>
    <w:p>
      <w:pPr>
        <w:pStyle w:val="2"/>
        <w:numPr>
          <w:ilvl w:val="0"/>
          <w:numId w:val="15"/>
        </w:numPr>
        <w:snapToGrid w:val="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主机内存硬件配置不低于DDR4-2400MHz；</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可用性不低于99.99%。</w:t>
      </w:r>
    </w:p>
    <w:p>
      <w:pPr>
        <w:widowControl/>
        <w:spacing w:line="360" w:lineRule="auto"/>
        <w:ind w:firstLine="420" w:firstLineChars="200"/>
        <w:contextualSpacing/>
        <w:rPr>
          <w:rFonts w:asciiTheme="minorEastAsia" w:hAnsiTheme="minorEastAsia" w:eastAsiaTheme="minorEastAsia" w:cstheme="minorEastAsia"/>
          <w:szCs w:val="21"/>
        </w:rPr>
      </w:pPr>
      <w:bookmarkStart w:id="26" w:name="OLE_LINK7"/>
      <w:bookmarkStart w:id="27" w:name="_Toc31277"/>
      <w:r>
        <w:rPr>
          <w:rFonts w:hint="eastAsia" w:asciiTheme="minorEastAsia" w:hAnsiTheme="minorEastAsia" w:eastAsiaTheme="minorEastAsia" w:cstheme="minorEastAsia"/>
          <w:szCs w:val="21"/>
        </w:rPr>
        <w:t>2.1.2</w:t>
      </w:r>
      <w:bookmarkEnd w:id="26"/>
      <w:r>
        <w:rPr>
          <w:rFonts w:hint="eastAsia" w:asciiTheme="minorEastAsia" w:hAnsiTheme="minorEastAsia" w:eastAsiaTheme="minorEastAsia" w:cstheme="minorEastAsia"/>
          <w:szCs w:val="21"/>
        </w:rPr>
        <w:t>存储服务</w:t>
      </w:r>
      <w:bookmarkEnd w:id="27"/>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按照采购人的具体需求，提供存储服务，包括：普通性能存储、高性能存储和本地备份服务，实现合理的存储资源配置。在提供政务云存储的服务过程中需做好采购人和对应项目应用开发厂商的协调沟通工作。</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numPr>
          <w:ilvl w:val="0"/>
          <w:numId w:val="16"/>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支持结构化数据、半结构化数据和非结构化数据等多种数据类型存储；</w:t>
      </w:r>
    </w:p>
    <w:p>
      <w:pPr>
        <w:pStyle w:val="2"/>
        <w:numPr>
          <w:ilvl w:val="0"/>
          <w:numId w:val="16"/>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支持块存储、对象存储、文件存储等多种存储方法，满足数据备份、视频存储等不同应用场景使用要求；</w:t>
      </w:r>
    </w:p>
    <w:p>
      <w:pPr>
        <w:pStyle w:val="2"/>
        <w:numPr>
          <w:ilvl w:val="0"/>
          <w:numId w:val="16"/>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支持存储资源扩展能力，例如：PB级扩展；</w:t>
      </w:r>
    </w:p>
    <w:p>
      <w:pPr>
        <w:pStyle w:val="2"/>
        <w:numPr>
          <w:ilvl w:val="0"/>
          <w:numId w:val="16"/>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支持磁盘容错技术，如磁盘故障后节点的自动平衡和重构、硬盘故障检测和处理、集群节点出现单盘故障时不影响业务运行等；</w:t>
      </w:r>
    </w:p>
    <w:p>
      <w:pPr>
        <w:pStyle w:val="2"/>
        <w:numPr>
          <w:ilvl w:val="0"/>
          <w:numId w:val="16"/>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存储资源性能要求包括但不限于如下：</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吞吐量：高性能存储系统的读写带宽应不低于1000MB/s,IOPS不低于20000;普通性能存储系统的读写带宽应不低于200MB/s，IOPS不低于1000。</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支持高可靠性，可靠性不低于99.9999%；</w:t>
      </w:r>
    </w:p>
    <w:p>
      <w:pPr>
        <w:pStyle w:val="2"/>
        <w:snapToGrid w:val="0"/>
        <w:ind w:firstLine="480"/>
        <w:rPr>
          <w:rFonts w:asciiTheme="minorEastAsia" w:hAnsiTheme="minorEastAsia" w:eastAsiaTheme="minorEastAsia" w:cstheme="minorEastAsia"/>
          <w:sz w:val="21"/>
          <w:szCs w:val="21"/>
        </w:rPr>
      </w:pPr>
      <w:bookmarkStart w:id="28" w:name="_Toc23192"/>
      <w:r>
        <w:rPr>
          <w:rFonts w:hint="eastAsia" w:asciiTheme="minorEastAsia" w:hAnsiTheme="minorEastAsia" w:eastAsiaTheme="minorEastAsia" w:cstheme="minorEastAsia"/>
          <w:sz w:val="21"/>
          <w:szCs w:val="21"/>
        </w:rPr>
        <w:t>2.1.3网络服务</w:t>
      </w:r>
      <w:bookmarkEnd w:id="28"/>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numPr>
          <w:ilvl w:val="0"/>
          <w:numId w:val="17"/>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提供互联网链路带宽服务、互联网IP地址租用服务，并提供相应的网络域名备案服务，配合应用开发厂商提供网络策略配置服务。</w:t>
      </w:r>
    </w:p>
    <w:p>
      <w:pPr>
        <w:pStyle w:val="2"/>
        <w:numPr>
          <w:ilvl w:val="0"/>
          <w:numId w:val="17"/>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远程接入服务，提供互联网远程接入服务，每个账号结合身份验证接入堡垒机维护应用系统。</w:t>
      </w:r>
    </w:p>
    <w:p>
      <w:pPr>
        <w:pStyle w:val="2"/>
        <w:numPr>
          <w:ilvl w:val="0"/>
          <w:numId w:val="17"/>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WAF防护，提供WEB应用防火墙服务。</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网络系统提供稳定的数据传输能力，一般要求如下：</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具备多运营商网络接入服务的能力；</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数据中心组网架构设计可采用大二层网络架构，支持云主机无障碍动态迁移；</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应采用集群部署网络控制，以保障升级时业务不中断；</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应实现自动化动态网络资源调配和隔离，支持与互联网、电子政务外网及行业部门专网的连接；</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可支持IPv6地址分配，满足业务系统IPv6要求；</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具备边界防火墙和VPC防火墙隔离能力，分别针对不同的流量进行安全策略防护与配置；</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具备高可用虚拟IP能力，在集群或主备场景下，云主机可绑定高可用虚拟IP，达到高可用访问效果；</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采用双活网络架构，降低单点故障带来的稳定风险；为入云系统划分安全区域，合理制定访问规则。</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网络系统性能要求包括但不限于如下：</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云内骨干线路带宽不低于10Gb/s；</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服务器业务带宽不低于1Gb/s；</w:t>
      </w:r>
    </w:p>
    <w:p>
      <w:pPr>
        <w:numPr>
          <w:ilvl w:val="0"/>
          <w:numId w:val="15"/>
        </w:num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平均可用性不低于99.9%。</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pPr>
        <w:pStyle w:val="2"/>
        <w:numPr>
          <w:ilvl w:val="0"/>
          <w:numId w:val="18"/>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应商应强化远程运维管理，因业务确需通过互联网远程运维的，应当采取安全管控措施，向采购提供安全管控方案。重要保障时期可以做到远程接入账号禁用操作，根据需求随时执行远程接入账号管控操作，并根据需求导出运维录屏操作记录。</w:t>
      </w:r>
    </w:p>
    <w:p>
      <w:pPr>
        <w:pStyle w:val="2"/>
        <w:snapToGrid w:val="0"/>
        <w:ind w:firstLine="630" w:firstLineChars="300"/>
        <w:rPr>
          <w:rFonts w:asciiTheme="minorEastAsia" w:hAnsiTheme="minorEastAsia" w:eastAsiaTheme="minorEastAsia" w:cstheme="minorEastAsia"/>
          <w:sz w:val="21"/>
          <w:szCs w:val="21"/>
        </w:rPr>
      </w:pPr>
      <w:bookmarkStart w:id="29" w:name="_Toc24264"/>
      <w:r>
        <w:rPr>
          <w:rFonts w:hint="eastAsia" w:asciiTheme="minorEastAsia" w:hAnsiTheme="minorEastAsia" w:eastAsiaTheme="minorEastAsia" w:cstheme="minorEastAsia"/>
          <w:sz w:val="21"/>
          <w:szCs w:val="21"/>
        </w:rPr>
        <w:t>2.1.4安全服务</w:t>
      </w:r>
      <w:bookmarkEnd w:id="29"/>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安全是政务云的红线，应按照网络安全等级保护要求建设安全技术防护体系和安全管理体系，加强数据的安全管理，防止重要或敏感数据泄露或被滥用，并建立应急处置体系</w:t>
      </w:r>
      <w:r>
        <w:rPr>
          <w:rFonts w:hint="eastAsia" w:asciiTheme="minorEastAsia" w:hAnsiTheme="minorEastAsia" w:eastAsiaTheme="minorEastAsia" w:cstheme="minorEastAsia"/>
          <w:sz w:val="21"/>
          <w:szCs w:val="21"/>
          <w:lang w:eastAsia="zh-CN"/>
        </w:rPr>
        <w:t>和</w:t>
      </w:r>
      <w:r>
        <w:rPr>
          <w:rFonts w:hint="eastAsia" w:asciiTheme="minorEastAsia" w:hAnsiTheme="minorEastAsia" w:eastAsiaTheme="minorEastAsia" w:cstheme="minorEastAsia"/>
          <w:sz w:val="21"/>
          <w:szCs w:val="21"/>
          <w:lang w:bidi="ar"/>
        </w:rPr>
        <w:t>网络安全预警</w:t>
      </w:r>
      <w:r>
        <w:rPr>
          <w:rFonts w:hint="eastAsia" w:asciiTheme="minorEastAsia" w:hAnsiTheme="minorEastAsia" w:eastAsiaTheme="minorEastAsia" w:cstheme="minorEastAsia"/>
          <w:sz w:val="21"/>
          <w:szCs w:val="21"/>
          <w:lang w:eastAsia="zh-CN" w:bidi="ar"/>
        </w:rPr>
        <w:t>措施</w:t>
      </w:r>
      <w:r>
        <w:rPr>
          <w:rFonts w:hint="eastAsia" w:asciiTheme="minorEastAsia" w:hAnsiTheme="minorEastAsia" w:eastAsiaTheme="minorEastAsia" w:cstheme="minorEastAsia"/>
          <w:sz w:val="21"/>
          <w:szCs w:val="21"/>
        </w:rPr>
        <w:t>。安全服务主要内容包含：</w:t>
      </w:r>
    </w:p>
    <w:p>
      <w:pPr>
        <w:pStyle w:val="2"/>
        <w:numPr>
          <w:ilvl w:val="0"/>
          <w:numId w:val="19"/>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WAF防护服务</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按照采购人的具体需求，提供互联网WAF防护服务，保证用户对已知安全隐患进行防护，实时升级漏洞补丁，配置防护策略，起到前端防护作用。</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投标人需利用监控系统或人工对机房环境、硬件设备及应用系统的运行情况进行7*24小时的不间断巡检监控，及时发现安全隐患，通知相关人员及时处理，并形成监控报告。</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投标人需纳入行业监管部门网络安全保障整体工作体系，在涉及重保、安全事件、威胁情报等方面，配合安全服务商开展研判、处置、分析等工作。</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w:t>
      </w:r>
    </w:p>
    <w:p>
      <w:pPr>
        <w:pStyle w:val="2"/>
        <w:numPr>
          <w:ilvl w:val="0"/>
          <w:numId w:val="20"/>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投标人应坚持制度和技术并重，建立健全网络和数据安全管理制度，落实网络和数据安全管理要求。采取相应技术措施，保障网络免受干扰、破坏或者未经授权的访问。</w:t>
      </w:r>
    </w:p>
    <w:p>
      <w:pPr>
        <w:pStyle w:val="2"/>
        <w:snapToGrid w:val="0"/>
        <w:ind w:firstLine="630" w:firstLineChars="300"/>
        <w:rPr>
          <w:rFonts w:asciiTheme="minorEastAsia" w:hAnsiTheme="minorEastAsia" w:eastAsiaTheme="minorEastAsia" w:cstheme="minorEastAsia"/>
          <w:sz w:val="21"/>
          <w:szCs w:val="21"/>
        </w:rPr>
      </w:pPr>
      <w:bookmarkStart w:id="30" w:name="_Toc19279"/>
      <w:r>
        <w:rPr>
          <w:rFonts w:hint="eastAsia" w:asciiTheme="minorEastAsia" w:hAnsiTheme="minorEastAsia" w:eastAsiaTheme="minorEastAsia" w:cstheme="minorEastAsia"/>
          <w:sz w:val="21"/>
          <w:szCs w:val="21"/>
        </w:rPr>
        <w:t>2.1.5运维服务</w:t>
      </w:r>
      <w:bookmarkEnd w:id="30"/>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numPr>
          <w:ilvl w:val="0"/>
          <w:numId w:val="21"/>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负责机房环境资源、云平台硬件资产、虚拟化资产的管理工作；</w:t>
      </w:r>
    </w:p>
    <w:p>
      <w:pPr>
        <w:pStyle w:val="2"/>
        <w:numPr>
          <w:ilvl w:val="0"/>
          <w:numId w:val="21"/>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信息系统入云、上线、变更、退出等各阶段的备案与信息变更等工作；</w:t>
      </w:r>
    </w:p>
    <w:p>
      <w:pPr>
        <w:pStyle w:val="2"/>
        <w:numPr>
          <w:ilvl w:val="0"/>
          <w:numId w:val="21"/>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执行云平台变更申请、审批流程；</w:t>
      </w:r>
    </w:p>
    <w:p>
      <w:pPr>
        <w:pStyle w:val="2"/>
        <w:numPr>
          <w:ilvl w:val="0"/>
          <w:numId w:val="21"/>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云平台网络资源管理，针对内部地址使用情况、云平台专线接入情况、政务外网资源使用情况等做好统计工作；</w:t>
      </w:r>
    </w:p>
    <w:p>
      <w:pPr>
        <w:pStyle w:val="2"/>
        <w:numPr>
          <w:ilvl w:val="0"/>
          <w:numId w:val="21"/>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服务期内，投标人须配备运维团队，提供可靠的售后服务保障。投标人针对采购人要求的云平台运维服务相关内容，需指定专业技术能力较强的工程师，根据采购人要求配合开展相关维护服务。</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依据《北京市市级政务云管理办法》，投标人应当提供高效的系统维护服务，有效防范系统风险，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3个小时之内使系统恢复正常，故障处理完毕后提供相关系统宕机报告。</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为保障业务高峰期内系统平稳运行，缓解系统高峰期内因业务发生量增大而带来系统压力风险，要求投标人根据业务周期性特点，加大运维保障力度，保证在业务高峰期内系统平稳运行。</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点保障时期重要信息系统云主机资源调整时间不超过1小时，针对重点保障时期的重要信息系统重要云主机，投标人应按采购人要求进行实时监控，超过预警阈值时主动上调云资源，并第一时间通知采购人进行相应操作，确保系统平稳运行。</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按照国家、北京市相关规定和信息安全技术标准及规范要求, 落实安全保障措施, 通过信息安全测评机构的测评和政务云安全审查 。</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投标人应保障政务云规范运行。入云系统应开展网络安全测评及备案。应对数据进行分类分级管理，根据数据分级保护要求采取相应级别的安全防护措施。</w:t>
      </w:r>
    </w:p>
    <w:p>
      <w:pPr>
        <w:pStyle w:val="2"/>
        <w:numPr>
          <w:ilvl w:val="0"/>
          <w:numId w:val="22"/>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除不可抗力或计划内维护作业造成的政务云服务中断外,政务云实行24小时不间断运行。</w:t>
      </w:r>
    </w:p>
    <w:p>
      <w:pPr>
        <w:pStyle w:val="2"/>
        <w:snapToGrid w:val="0"/>
        <w:ind w:firstLine="630" w:firstLineChars="300"/>
        <w:rPr>
          <w:rFonts w:asciiTheme="minorEastAsia" w:hAnsiTheme="minorEastAsia" w:eastAsiaTheme="minorEastAsia" w:cstheme="minorEastAsia"/>
          <w:sz w:val="21"/>
          <w:szCs w:val="21"/>
        </w:rPr>
      </w:pPr>
      <w:bookmarkStart w:id="31" w:name="_Toc28361"/>
      <w:r>
        <w:rPr>
          <w:rFonts w:hint="eastAsia" w:asciiTheme="minorEastAsia" w:hAnsiTheme="minorEastAsia" w:eastAsiaTheme="minorEastAsia" w:cstheme="minorEastAsia"/>
          <w:sz w:val="21"/>
          <w:szCs w:val="21"/>
        </w:rPr>
        <w:t>2.1.6备份服务</w:t>
      </w:r>
      <w:bookmarkEnd w:id="31"/>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投标人需具有本地和同城异地数据级备份能力，并配合采购人完成数据级容灾演练及恢复等工作。</w:t>
      </w:r>
    </w:p>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（2）服务标准</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照采购人的各个应用系统对资源的备份需求通过备份策略实现对用户数据（文件、操作系统、数据库）的本地备份（不包含备份存储空间费用），默认提供非结构化数据保护与文件备份保护。备份应满足如下要求:</w:t>
      </w:r>
    </w:p>
    <w:p>
      <w:pPr>
        <w:pStyle w:val="2"/>
        <w:numPr>
          <w:ilvl w:val="0"/>
          <w:numId w:val="23"/>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备份介质本身具备高可用性和冗余性。</w:t>
      </w:r>
    </w:p>
    <w:p>
      <w:pPr>
        <w:pStyle w:val="2"/>
        <w:numPr>
          <w:ilvl w:val="0"/>
          <w:numId w:val="23"/>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备份方式包括完整备份、差异备份和增量备份。</w:t>
      </w:r>
    </w:p>
    <w:p>
      <w:pPr>
        <w:pStyle w:val="2"/>
        <w:numPr>
          <w:ilvl w:val="0"/>
          <w:numId w:val="23"/>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支持Windows系列操作系统、Linux主流系统操作系统、主流数据库软件、主流中间件软件、结构化数据以及非结构化数据等备份对象。</w:t>
      </w:r>
    </w:p>
    <w:p>
      <w:pPr>
        <w:pStyle w:val="2"/>
        <w:numPr>
          <w:ilvl w:val="0"/>
          <w:numId w:val="23"/>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支持建立统一的备份管理系统，用来管理本地备份。</w:t>
      </w:r>
    </w:p>
    <w:p>
      <w:pPr>
        <w:pStyle w:val="2"/>
        <w:numPr>
          <w:ilvl w:val="0"/>
          <w:numId w:val="23"/>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投标人应提供对备份过程状态、备份结果提供运维监控保障服务，确保备份任务执行成功以及备份的数据完整性。</w:t>
      </w:r>
    </w:p>
    <w:p>
      <w:pPr>
        <w:pStyle w:val="2"/>
        <w:snapToGrid w:val="0"/>
        <w:ind w:firstLine="630" w:firstLineChars="300"/>
        <w:rPr>
          <w:rFonts w:asciiTheme="minorEastAsia" w:hAnsiTheme="minorEastAsia" w:eastAsiaTheme="minorEastAsia" w:cstheme="minorEastAsia"/>
          <w:sz w:val="21"/>
          <w:szCs w:val="21"/>
        </w:rPr>
      </w:pPr>
      <w:bookmarkStart w:id="32" w:name="_Toc28153"/>
      <w:bookmarkStart w:id="33" w:name="OLE_LINK8"/>
      <w:r>
        <w:rPr>
          <w:rFonts w:hint="eastAsia" w:asciiTheme="minorEastAsia" w:hAnsiTheme="minorEastAsia" w:eastAsiaTheme="minorEastAsia" w:cstheme="minorEastAsia"/>
          <w:sz w:val="21"/>
          <w:szCs w:val="21"/>
        </w:rPr>
        <w:t>2.1.7迁移服务</w:t>
      </w:r>
      <w:bookmarkEnd w:id="32"/>
    </w:p>
    <w:bookmarkEnd w:id="33"/>
    <w:p>
      <w:pPr>
        <w:ind w:firstLine="422" w:firstLineChars="200"/>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（1）服务内容</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投标人需提供整体的业务上云迁移服务，应支持X86云主机迁移、X86物理主机迁移、单机数据库迁移、高可用数据库迁移等迁移场景。负责需求调研、架构规划设计、应用迁移部署等工作。</w:t>
      </w:r>
    </w:p>
    <w:p>
      <w:pPr>
        <w:ind w:firstLine="422" w:firstLineChars="200"/>
        <w:rPr>
          <w:rFonts w:asciiTheme="minorEastAsia" w:hAnsiTheme="minorEastAsia" w:eastAsiaTheme="minorEastAsia" w:cstheme="minorEastAsia"/>
          <w:bCs/>
          <w:color w:val="000000"/>
          <w:szCs w:val="21"/>
          <w:lang w:bidi="ar"/>
        </w:rPr>
      </w:pPr>
      <w:r>
        <w:rPr>
          <w:rFonts w:hint="eastAsia" w:asciiTheme="minorEastAsia" w:hAnsiTheme="minorEastAsia" w:eastAsiaTheme="minorEastAsia" w:cstheme="minorEastAsia"/>
          <w:b/>
          <w:bCs/>
          <w:szCs w:val="21"/>
        </w:rPr>
        <w:t>（2）服务标准</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本项目涉及的业务系统为采购人在用的生产系统，目前在政务云上平稳运行，因此保障业务连续性是重要的保障需求。迁移服务具体要求如下：</w:t>
      </w:r>
    </w:p>
    <w:p>
      <w:pPr>
        <w:pStyle w:val="2"/>
        <w:numPr>
          <w:ilvl w:val="0"/>
          <w:numId w:val="2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投标人需编制业务连续性服务方案。</w:t>
      </w:r>
    </w:p>
    <w:p>
      <w:pPr>
        <w:pStyle w:val="2"/>
        <w:numPr>
          <w:ilvl w:val="0"/>
          <w:numId w:val="2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pPr>
        <w:pStyle w:val="2"/>
        <w:numPr>
          <w:ilvl w:val="0"/>
          <w:numId w:val="24"/>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pPr>
        <w:widowControl/>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2.2采购标的的其他技术、服务等要求</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2.2.1服务规范</w:t>
      </w:r>
    </w:p>
    <w:p>
      <w:pPr>
        <w:pStyle w:val="38"/>
        <w:widowControl w:val="0"/>
        <w:snapToGrid w:val="0"/>
        <w:spacing w:before="0" w:beforeAutospacing="0" w:after="0" w:afterAutospacing="0"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bidi="ar"/>
        </w:rPr>
        <w:t>投标人须严格按照采购人制定的管理办法、流程及其他汇报制度、应急制度、文档管理、资产管理、基线管理、人员管理、培训与考试、知识库管理、安全管理等相关制度，开展标准化运维工作。</w:t>
      </w:r>
    </w:p>
    <w:p>
      <w:pPr>
        <w:pStyle w:val="38"/>
        <w:widowControl w:val="0"/>
        <w:snapToGrid w:val="0"/>
        <w:spacing w:before="0" w:beforeAutospacing="0" w:after="0" w:afterAutospacing="0" w:line="360" w:lineRule="auto"/>
        <w:ind w:firstLine="420" w:firstLineChars="200"/>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bidi="ar"/>
        </w:rPr>
        <w:t>投标人应遵从政务云管理单位的日常管理要求，包括但不限于使用政务云管理单位指定的安全通信工具，确保通信和协调信息处于可控范围。</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bookmarkStart w:id="34" w:name="_Toc15656"/>
      <w:r>
        <w:rPr>
          <w:rFonts w:hint="eastAsia" w:asciiTheme="minorEastAsia" w:hAnsiTheme="minorEastAsia" w:eastAsiaTheme="minorEastAsia" w:cstheme="minorEastAsia"/>
          <w:sz w:val="21"/>
          <w:szCs w:val="21"/>
        </w:rPr>
        <w:t>2.2.2保密要求</w:t>
      </w:r>
      <w:bookmarkEnd w:id="34"/>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投标人保证将保密信息的披露范围严格控制在直接从事该项目工作且因工作需要有必要知悉保密信息的工作人员范围内,对投标人非从事该项目的人员一律严格保密。</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任何时间内，一经采购人提出要求，投标人应按照采购人指示在收到采购人书面通知后 5 日内将含有保密信息的所有文件或其他资料归还采购人，且不得擅自复制留存。</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非经采购人特别授权，采购人向投标人提供的任何保密信息并不包括授予投标人该保密信息包含的任何专利权、商标权、著作权、商业秘密或其它类型的知识产权。</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投标人承担上述保密义务的期限为合同有效期间及合同终止后2年，承担上述保密义务的责任主体为投标人（含投标人服务人员）。</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pPr>
        <w:pStyle w:val="2"/>
        <w:numPr>
          <w:ilvl w:val="0"/>
          <w:numId w:val="25"/>
        </w:numPr>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投标人应当对获悉的政务数据、个人信息等予以保密，不得用于其他用途，不得泄露、出售或者非法向他人提供。</w:t>
      </w:r>
    </w:p>
    <w:p>
      <w:pPr>
        <w:spacing w:line="360" w:lineRule="auto"/>
        <w:ind w:firstLine="420" w:firstLineChars="200"/>
        <w:contextualSpacing/>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3.验收标准</w:t>
      </w:r>
    </w:p>
    <w:p>
      <w:pPr>
        <w:snapToGrid w:val="0"/>
        <w:spacing w:line="360" w:lineRule="auto"/>
        <w:ind w:firstLine="420" w:firstLineChars="200"/>
        <w:rPr>
          <w:rFonts w:asciiTheme="minorEastAsia" w:hAnsiTheme="minorEastAsia" w:eastAsiaTheme="minorEastAsia" w:cstheme="minorEastAsia"/>
          <w:bCs/>
          <w:szCs w:val="21"/>
        </w:rPr>
      </w:pPr>
      <w:bookmarkStart w:id="35" w:name="_Toc172656540"/>
      <w:r>
        <w:rPr>
          <w:rFonts w:hint="eastAsia" w:asciiTheme="minorEastAsia" w:hAnsiTheme="minorEastAsia" w:eastAsiaTheme="minorEastAsia" w:cstheme="minorEastAsia"/>
          <w:bCs/>
          <w:szCs w:val="21"/>
        </w:rPr>
        <w:t>3.1服务绩效指标</w:t>
      </w:r>
      <w:bookmarkEnd w:id="35"/>
    </w:p>
    <w:p>
      <w:pPr>
        <w:pStyle w:val="17"/>
        <w:snapToGrid w:val="0"/>
        <w:ind w:left="84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3.1.1云服务全年整体可用性≥99.9%；</w:t>
      </w:r>
    </w:p>
    <w:p>
      <w:pPr>
        <w:pStyle w:val="17"/>
        <w:snapToGrid w:val="0"/>
        <w:ind w:left="84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3.1.2故障响应率100%；</w:t>
      </w:r>
    </w:p>
    <w:p>
      <w:pPr>
        <w:pStyle w:val="17"/>
        <w:snapToGrid w:val="0"/>
        <w:ind w:left="84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3.1.3应急响应时间≤15分钟；</w:t>
      </w:r>
    </w:p>
    <w:p>
      <w:pPr>
        <w:snapToGrid w:val="0"/>
        <w:spacing w:line="360" w:lineRule="auto"/>
        <w:ind w:firstLine="420" w:firstLineChars="200"/>
        <w:rPr>
          <w:rFonts w:asciiTheme="minorEastAsia" w:hAnsiTheme="minorEastAsia" w:eastAsiaTheme="minorEastAsia" w:cstheme="minorEastAsia"/>
          <w:bCs/>
          <w:szCs w:val="21"/>
        </w:rPr>
      </w:pPr>
      <w:bookmarkStart w:id="36" w:name="_Toc172656541"/>
      <w:r>
        <w:rPr>
          <w:rFonts w:hint="eastAsia" w:asciiTheme="minorEastAsia" w:hAnsiTheme="minorEastAsia" w:eastAsiaTheme="minorEastAsia" w:cstheme="minorEastAsia"/>
          <w:bCs/>
          <w:szCs w:val="21"/>
        </w:rPr>
        <w:t>3.2项目验收要求</w:t>
      </w:r>
      <w:bookmarkEnd w:id="36"/>
    </w:p>
    <w:p>
      <w:pPr>
        <w:pStyle w:val="2"/>
        <w:snapToGrid w:val="0"/>
        <w:spacing w:line="360" w:lineRule="auto"/>
        <w:ind w:firstLineChars="200"/>
        <w:rPr>
          <w:rFonts w:asciiTheme="minorEastAsia" w:hAnsiTheme="minorEastAsia" w:eastAsiaTheme="minorEastAsia" w:cstheme="minorEastAsia"/>
          <w:sz w:val="21"/>
          <w:szCs w:val="21"/>
        </w:rPr>
      </w:pPr>
      <w:bookmarkStart w:id="37" w:name="OLE_LINK12"/>
      <w:r>
        <w:rPr>
          <w:rFonts w:hint="eastAsia" w:asciiTheme="minorEastAsia" w:hAnsiTheme="minorEastAsia" w:eastAsiaTheme="minorEastAsia" w:cstheme="minorEastAsia"/>
          <w:sz w:val="21"/>
          <w:szCs w:val="21"/>
        </w:rPr>
        <w:t>采购人</w:t>
      </w:r>
      <w:bookmarkEnd w:id="37"/>
      <w:r>
        <w:rPr>
          <w:rFonts w:hint="eastAsia" w:asciiTheme="minorEastAsia" w:hAnsiTheme="minorEastAsia" w:eastAsiaTheme="minorEastAsia" w:cstheme="minorEastAsia"/>
          <w:sz w:val="21"/>
          <w:szCs w:val="21"/>
        </w:rPr>
        <w:t>在服务期满后对</w:t>
      </w:r>
      <w:bookmarkStart w:id="38" w:name="OLE_LINK11"/>
      <w:r>
        <w:rPr>
          <w:rFonts w:hint="eastAsia" w:asciiTheme="minorEastAsia" w:hAnsiTheme="minorEastAsia" w:eastAsiaTheme="minorEastAsia" w:cstheme="minorEastAsia"/>
          <w:sz w:val="21"/>
          <w:szCs w:val="21"/>
        </w:rPr>
        <w:t>投标人</w:t>
      </w:r>
      <w:bookmarkEnd w:id="38"/>
      <w:r>
        <w:rPr>
          <w:rFonts w:hint="eastAsia" w:asciiTheme="minorEastAsia" w:hAnsiTheme="minorEastAsia" w:eastAsiaTheme="minorEastAsia" w:cstheme="minorEastAsia"/>
          <w:sz w:val="21"/>
          <w:szCs w:val="21"/>
        </w:rPr>
        <w:t>服务情况进行验收。投标人按要求提交项目验收申请材料，经采购人验收合格后完成项目验收。</w:t>
      </w:r>
    </w:p>
    <w:p>
      <w:pPr>
        <w:spacing w:line="360" w:lineRule="auto"/>
        <w:ind w:firstLine="422" w:firstLineChars="200"/>
        <w:contextualSpacing/>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4.其他要求</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4.1服务期内，投标人须设有7×24小时电话响应服务、具备运维团队，提供售后服务保障。团队成员应明确职责，架构清晰，岗位设置合理，且具备与本项目相关的项目经验。</w:t>
      </w:r>
    </w:p>
    <w:p>
      <w:pPr>
        <w:pStyle w:val="2"/>
        <w:snapToGrid w:val="0"/>
        <w:ind w:firstLine="48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4.2投标人须提供1名项目经理及7名项目团队专职人员，为本项目提供服务。项目经理需按照采购人要求，承担云资源服务保障具体工作，技术支持人员要求如下：</w:t>
      </w:r>
    </w:p>
    <w:p>
      <w:pPr>
        <w:pStyle w:val="2"/>
        <w:snapToGrid w:val="0"/>
        <w:ind w:firstLine="2741" w:firstLineChars="130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服务团队人员要求</w:t>
      </w:r>
    </w:p>
    <w:tbl>
      <w:tblPr>
        <w:tblStyle w:val="43"/>
        <w:tblW w:w="8519" w:type="dxa"/>
        <w:tblInd w:w="0" w:type="dxa"/>
        <w:tblLayout w:type="fixed"/>
        <w:tblCellMar>
          <w:top w:w="0" w:type="dxa"/>
          <w:left w:w="108" w:type="dxa"/>
          <w:bottom w:w="0" w:type="dxa"/>
          <w:right w:w="108" w:type="dxa"/>
        </w:tblCellMar>
      </w:tblPr>
      <w:tblGrid>
        <w:gridCol w:w="960"/>
        <w:gridCol w:w="714"/>
        <w:gridCol w:w="1352"/>
        <w:gridCol w:w="1962"/>
        <w:gridCol w:w="3531"/>
      </w:tblGrid>
      <w:tr>
        <w:tblPrEx>
          <w:tblLayout w:type="fixed"/>
          <w:tblCellMar>
            <w:top w:w="0" w:type="dxa"/>
            <w:left w:w="108" w:type="dxa"/>
            <w:bottom w:w="0" w:type="dxa"/>
            <w:right w:w="108" w:type="dxa"/>
          </w:tblCellMar>
        </w:tblPrEx>
        <w:trPr>
          <w:trHeight w:val="700" w:hRule="atLeast"/>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岗位</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数量</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学历</w:t>
            </w:r>
          </w:p>
        </w:tc>
        <w:tc>
          <w:tcPr>
            <w:tcW w:w="1962" w:type="dxa"/>
            <w:tcBorders>
              <w:top w:val="single" w:color="auto" w:sz="6" w:space="0"/>
              <w:left w:val="single" w:color="auto" w:sz="4" w:space="0"/>
              <w:bottom w:val="single" w:color="auto" w:sz="6" w:space="0"/>
              <w:right w:val="single" w:color="auto" w:sz="6"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工作经验</w:t>
            </w:r>
          </w:p>
        </w:tc>
        <w:tc>
          <w:tcPr>
            <w:tcW w:w="3531" w:type="dxa"/>
            <w:tcBorders>
              <w:top w:val="single" w:color="auto" w:sz="6" w:space="0"/>
              <w:left w:val="single" w:color="auto" w:sz="6" w:space="0"/>
              <w:bottom w:val="single" w:color="auto" w:sz="6" w:space="0"/>
              <w:right w:val="single" w:color="auto" w:sz="6"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szCs w:val="21"/>
              </w:rPr>
              <w:t>岗位需具备的上岗资格证等要求</w:t>
            </w:r>
          </w:p>
        </w:tc>
      </w:tr>
      <w:tr>
        <w:tblPrEx>
          <w:tblLayout w:type="fixed"/>
          <w:tblCellMar>
            <w:top w:w="0" w:type="dxa"/>
            <w:left w:w="108" w:type="dxa"/>
            <w:bottom w:w="0" w:type="dxa"/>
            <w:right w:w="108" w:type="dxa"/>
          </w:tblCellMar>
        </w:tblPrEx>
        <w:trPr>
          <w:trHeight w:val="1270" w:hRule="atLeast"/>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项目</w:t>
            </w:r>
          </w:p>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经理</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szCs w:val="21"/>
              </w:rPr>
              <w:t>有10年及以上类似工作经验</w:t>
            </w:r>
          </w:p>
        </w:tc>
        <w:tc>
          <w:tcPr>
            <w:tcW w:w="3531" w:type="dxa"/>
            <w:vMerge w:val="restart"/>
            <w:tcBorders>
              <w:top w:val="single" w:color="auto" w:sz="6" w:space="0"/>
              <w:left w:val="single" w:color="auto" w:sz="6" w:space="0"/>
              <w:right w:val="single" w:color="auto" w:sz="6" w:space="0"/>
            </w:tcBorders>
            <w:vAlign w:val="center"/>
          </w:tcPr>
          <w:p>
            <w:pP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可使用证书：</w:t>
            </w:r>
          </w:p>
          <w:p>
            <w:pPr>
              <w:rPr>
                <w:rFonts w:asciiTheme="minorEastAsia" w:hAnsiTheme="minorEastAsia" w:eastAsiaTheme="minorEastAsia" w:cstheme="minorEastAsia"/>
                <w:szCs w:val="21"/>
                <w:lang w:bidi="ar"/>
              </w:rPr>
            </w:pPr>
            <w:r>
              <w:rPr>
                <w:rFonts w:hint="eastAsia" w:asciiTheme="minorEastAsia" w:hAnsiTheme="minorEastAsia" w:eastAsiaTheme="minorEastAsia" w:cstheme="minorEastAsia"/>
                <w:szCs w:val="21"/>
                <w:lang w:bidi="ar"/>
              </w:rPr>
              <w:t>信息系统项目管理师</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注册信息安全工程师证书（CISP）</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信息安全保障人员认证证书（</w:t>
            </w:r>
            <w:bookmarkStart w:id="39" w:name="OLE_LINK6"/>
            <w:r>
              <w:rPr>
                <w:rFonts w:hint="eastAsia" w:asciiTheme="minorEastAsia" w:hAnsiTheme="minorEastAsia" w:eastAsiaTheme="minorEastAsia" w:cstheme="minorEastAsia"/>
                <w:szCs w:val="21"/>
              </w:rPr>
              <w:t>CISAW</w:t>
            </w:r>
            <w:bookmarkEnd w:id="39"/>
            <w:r>
              <w:rPr>
                <w:rFonts w:hint="eastAsia" w:asciiTheme="minorEastAsia" w:hAnsiTheme="minorEastAsia" w:eastAsiaTheme="minorEastAsia" w:cstheme="minorEastAsia"/>
                <w:szCs w:val="21"/>
              </w:rPr>
              <w:t>）</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网络工程师</w:t>
            </w:r>
          </w:p>
        </w:tc>
      </w:tr>
      <w:tr>
        <w:tblPrEx>
          <w:tblLayout w:type="fixed"/>
          <w:tblCellMar>
            <w:top w:w="0" w:type="dxa"/>
            <w:left w:w="108" w:type="dxa"/>
            <w:bottom w:w="0" w:type="dxa"/>
            <w:right w:w="108" w:type="dxa"/>
          </w:tblCellMar>
        </w:tblPrEx>
        <w:trPr>
          <w:trHeight w:val="1405" w:hRule="atLeast"/>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技术负责人</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1</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szCs w:val="21"/>
              </w:rPr>
              <w:t>有5年及以上类似工作经验</w:t>
            </w:r>
          </w:p>
        </w:tc>
        <w:tc>
          <w:tcPr>
            <w:tcW w:w="3531" w:type="dxa"/>
            <w:vMerge w:val="continue"/>
            <w:tcBorders>
              <w:left w:val="single" w:color="auto" w:sz="6" w:space="0"/>
              <w:right w:val="single" w:color="auto" w:sz="6" w:space="0"/>
            </w:tcBorders>
            <w:vAlign w:val="center"/>
          </w:tcPr>
          <w:p>
            <w:pPr>
              <w:adjustRightInd w:val="0"/>
              <w:spacing w:line="440" w:lineRule="exact"/>
              <w:jc w:val="left"/>
              <w:textAlignment w:val="baseline"/>
              <w:rPr>
                <w:rFonts w:asciiTheme="minorEastAsia" w:hAnsiTheme="minorEastAsia" w:eastAsiaTheme="minorEastAsia" w:cstheme="minorEastAsia"/>
                <w:bCs/>
                <w:color w:val="000000"/>
                <w:szCs w:val="21"/>
              </w:rPr>
            </w:pPr>
          </w:p>
        </w:tc>
      </w:tr>
      <w:tr>
        <w:tblPrEx>
          <w:tblLayout w:type="fixed"/>
          <w:tblCellMar>
            <w:top w:w="0" w:type="dxa"/>
            <w:left w:w="108" w:type="dxa"/>
            <w:bottom w:w="0" w:type="dxa"/>
            <w:right w:w="108" w:type="dxa"/>
          </w:tblCellMar>
        </w:tblPrEx>
        <w:trPr>
          <w:trHeight w:val="1405" w:hRule="atLeast"/>
        </w:trPr>
        <w:tc>
          <w:tcPr>
            <w:tcW w:w="960"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项目</w:t>
            </w:r>
          </w:p>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人员</w:t>
            </w:r>
          </w:p>
        </w:tc>
        <w:tc>
          <w:tcPr>
            <w:tcW w:w="714"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6</w:t>
            </w:r>
          </w:p>
        </w:tc>
        <w:tc>
          <w:tcPr>
            <w:tcW w:w="1352"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rFonts w:asciiTheme="minorEastAsia" w:hAnsiTheme="minorEastAsia" w:eastAsiaTheme="minorEastAsia" w:cstheme="minorEastAsia"/>
                <w:bCs/>
                <w:color w:val="000000"/>
                <w:szCs w:val="21"/>
              </w:rPr>
            </w:pPr>
            <w:r>
              <w:rPr>
                <w:rFonts w:hint="eastAsia" w:asciiTheme="minorEastAsia" w:hAnsiTheme="minorEastAsia" w:eastAsiaTheme="minorEastAsia" w:cstheme="minorEastAsia"/>
                <w:bCs/>
                <w:color w:val="000000"/>
                <w:szCs w:val="21"/>
              </w:rPr>
              <w:t>本科及以上</w:t>
            </w:r>
          </w:p>
        </w:tc>
        <w:tc>
          <w:tcPr>
            <w:tcW w:w="1962" w:type="dxa"/>
            <w:tcBorders>
              <w:top w:val="single" w:color="auto" w:sz="6" w:space="0"/>
              <w:left w:val="single" w:color="auto" w:sz="4" w:space="0"/>
              <w:bottom w:val="single" w:color="auto" w:sz="6" w:space="0"/>
              <w:right w:val="single" w:color="auto" w:sz="6" w:space="0"/>
            </w:tcBorders>
            <w:vAlign w:val="center"/>
          </w:tcPr>
          <w:p>
            <w:pPr>
              <w:adjustRightInd w:val="0"/>
              <w:spacing w:line="440" w:lineRule="exact"/>
              <w:jc w:val="center"/>
              <w:textAlignment w:val="baseline"/>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有5年及以上类似工作经验</w:t>
            </w:r>
          </w:p>
        </w:tc>
        <w:tc>
          <w:tcPr>
            <w:tcW w:w="3531" w:type="dxa"/>
            <w:vMerge w:val="continue"/>
            <w:tcBorders>
              <w:left w:val="single" w:color="auto" w:sz="6" w:space="0"/>
              <w:bottom w:val="single" w:color="auto" w:sz="6" w:space="0"/>
              <w:right w:val="single" w:color="auto" w:sz="6" w:space="0"/>
            </w:tcBorders>
            <w:vAlign w:val="center"/>
          </w:tcPr>
          <w:p>
            <w:pPr>
              <w:adjustRightInd w:val="0"/>
              <w:spacing w:line="440" w:lineRule="exact"/>
              <w:jc w:val="left"/>
              <w:textAlignment w:val="baseline"/>
              <w:rPr>
                <w:rFonts w:asciiTheme="minorEastAsia" w:hAnsiTheme="minorEastAsia" w:eastAsiaTheme="minorEastAsia" w:cstheme="minorEastAsia"/>
                <w:bCs/>
                <w:color w:val="000000"/>
                <w:szCs w:val="21"/>
              </w:rPr>
            </w:pPr>
          </w:p>
        </w:tc>
      </w:tr>
    </w:tbl>
    <w:p>
      <w:pPr>
        <w:pStyle w:val="58"/>
        <w:spacing w:line="360" w:lineRule="auto"/>
        <w:ind w:firstLine="0" w:firstLineChars="0"/>
        <w:contextualSpacing/>
        <w:rPr>
          <w:rFonts w:asciiTheme="minorEastAsia" w:hAnsiTheme="minorEastAsia" w:eastAsiaTheme="minorEastAsia" w:cstheme="minorEastAsia"/>
          <w:b/>
          <w:szCs w:val="21"/>
        </w:rPr>
      </w:pPr>
      <w:bookmarkStart w:id="40" w:name="_Toc22993"/>
    </w:p>
    <w:bookmarkEnd w:id="40"/>
    <w:p/>
    <w:p/>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41" w:name="_GoBack"/>
      <w:bookmarkEnd w:id="41"/>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Arial Unicode MS"/>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43</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A140AE"/>
    <w:multiLevelType w:val="singleLevel"/>
    <w:tmpl w:val="A2A140AE"/>
    <w:lvl w:ilvl="0" w:tentative="0">
      <w:start w:val="1"/>
      <w:numFmt w:val="decimal"/>
      <w:lvlText w:val="(%1)"/>
      <w:lvlJc w:val="left"/>
      <w:pPr>
        <w:ind w:left="425" w:hanging="425"/>
      </w:pPr>
      <w:rPr>
        <w:rFonts w:hint="default"/>
      </w:rPr>
    </w:lvl>
  </w:abstractNum>
  <w:abstractNum w:abstractNumId="1">
    <w:nsid w:val="A4F00A72"/>
    <w:multiLevelType w:val="singleLevel"/>
    <w:tmpl w:val="A4F00A72"/>
    <w:lvl w:ilvl="0" w:tentative="0">
      <w:start w:val="1"/>
      <w:numFmt w:val="decimalEnclosedCircleChinese"/>
      <w:suff w:val="nothing"/>
      <w:lvlText w:val="%1　"/>
      <w:lvlJc w:val="left"/>
      <w:pPr>
        <w:ind w:left="360" w:firstLine="400"/>
      </w:pPr>
      <w:rPr>
        <w:rFonts w:hint="eastAsia"/>
      </w:rPr>
    </w:lvl>
  </w:abstractNum>
  <w:abstractNum w:abstractNumId="2">
    <w:nsid w:val="ACEFB849"/>
    <w:multiLevelType w:val="singleLevel"/>
    <w:tmpl w:val="ACEFB849"/>
    <w:lvl w:ilvl="0" w:tentative="0">
      <w:start w:val="1"/>
      <w:numFmt w:val="decimalEnclosedCircleChinese"/>
      <w:suff w:val="nothing"/>
      <w:lvlText w:val="%1　"/>
      <w:lvlJc w:val="left"/>
      <w:pPr>
        <w:ind w:left="360" w:firstLine="400"/>
      </w:pPr>
      <w:rPr>
        <w:rFonts w:hint="eastAsia"/>
      </w:rPr>
    </w:lvl>
  </w:abstractNum>
  <w:abstractNum w:abstractNumId="3">
    <w:nsid w:val="BF58483C"/>
    <w:multiLevelType w:val="singleLevel"/>
    <w:tmpl w:val="BF58483C"/>
    <w:lvl w:ilvl="0" w:tentative="0">
      <w:start w:val="1"/>
      <w:numFmt w:val="decimalEnclosedCircleChinese"/>
      <w:suff w:val="nothing"/>
      <w:lvlText w:val="%1　"/>
      <w:lvlJc w:val="left"/>
      <w:pPr>
        <w:ind w:left="360" w:firstLine="400"/>
      </w:pPr>
      <w:rPr>
        <w:rFonts w:hint="eastAsia"/>
      </w:rPr>
    </w:lvl>
  </w:abstractNum>
  <w:abstractNum w:abstractNumId="4">
    <w:nsid w:val="EFEB759F"/>
    <w:multiLevelType w:val="singleLevel"/>
    <w:tmpl w:val="EFEB759F"/>
    <w:lvl w:ilvl="0" w:tentative="0">
      <w:start w:val="1"/>
      <w:numFmt w:val="decimal"/>
      <w:lvlText w:val="(%1)"/>
      <w:lvlJc w:val="left"/>
      <w:pPr>
        <w:ind w:left="425" w:hanging="425"/>
      </w:pPr>
      <w:rPr>
        <w:rFonts w:hint="default"/>
      </w:rPr>
    </w:lvl>
  </w:abstractNum>
  <w:abstractNum w:abstractNumId="5">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380B5E"/>
    <w:multiLevelType w:val="singleLevel"/>
    <w:tmpl w:val="16380B5E"/>
    <w:lvl w:ilvl="0" w:tentative="0">
      <w:start w:val="1"/>
      <w:numFmt w:val="bullet"/>
      <w:lvlText w:val=""/>
      <w:lvlJc w:val="left"/>
      <w:pPr>
        <w:ind w:left="1470" w:hanging="420"/>
      </w:pPr>
      <w:rPr>
        <w:rFonts w:hint="default" w:ascii="Wingdings" w:hAnsi="Wingdings"/>
      </w:rPr>
    </w:lvl>
  </w:abstractNum>
  <w:abstractNum w:abstractNumId="14">
    <w:nsid w:val="1917BB51"/>
    <w:multiLevelType w:val="singleLevel"/>
    <w:tmpl w:val="1917BB51"/>
    <w:lvl w:ilvl="0" w:tentative="0">
      <w:start w:val="1"/>
      <w:numFmt w:val="decimalEnclosedCircleChinese"/>
      <w:suff w:val="nothing"/>
      <w:lvlText w:val="%1　"/>
      <w:lvlJc w:val="left"/>
      <w:pPr>
        <w:ind w:left="360" w:firstLine="400"/>
      </w:pPr>
      <w:rPr>
        <w:rFonts w:hint="eastAsia"/>
      </w:rPr>
    </w:lvl>
  </w:abstractNum>
  <w:abstractNum w:abstractNumId="15">
    <w:nsid w:val="4248BA76"/>
    <w:multiLevelType w:val="singleLevel"/>
    <w:tmpl w:val="4248BA76"/>
    <w:lvl w:ilvl="0" w:tentative="0">
      <w:start w:val="1"/>
      <w:numFmt w:val="decimalEnclosedCircleChinese"/>
      <w:suff w:val="nothing"/>
      <w:lvlText w:val="%1　"/>
      <w:lvlJc w:val="left"/>
      <w:pPr>
        <w:ind w:left="360" w:firstLine="400"/>
      </w:pPr>
      <w:rPr>
        <w:rFonts w:hint="eastAsia"/>
      </w:rPr>
    </w:lvl>
  </w:abstractNum>
  <w:abstractNum w:abstractNumId="16">
    <w:nsid w:val="459B15C1"/>
    <w:multiLevelType w:val="singleLevel"/>
    <w:tmpl w:val="459B15C1"/>
    <w:lvl w:ilvl="0" w:tentative="0">
      <w:start w:val="1"/>
      <w:numFmt w:val="decimal"/>
      <w:lvlText w:val="(%1)"/>
      <w:lvlJc w:val="left"/>
      <w:pPr>
        <w:ind w:left="425" w:hanging="425"/>
      </w:pPr>
      <w:rPr>
        <w:rFonts w:hint="default"/>
      </w:rPr>
    </w:lvl>
  </w:abstractNum>
  <w:abstractNum w:abstractNumId="17">
    <w:nsid w:val="49F03AA4"/>
    <w:multiLevelType w:val="singleLevel"/>
    <w:tmpl w:val="49F03AA4"/>
    <w:lvl w:ilvl="0" w:tentative="0">
      <w:start w:val="1"/>
      <w:numFmt w:val="decimalEnclosedCircleChinese"/>
      <w:suff w:val="nothing"/>
      <w:lvlText w:val="%1　"/>
      <w:lvlJc w:val="left"/>
      <w:pPr>
        <w:ind w:left="360" w:firstLine="400"/>
      </w:pPr>
      <w:rPr>
        <w:rFonts w:hint="eastAsia"/>
      </w:rPr>
    </w:lvl>
  </w:abstractNum>
  <w:abstractNum w:abstractNumId="18">
    <w:nsid w:val="4FF16CE4"/>
    <w:multiLevelType w:val="singleLevel"/>
    <w:tmpl w:val="4FF16CE4"/>
    <w:lvl w:ilvl="0" w:tentative="0">
      <w:start w:val="1"/>
      <w:numFmt w:val="decimalEnclosedCircleChinese"/>
      <w:suff w:val="nothing"/>
      <w:lvlText w:val="%1　"/>
      <w:lvlJc w:val="left"/>
      <w:pPr>
        <w:ind w:left="360" w:firstLine="400"/>
      </w:pPr>
      <w:rPr>
        <w:rFonts w:hint="eastAsia"/>
      </w:rPr>
    </w:lvl>
  </w:abstractNum>
  <w:abstractNum w:abstractNumId="19">
    <w:nsid w:val="5705CD35"/>
    <w:multiLevelType w:val="singleLevel"/>
    <w:tmpl w:val="5705CD35"/>
    <w:lvl w:ilvl="0" w:tentative="0">
      <w:start w:val="1"/>
      <w:numFmt w:val="decimalEnclosedCircleChinese"/>
      <w:suff w:val="nothing"/>
      <w:lvlText w:val="%1　"/>
      <w:lvlJc w:val="left"/>
      <w:pPr>
        <w:ind w:left="360" w:firstLine="400"/>
      </w:pPr>
      <w:rPr>
        <w:rFonts w:hint="eastAsia"/>
      </w:rPr>
    </w:lvl>
  </w:abstractNum>
  <w:abstractNum w:abstractNumId="20">
    <w:nsid w:val="638DED93"/>
    <w:multiLevelType w:val="singleLevel"/>
    <w:tmpl w:val="638DED93"/>
    <w:lvl w:ilvl="0" w:tentative="0">
      <w:start w:val="1"/>
      <w:numFmt w:val="decimalEnclosedCircleChinese"/>
      <w:suff w:val="nothing"/>
      <w:lvlText w:val="%1　"/>
      <w:lvlJc w:val="left"/>
      <w:pPr>
        <w:ind w:left="360" w:firstLine="400"/>
      </w:pPr>
      <w:rPr>
        <w:rFonts w:hint="eastAsia"/>
      </w:rPr>
    </w:lvl>
  </w:abstractNum>
  <w:abstractNum w:abstractNumId="21">
    <w:nsid w:val="79523EF6"/>
    <w:multiLevelType w:val="singleLevel"/>
    <w:tmpl w:val="79523EF6"/>
    <w:lvl w:ilvl="0" w:tentative="0">
      <w:start w:val="1"/>
      <w:numFmt w:val="decimal"/>
      <w:lvlText w:val="(%1)"/>
      <w:lvlJc w:val="left"/>
      <w:pPr>
        <w:ind w:left="425" w:hanging="425"/>
      </w:pPr>
      <w:rPr>
        <w:rFonts w:hint="default"/>
      </w:rPr>
    </w:lvl>
  </w:abstractNum>
  <w:abstractNum w:abstractNumId="22">
    <w:nsid w:val="7A08DB31"/>
    <w:multiLevelType w:val="singleLevel"/>
    <w:tmpl w:val="7A08DB31"/>
    <w:lvl w:ilvl="0" w:tentative="0">
      <w:start w:val="1"/>
      <w:numFmt w:val="decimal"/>
      <w:lvlText w:val="(%1)"/>
      <w:lvlJc w:val="left"/>
      <w:pPr>
        <w:ind w:left="425" w:hanging="425"/>
      </w:pPr>
      <w:rPr>
        <w:rFonts w:hint="default"/>
      </w:rPr>
    </w:lvl>
  </w:abstractNum>
  <w:abstractNum w:abstractNumId="23">
    <w:nsid w:val="7D2A856E"/>
    <w:multiLevelType w:val="singleLevel"/>
    <w:tmpl w:val="7D2A856E"/>
    <w:lvl w:ilvl="0" w:tentative="0">
      <w:start w:val="1"/>
      <w:numFmt w:val="decimalEnclosedCircleChinese"/>
      <w:suff w:val="nothing"/>
      <w:lvlText w:val="%1　"/>
      <w:lvlJc w:val="left"/>
      <w:pPr>
        <w:ind w:left="360" w:firstLine="400"/>
      </w:pPr>
      <w:rPr>
        <w:rFonts w:hint="eastAsia"/>
      </w:rPr>
    </w:lvl>
  </w:abstractNum>
  <w:abstractNum w:abstractNumId="24">
    <w:nsid w:val="7E721ACC"/>
    <w:multiLevelType w:val="singleLevel"/>
    <w:tmpl w:val="7E721ACC"/>
    <w:lvl w:ilvl="0" w:tentative="0">
      <w:start w:val="1"/>
      <w:numFmt w:val="decimalEnclosedCircleChinese"/>
      <w:suff w:val="nothing"/>
      <w:lvlText w:val="%1　"/>
      <w:lvlJc w:val="left"/>
      <w:pPr>
        <w:ind w:left="360" w:firstLine="400"/>
      </w:pPr>
      <w:rPr>
        <w:rFonts w:hint="eastAsia"/>
      </w:rPr>
    </w:lvl>
  </w:abstractNum>
  <w:num w:numId="1">
    <w:abstractNumId w:val="8"/>
  </w:num>
  <w:num w:numId="2">
    <w:abstractNumId w:val="5"/>
  </w:num>
  <w:num w:numId="3">
    <w:abstractNumId w:val="10"/>
  </w:num>
  <w:num w:numId="4">
    <w:abstractNumId w:val="7"/>
  </w:num>
  <w:num w:numId="5">
    <w:abstractNumId w:val="9"/>
  </w:num>
  <w:num w:numId="6">
    <w:abstractNumId w:val="6"/>
  </w:num>
  <w:num w:numId="7">
    <w:abstractNumId w:val="11"/>
  </w:num>
  <w:num w:numId="8">
    <w:abstractNumId w:val="12"/>
  </w:num>
  <w:num w:numId="9">
    <w:abstractNumId w:val="0"/>
  </w:num>
  <w:num w:numId="10">
    <w:abstractNumId w:val="22"/>
  </w:num>
  <w:num w:numId="11">
    <w:abstractNumId w:val="4"/>
  </w:num>
  <w:num w:numId="12">
    <w:abstractNumId w:val="16"/>
  </w:num>
  <w:num w:numId="13">
    <w:abstractNumId w:val="21"/>
  </w:num>
  <w:num w:numId="14">
    <w:abstractNumId w:val="15"/>
  </w:num>
  <w:num w:numId="15">
    <w:abstractNumId w:val="13"/>
  </w:num>
  <w:num w:numId="16">
    <w:abstractNumId w:val="24"/>
  </w:num>
  <w:num w:numId="17">
    <w:abstractNumId w:val="23"/>
  </w:num>
  <w:num w:numId="18">
    <w:abstractNumId w:val="2"/>
  </w:num>
  <w:num w:numId="19">
    <w:abstractNumId w:val="17"/>
  </w:num>
  <w:num w:numId="20">
    <w:abstractNumId w:val="1"/>
  </w:num>
  <w:num w:numId="21">
    <w:abstractNumId w:val="18"/>
  </w:num>
  <w:num w:numId="22">
    <w:abstractNumId w:val="14"/>
  </w:num>
  <w:num w:numId="23">
    <w:abstractNumId w:val="20"/>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EF0"/>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902"/>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5DB3"/>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2F"/>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78A"/>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4B8"/>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821"/>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B8F"/>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779D3"/>
    <w:rsid w:val="07F36417"/>
    <w:rsid w:val="07FDFB03"/>
    <w:rsid w:val="0AEE26D6"/>
    <w:rsid w:val="0B660C1A"/>
    <w:rsid w:val="0D9D24E2"/>
    <w:rsid w:val="10BB54B6"/>
    <w:rsid w:val="14625AD7"/>
    <w:rsid w:val="17F93E0B"/>
    <w:rsid w:val="196B04A0"/>
    <w:rsid w:val="1C455CA5"/>
    <w:rsid w:val="1D2C69D2"/>
    <w:rsid w:val="211D2A9C"/>
    <w:rsid w:val="217C0935"/>
    <w:rsid w:val="239E00B4"/>
    <w:rsid w:val="251E74A4"/>
    <w:rsid w:val="26831BBC"/>
    <w:rsid w:val="27843CE5"/>
    <w:rsid w:val="2816124E"/>
    <w:rsid w:val="2B9845BD"/>
    <w:rsid w:val="30EF0BF0"/>
    <w:rsid w:val="31754DFF"/>
    <w:rsid w:val="31E072A5"/>
    <w:rsid w:val="321715DC"/>
    <w:rsid w:val="32EB653A"/>
    <w:rsid w:val="398F586D"/>
    <w:rsid w:val="3BCB6780"/>
    <w:rsid w:val="3CC85B63"/>
    <w:rsid w:val="3FC44B7C"/>
    <w:rsid w:val="3FE3EDEC"/>
    <w:rsid w:val="402A14E2"/>
    <w:rsid w:val="425A2175"/>
    <w:rsid w:val="42CD0A98"/>
    <w:rsid w:val="431A0C09"/>
    <w:rsid w:val="455433A9"/>
    <w:rsid w:val="470035A7"/>
    <w:rsid w:val="480E2158"/>
    <w:rsid w:val="4B65373A"/>
    <w:rsid w:val="4C327140"/>
    <w:rsid w:val="4D00163A"/>
    <w:rsid w:val="4F0F5BE3"/>
    <w:rsid w:val="50055E16"/>
    <w:rsid w:val="517B14E3"/>
    <w:rsid w:val="52422029"/>
    <w:rsid w:val="545455E7"/>
    <w:rsid w:val="55040901"/>
    <w:rsid w:val="56245862"/>
    <w:rsid w:val="56DF05DE"/>
    <w:rsid w:val="57FC6189"/>
    <w:rsid w:val="58E00503"/>
    <w:rsid w:val="5A0D7420"/>
    <w:rsid w:val="5B9205D4"/>
    <w:rsid w:val="5C3D4D61"/>
    <w:rsid w:val="5D370EBC"/>
    <w:rsid w:val="5F073306"/>
    <w:rsid w:val="5F434264"/>
    <w:rsid w:val="5F5F73B9"/>
    <w:rsid w:val="64345DCC"/>
    <w:rsid w:val="6465428E"/>
    <w:rsid w:val="67817BD3"/>
    <w:rsid w:val="6838144E"/>
    <w:rsid w:val="68AA7398"/>
    <w:rsid w:val="6D8122D2"/>
    <w:rsid w:val="6DF52316"/>
    <w:rsid w:val="6EAB6FA9"/>
    <w:rsid w:val="71A102DD"/>
    <w:rsid w:val="73037F0B"/>
    <w:rsid w:val="73A53748"/>
    <w:rsid w:val="742C597A"/>
    <w:rsid w:val="77521CC0"/>
    <w:rsid w:val="78D10689"/>
    <w:rsid w:val="79931AE7"/>
    <w:rsid w:val="9E74D7AD"/>
    <w:rsid w:val="EF7ED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Body Text 3"/>
    <w:basedOn w:val="1"/>
    <w:link w:val="196"/>
    <w:qFormat/>
    <w:uiPriority w:val="0"/>
    <w:pPr>
      <w:spacing w:after="120"/>
    </w:pPr>
    <w:rPr>
      <w:sz w:val="16"/>
      <w:szCs w:val="16"/>
    </w:rPr>
  </w:style>
  <w:style w:type="paragraph" w:styleId="17">
    <w:name w:val="Body Text"/>
    <w:basedOn w:val="1"/>
    <w:next w:val="18"/>
    <w:link w:val="197"/>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Calibri" w:hAnsi="Calibri" w:eastAsia="宋体" w:cs="Calibri"/>
      <w:sz w:val="21"/>
      <w:szCs w:val="22"/>
      <w:lang w:val="en-US" w:eastAsia="zh-CN" w:bidi="ar-SA"/>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2"/>
    <w:link w:val="222"/>
    <w:qFormat/>
    <w:uiPriority w:val="0"/>
    <w:pPr>
      <w:jc w:val="center"/>
    </w:pPr>
    <w:rPr>
      <w:i w:val="0"/>
      <w:color w:val="000000"/>
      <w:sz w:val="28"/>
      <w:szCs w:val="21"/>
    </w:rPr>
  </w:style>
  <w:style w:type="paragraph" w:customStyle="1" w:styleId="57">
    <w:name w:val="正文小标题"/>
    <w:basedOn w:val="1"/>
    <w:next w:val="2"/>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3"/>
    <w:qFormat/>
    <w:uiPriority w:val="0"/>
    <w:rPr>
      <w:rFonts w:ascii="宋体"/>
      <w:b/>
      <w:kern w:val="44"/>
      <w:sz w:val="32"/>
    </w:rPr>
  </w:style>
  <w:style w:type="character" w:customStyle="1" w:styleId="185">
    <w:name w:val="标题 2 字符"/>
    <w:link w:val="4"/>
    <w:qFormat/>
    <w:uiPriority w:val="0"/>
    <w:rPr>
      <w:rFonts w:ascii="Arial" w:hAnsi="Arial" w:eastAsia="黑体"/>
      <w:b/>
      <w:sz w:val="30"/>
      <w:lang w:val="en-US" w:eastAsia="zh-CN" w:bidi="ar-SA"/>
    </w:rPr>
  </w:style>
  <w:style w:type="character" w:customStyle="1" w:styleId="186">
    <w:name w:val="标题 3 字符"/>
    <w:link w:val="5"/>
    <w:qFormat/>
    <w:uiPriority w:val="0"/>
    <w:rPr>
      <w:rFonts w:ascii="宋体" w:eastAsia="宋体"/>
      <w:b/>
      <w:sz w:val="24"/>
      <w:u w:val="single"/>
      <w:lang w:val="en-US" w:eastAsia="zh-CN" w:bidi="ar-SA"/>
    </w:rPr>
  </w:style>
  <w:style w:type="character" w:customStyle="1" w:styleId="187">
    <w:name w:val="正文缩进 字符"/>
    <w:link w:val="2"/>
    <w:qFormat/>
    <w:uiPriority w:val="0"/>
    <w:rPr>
      <w:rFonts w:ascii="宋体" w:eastAsia="宋体"/>
      <w:kern w:val="2"/>
      <w:sz w:val="24"/>
      <w:szCs w:val="24"/>
      <w:lang w:val="en-US" w:eastAsia="zh-CN" w:bidi="ar-SA"/>
    </w:rPr>
  </w:style>
  <w:style w:type="character" w:customStyle="1" w:styleId="188">
    <w:name w:val="标题 4 字符"/>
    <w:link w:val="6"/>
    <w:qFormat/>
    <w:uiPriority w:val="0"/>
    <w:rPr>
      <w:sz w:val="24"/>
    </w:rPr>
  </w:style>
  <w:style w:type="character" w:customStyle="1" w:styleId="189">
    <w:name w:val="标题 5 字符"/>
    <w:link w:val="7"/>
    <w:qFormat/>
    <w:uiPriority w:val="0"/>
    <w:rPr>
      <w:b/>
      <w:sz w:val="28"/>
    </w:rPr>
  </w:style>
  <w:style w:type="character" w:customStyle="1" w:styleId="190">
    <w:name w:val="标题 6 字符"/>
    <w:link w:val="8"/>
    <w:qFormat/>
    <w:uiPriority w:val="0"/>
    <w:rPr>
      <w:rFonts w:ascii="Arial" w:hAnsi="Arial" w:eastAsia="黑体"/>
      <w:b/>
      <w:sz w:val="24"/>
    </w:rPr>
  </w:style>
  <w:style w:type="character" w:customStyle="1" w:styleId="191">
    <w:name w:val="标题 7 字符"/>
    <w:link w:val="9"/>
    <w:qFormat/>
    <w:uiPriority w:val="0"/>
    <w:rPr>
      <w:b/>
      <w:sz w:val="24"/>
    </w:rPr>
  </w:style>
  <w:style w:type="character" w:customStyle="1" w:styleId="192">
    <w:name w:val="标题 8 字符"/>
    <w:link w:val="10"/>
    <w:qFormat/>
    <w:uiPriority w:val="0"/>
    <w:rPr>
      <w:rFonts w:ascii="Arial" w:hAnsi="Arial" w:eastAsia="黑体"/>
      <w:sz w:val="24"/>
    </w:rPr>
  </w:style>
  <w:style w:type="character" w:customStyle="1" w:styleId="193">
    <w:name w:val="标题 9 字符"/>
    <w:link w:val="11"/>
    <w:qFormat/>
    <w:uiPriority w:val="0"/>
    <w:rPr>
      <w:rFonts w:ascii="Arial" w:hAnsi="Arial" w:eastAsia="黑体"/>
      <w:sz w:val="21"/>
    </w:rPr>
  </w:style>
  <w:style w:type="character" w:customStyle="1" w:styleId="194">
    <w:name w:val="文档结构图 字符"/>
    <w:link w:val="14"/>
    <w:qFormat/>
    <w:uiPriority w:val="0"/>
    <w:rPr>
      <w:kern w:val="2"/>
      <w:sz w:val="21"/>
      <w:szCs w:val="24"/>
      <w:shd w:val="clear" w:color="auto" w:fill="000080"/>
    </w:rPr>
  </w:style>
  <w:style w:type="character" w:customStyle="1" w:styleId="195">
    <w:name w:val="批注文字 字符1"/>
    <w:link w:val="15"/>
    <w:qFormat/>
    <w:uiPriority w:val="99"/>
    <w:rPr>
      <w:kern w:val="2"/>
      <w:sz w:val="21"/>
      <w:szCs w:val="24"/>
    </w:rPr>
  </w:style>
  <w:style w:type="character" w:customStyle="1" w:styleId="196">
    <w:name w:val="正文文本 3 字符"/>
    <w:link w:val="16"/>
    <w:qFormat/>
    <w:uiPriority w:val="0"/>
    <w:rPr>
      <w:kern w:val="2"/>
      <w:sz w:val="16"/>
      <w:szCs w:val="16"/>
    </w:rPr>
  </w:style>
  <w:style w:type="character" w:customStyle="1" w:styleId="197">
    <w:name w:val="正文文本 字符"/>
    <w:link w:val="17"/>
    <w:qFormat/>
    <w:uiPriority w:val="0"/>
    <w:rPr>
      <w:rFonts w:ascii="宋体" w:hAnsi="宋体"/>
      <w:kern w:val="2"/>
      <w:sz w:val="24"/>
      <w:szCs w:val="24"/>
    </w:rPr>
  </w:style>
  <w:style w:type="character" w:customStyle="1" w:styleId="198">
    <w:name w:val="正文文本缩进 字符"/>
    <w:link w:val="19"/>
    <w:qFormat/>
    <w:uiPriority w:val="0"/>
    <w:rPr>
      <w:rFonts w:eastAsia="宋体"/>
      <w:kern w:val="2"/>
      <w:sz w:val="24"/>
      <w:szCs w:val="24"/>
      <w:lang w:val="en-US" w:eastAsia="zh-CN" w:bidi="ar-SA"/>
    </w:rPr>
  </w:style>
  <w:style w:type="character" w:customStyle="1" w:styleId="199">
    <w:name w:val="纯文本 字符2"/>
    <w:link w:val="24"/>
    <w:qFormat/>
    <w:uiPriority w:val="0"/>
    <w:rPr>
      <w:rFonts w:hint="eastAsia" w:ascii="宋体" w:hAnsi="Courier New" w:eastAsia="宋体" w:cs="宋体"/>
      <w:kern w:val="2"/>
      <w:sz w:val="21"/>
    </w:rPr>
  </w:style>
  <w:style w:type="character" w:customStyle="1" w:styleId="200">
    <w:name w:val="日期 字符"/>
    <w:link w:val="26"/>
    <w:qFormat/>
    <w:uiPriority w:val="0"/>
    <w:rPr>
      <w:rFonts w:ascii="仿宋_GB2312" w:hAnsi="宋体" w:eastAsia="仿宋_GB2312"/>
      <w:color w:val="000000"/>
      <w:kern w:val="2"/>
      <w:sz w:val="24"/>
      <w:szCs w:val="24"/>
    </w:rPr>
  </w:style>
  <w:style w:type="character" w:customStyle="1" w:styleId="201">
    <w:name w:val="正文文本缩进 2 字符"/>
    <w:link w:val="27"/>
    <w:qFormat/>
    <w:uiPriority w:val="0"/>
    <w:rPr>
      <w:rFonts w:ascii="仿宋_GB2312" w:eastAsia="仿宋_GB2312"/>
      <w:kern w:val="2"/>
      <w:sz w:val="24"/>
      <w:szCs w:val="24"/>
    </w:rPr>
  </w:style>
  <w:style w:type="character" w:customStyle="1" w:styleId="202">
    <w:name w:val="批注框文本 字符"/>
    <w:link w:val="28"/>
    <w:qFormat/>
    <w:uiPriority w:val="0"/>
    <w:rPr>
      <w:kern w:val="2"/>
      <w:sz w:val="18"/>
      <w:szCs w:val="18"/>
    </w:rPr>
  </w:style>
  <w:style w:type="character" w:customStyle="1" w:styleId="203">
    <w:name w:val="页脚 字符"/>
    <w:link w:val="29"/>
    <w:qFormat/>
    <w:uiPriority w:val="99"/>
    <w:rPr>
      <w:rFonts w:ascii="宋体" w:eastAsia="宋体"/>
      <w:sz w:val="18"/>
      <w:lang w:val="en-US" w:eastAsia="zh-CN" w:bidi="ar-SA"/>
    </w:rPr>
  </w:style>
  <w:style w:type="character" w:customStyle="1" w:styleId="204">
    <w:name w:val="页眉 字符"/>
    <w:link w:val="30"/>
    <w:qFormat/>
    <w:uiPriority w:val="0"/>
    <w:rPr>
      <w:rFonts w:eastAsia="宋体"/>
      <w:kern w:val="2"/>
      <w:sz w:val="18"/>
      <w:szCs w:val="18"/>
      <w:lang w:val="en-US" w:eastAsia="zh-CN" w:bidi="ar-SA"/>
    </w:rPr>
  </w:style>
  <w:style w:type="character" w:customStyle="1" w:styleId="205">
    <w:name w:val="正文文本缩进 3 字符"/>
    <w:link w:val="34"/>
    <w:qFormat/>
    <w:uiPriority w:val="0"/>
    <w:rPr>
      <w:rFonts w:ascii="宋体"/>
      <w:sz w:val="24"/>
    </w:rPr>
  </w:style>
  <w:style w:type="character" w:customStyle="1" w:styleId="206">
    <w:name w:val="HTML 预设格式 字符"/>
    <w:link w:val="37"/>
    <w:qFormat/>
    <w:uiPriority w:val="0"/>
    <w:rPr>
      <w:rFonts w:ascii="宋体" w:hAnsi="宋体" w:cs="宋体"/>
      <w:sz w:val="24"/>
      <w:szCs w:val="24"/>
    </w:rPr>
  </w:style>
  <w:style w:type="character" w:customStyle="1" w:styleId="207">
    <w:name w:val="标题 字符"/>
    <w:link w:val="40"/>
    <w:qFormat/>
    <w:uiPriority w:val="0"/>
    <w:rPr>
      <w:b/>
      <w:kern w:val="2"/>
      <w:sz w:val="32"/>
    </w:rPr>
  </w:style>
  <w:style w:type="character" w:customStyle="1" w:styleId="20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字符"/>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字符"/>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3">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54">
    <w:name w:val="fontstyle01"/>
    <w:basedOn w:val="46"/>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98</Pages>
  <Words>7695</Words>
  <Characters>43864</Characters>
  <Lines>365</Lines>
  <Paragraphs>102</Paragraphs>
  <TotalTime>21</TotalTime>
  <ScaleCrop>false</ScaleCrop>
  <LinksUpToDate>false</LinksUpToDate>
  <CharactersWithSpaces>51457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2024-06-05T01:36:00Z</dcterms:created>
  <dc:creator>Yin Hao</dc:creator>
  <cp:lastModifiedBy>user</cp:lastModifiedBy>
  <cp:lastPrinted>2020-04-01T19:13:00Z</cp:lastPrinted>
  <dcterms:modified xsi:type="dcterms:W3CDTF">2025-08-04T03:43:29Z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D5CA528D434F4E8E904AB50E81CBAFCD_13</vt:lpwstr>
  </property>
  <property fmtid="{D5CDD505-2E9C-101B-9397-08002B2CF9AE}" pid="4" name="KSOTemplateDocerSaveRecord">
    <vt:lpwstr>eyJoZGlkIjoiZGUyZDIxOWVmZjQ4NmU5NjE5ODUyZmZhYTkxMTE0OGQiLCJ1c2VySWQiOiI1NjU0OTIxNzIifQ==</vt:lpwstr>
  </property>
</Properties>
</file>